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DC834" w14:textId="77777777" w:rsidR="00306E5F" w:rsidRPr="002C5292" w:rsidRDefault="00955300" w:rsidP="00C37731">
      <w:pPr>
        <w:pStyle w:val="Spacerparatopoffirstpage"/>
        <w:rPr>
          <w:noProof w:val="0"/>
        </w:rPr>
      </w:pPr>
      <w:r w:rsidRPr="002C5292">
        <w:rPr>
          <w:lang w:eastAsia="en-AU"/>
        </w:rPr>
        <w:drawing>
          <wp:anchor distT="0" distB="0" distL="114300" distR="114300" simplePos="0" relativeHeight="251653120" behindDoc="1" locked="1" layoutInCell="0" allowOverlap="1" wp14:anchorId="60849986" wp14:editId="70C7518B">
            <wp:simplePos x="0" y="0"/>
            <wp:positionH relativeFrom="page">
              <wp:posOffset>5092065</wp:posOffset>
            </wp:positionH>
            <wp:positionV relativeFrom="page">
              <wp:posOffset>10010775</wp:posOffset>
            </wp:positionV>
            <wp:extent cx="2544445" cy="499110"/>
            <wp:effectExtent l="0" t="0" r="0" b="0"/>
            <wp:wrapThrough wrapText="bothSides">
              <wp:wrapPolygon edited="0">
                <wp:start x="2264" y="0"/>
                <wp:lineTo x="3558" y="14015"/>
                <wp:lineTo x="4043" y="20611"/>
                <wp:lineTo x="4852" y="20611"/>
                <wp:lineTo x="8086" y="19786"/>
                <wp:lineTo x="16010" y="15664"/>
                <wp:lineTo x="16010" y="9893"/>
                <wp:lineTo x="13746" y="6595"/>
                <wp:lineTo x="6630" y="0"/>
                <wp:lineTo x="2264" y="0"/>
              </wp:wrapPolygon>
            </wp:wrapThrough>
            <wp:docPr id="5" name="Picture 5"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2544445"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7C49" w:rsidRPr="002C5292">
        <w:rPr>
          <w:lang w:eastAsia="en-AU"/>
        </w:rPr>
        <w:drawing>
          <wp:anchor distT="0" distB="0" distL="114300" distR="114300" simplePos="0" relativeHeight="251654144" behindDoc="1" locked="1" layoutInCell="0" allowOverlap="1" wp14:anchorId="32226173" wp14:editId="29902E72">
            <wp:simplePos x="0" y="0"/>
            <wp:positionH relativeFrom="page">
              <wp:posOffset>-3810</wp:posOffset>
            </wp:positionH>
            <wp:positionV relativeFrom="page">
              <wp:posOffset>-2540</wp:posOffset>
            </wp:positionV>
            <wp:extent cx="7563485" cy="1069975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7563485" cy="106997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tblpY="1"/>
        <w:tblOverlap w:val="never"/>
        <w:tblW w:w="7371" w:type="dxa"/>
        <w:tblCellMar>
          <w:left w:w="0" w:type="dxa"/>
          <w:right w:w="0" w:type="dxa"/>
        </w:tblCellMar>
        <w:tblLook w:val="04A0" w:firstRow="1" w:lastRow="0" w:firstColumn="1" w:lastColumn="0" w:noHBand="0" w:noVBand="1"/>
      </w:tblPr>
      <w:tblGrid>
        <w:gridCol w:w="7371"/>
      </w:tblGrid>
      <w:tr w:rsidR="00EF36AF" w:rsidRPr="002C5292" w14:paraId="542C1473" w14:textId="77777777" w:rsidTr="00670868">
        <w:trPr>
          <w:trHeight w:val="905"/>
        </w:trPr>
        <w:tc>
          <w:tcPr>
            <w:tcW w:w="7371" w:type="dxa"/>
            <w:shd w:val="clear" w:color="auto" w:fill="auto"/>
            <w:vAlign w:val="bottom"/>
          </w:tcPr>
          <w:p w14:paraId="5F465D4A" w14:textId="77777777" w:rsidR="00ED786D" w:rsidRPr="002C5292" w:rsidRDefault="00ED786D" w:rsidP="00ED786D">
            <w:pPr>
              <w:pStyle w:val="DPCmainheading"/>
            </w:pPr>
          </w:p>
          <w:p w14:paraId="2975B707" w14:textId="77777777" w:rsidR="00ED786D" w:rsidRPr="002C5292" w:rsidRDefault="00ED786D" w:rsidP="00ED786D">
            <w:pPr>
              <w:pStyle w:val="DPCmainheading"/>
            </w:pPr>
          </w:p>
          <w:p w14:paraId="23FB4489" w14:textId="77777777" w:rsidR="00ED786D" w:rsidRPr="002C5292" w:rsidRDefault="00ED786D" w:rsidP="00ED786D">
            <w:pPr>
              <w:pStyle w:val="DPCmainheading"/>
            </w:pPr>
          </w:p>
          <w:p w14:paraId="79811010" w14:textId="77777777" w:rsidR="00ED786D" w:rsidRPr="002C5292" w:rsidRDefault="00ED786D" w:rsidP="00ED786D">
            <w:pPr>
              <w:pStyle w:val="DPCmainheading"/>
            </w:pPr>
          </w:p>
          <w:p w14:paraId="67521CE9" w14:textId="77777777" w:rsidR="004946F4" w:rsidRPr="002C5292" w:rsidRDefault="00AF7922" w:rsidP="00ED786D">
            <w:pPr>
              <w:pStyle w:val="DPCmainheading"/>
            </w:pPr>
            <w:r w:rsidRPr="002C5292">
              <w:t>Subordinate Legislation (Legislative Instruments)</w:t>
            </w:r>
            <w:r w:rsidR="00F05A62" w:rsidRPr="002C5292">
              <w:t xml:space="preserve"> Regulations 20</w:t>
            </w:r>
            <w:r w:rsidRPr="002C5292">
              <w:t>21</w:t>
            </w:r>
          </w:p>
        </w:tc>
      </w:tr>
      <w:tr w:rsidR="005D6597" w:rsidRPr="002C5292" w14:paraId="6109590C" w14:textId="77777777" w:rsidTr="00670868">
        <w:trPr>
          <w:trHeight w:val="519"/>
        </w:trPr>
        <w:tc>
          <w:tcPr>
            <w:tcW w:w="7371" w:type="dxa"/>
            <w:shd w:val="clear" w:color="auto" w:fill="auto"/>
            <w:tcMar>
              <w:top w:w="284" w:type="dxa"/>
              <w:bottom w:w="454" w:type="dxa"/>
            </w:tcMar>
          </w:tcPr>
          <w:p w14:paraId="3A1958A5" w14:textId="77777777" w:rsidR="005D6597" w:rsidRPr="002C5292" w:rsidRDefault="00F05A62" w:rsidP="00ED786D">
            <w:pPr>
              <w:pStyle w:val="DPCmainsubheading"/>
            </w:pPr>
            <w:r w:rsidRPr="002C5292">
              <w:t>Regulatory Impact Statement</w:t>
            </w:r>
          </w:p>
          <w:p w14:paraId="796A75C0" w14:textId="77777777" w:rsidR="00683B14" w:rsidRPr="002C5292" w:rsidRDefault="00683B14" w:rsidP="00ED786D">
            <w:pPr>
              <w:pStyle w:val="DPCmainsubheading"/>
            </w:pPr>
          </w:p>
          <w:p w14:paraId="04342F5B" w14:textId="3E3A06B8" w:rsidR="00ED786D" w:rsidRPr="002C5292" w:rsidRDefault="00C029A5" w:rsidP="00ED786D">
            <w:pPr>
              <w:pStyle w:val="DPCmainsubheading"/>
            </w:pPr>
            <w:r w:rsidRPr="002C5292">
              <w:rPr>
                <w:sz w:val="28"/>
              </w:rPr>
              <w:t xml:space="preserve">April </w:t>
            </w:r>
            <w:r w:rsidR="00AF7922" w:rsidRPr="002C5292">
              <w:rPr>
                <w:sz w:val="28"/>
              </w:rPr>
              <w:t>2021</w:t>
            </w:r>
          </w:p>
        </w:tc>
      </w:tr>
    </w:tbl>
    <w:p w14:paraId="3EAA1AE5" w14:textId="77777777" w:rsidR="00893AF6" w:rsidRPr="002C5292" w:rsidRDefault="00ED786D" w:rsidP="00BC7F34">
      <w:pPr>
        <w:pStyle w:val="Heading1"/>
      </w:pPr>
      <w:r w:rsidRPr="002C5292">
        <w:br w:type="textWrapping" w:clear="all"/>
      </w:r>
      <w:r w:rsidR="00F05A62" w:rsidRPr="002C5292">
        <w:br w:type="column"/>
      </w:r>
      <w:bookmarkStart w:id="0" w:name="_Toc535592809"/>
      <w:bookmarkStart w:id="1" w:name="_Toc536102765"/>
      <w:bookmarkStart w:id="2" w:name="_Toc536699219"/>
      <w:bookmarkStart w:id="3" w:name="_Toc70082335"/>
      <w:r w:rsidR="00AF7922" w:rsidRPr="002C5292">
        <w:lastRenderedPageBreak/>
        <w:t xml:space="preserve">Subordinate Legislation (Legislative Instruments) </w:t>
      </w:r>
      <w:r w:rsidR="00F05A62" w:rsidRPr="002C5292">
        <w:t xml:space="preserve">Regulations </w:t>
      </w:r>
      <w:r w:rsidR="00AF7922" w:rsidRPr="002C5292">
        <w:t>2021</w:t>
      </w:r>
      <w:r w:rsidR="00F05A62" w:rsidRPr="002C5292">
        <w:t xml:space="preserve"> - Regulatory Impact Statement</w:t>
      </w:r>
      <w:bookmarkEnd w:id="0"/>
      <w:bookmarkEnd w:id="1"/>
      <w:bookmarkEnd w:id="2"/>
      <w:bookmarkEnd w:id="3"/>
    </w:p>
    <w:p w14:paraId="1ED68E7F" w14:textId="1967297F" w:rsidR="00686D68" w:rsidRPr="002C5292" w:rsidRDefault="00F05A62" w:rsidP="00BC7F34">
      <w:pPr>
        <w:pStyle w:val="DPCbody"/>
      </w:pPr>
      <w:r w:rsidRPr="002C5292">
        <w:t xml:space="preserve">This Regulatory Impact Statement (RIS) has been prepared to fulfil the requirements of the </w:t>
      </w:r>
      <w:r w:rsidRPr="002C5292">
        <w:rPr>
          <w:b/>
          <w:i/>
          <w:iCs/>
        </w:rPr>
        <w:t>Subordinate Legislation Act 1994</w:t>
      </w:r>
      <w:r w:rsidRPr="002C5292">
        <w:t xml:space="preserve"> and to facilitate public consultation on the proposed </w:t>
      </w:r>
      <w:r w:rsidR="00AF7922" w:rsidRPr="002C5292">
        <w:t xml:space="preserve">Subordinate Legislation (Legislative Instruments) </w:t>
      </w:r>
      <w:r w:rsidRPr="002C5292">
        <w:t xml:space="preserve">Regulations </w:t>
      </w:r>
      <w:r w:rsidR="00AF7922" w:rsidRPr="002C5292">
        <w:t>2021</w:t>
      </w:r>
      <w:r w:rsidRPr="002C5292">
        <w:t xml:space="preserve">. A </w:t>
      </w:r>
      <w:r w:rsidR="00276089" w:rsidRPr="002C5292">
        <w:t xml:space="preserve">consultation </w:t>
      </w:r>
      <w:r w:rsidRPr="002C5292">
        <w:t xml:space="preserve">copy of the </w:t>
      </w:r>
      <w:r w:rsidR="00095532" w:rsidRPr="002C5292">
        <w:t>Proposed Regulations</w:t>
      </w:r>
      <w:r w:rsidRPr="002C5292">
        <w:t xml:space="preserve"> </w:t>
      </w:r>
      <w:r w:rsidR="008879F4" w:rsidRPr="002C5292">
        <w:t>accompanies this RIS</w:t>
      </w:r>
      <w:r w:rsidR="00276089" w:rsidRPr="002C5292">
        <w:t xml:space="preserve"> and is at Attachment A</w:t>
      </w:r>
      <w:r w:rsidRPr="002C5292">
        <w:t xml:space="preserve">. </w:t>
      </w:r>
    </w:p>
    <w:p w14:paraId="282566AB" w14:textId="6015BD29" w:rsidR="00686D68" w:rsidRPr="002C5292" w:rsidRDefault="00F05A62" w:rsidP="00C934BF">
      <w:pPr>
        <w:pStyle w:val="DPCbody"/>
      </w:pPr>
      <w:r w:rsidRPr="002C5292">
        <w:t xml:space="preserve">Public comments and submissions are invited on the </w:t>
      </w:r>
      <w:r w:rsidR="00095532" w:rsidRPr="002C5292">
        <w:t>Proposed Regulations</w:t>
      </w:r>
      <w:r w:rsidRPr="002C5292">
        <w:t xml:space="preserve"> and in response to information provided in this RIS. </w:t>
      </w:r>
    </w:p>
    <w:p w14:paraId="5AC6E9A1" w14:textId="5F1E62CE" w:rsidR="005E3BBF" w:rsidRPr="002C5292" w:rsidRDefault="00F05A62" w:rsidP="00C934BF">
      <w:pPr>
        <w:pStyle w:val="DPCbody"/>
      </w:pPr>
      <w:r w:rsidRPr="002C5292">
        <w:t xml:space="preserve">All submissions will be treated as public documents. </w:t>
      </w:r>
      <w:r w:rsidR="005E3BBF" w:rsidRPr="002C5292">
        <w:t xml:space="preserve">Written comments and submissions should be forwarded no later than </w:t>
      </w:r>
      <w:r w:rsidR="005E3BBF" w:rsidRPr="002C5292">
        <w:rPr>
          <w:b/>
        </w:rPr>
        <w:t xml:space="preserve">5pm on </w:t>
      </w:r>
      <w:r w:rsidR="00311758" w:rsidRPr="002C5292">
        <w:rPr>
          <w:b/>
        </w:rPr>
        <w:t>Thursday</w:t>
      </w:r>
      <w:r w:rsidR="005E3BBF" w:rsidRPr="002C5292">
        <w:rPr>
          <w:b/>
        </w:rPr>
        <w:t xml:space="preserve"> </w:t>
      </w:r>
      <w:r w:rsidR="00311758" w:rsidRPr="002C5292">
        <w:rPr>
          <w:b/>
        </w:rPr>
        <w:t>3 June</w:t>
      </w:r>
      <w:r w:rsidR="00C029A5" w:rsidRPr="002C5292">
        <w:rPr>
          <w:b/>
        </w:rPr>
        <w:t xml:space="preserve"> </w:t>
      </w:r>
      <w:r w:rsidR="005E3BBF" w:rsidRPr="002C5292">
        <w:rPr>
          <w:b/>
        </w:rPr>
        <w:t>2021.</w:t>
      </w:r>
    </w:p>
    <w:p w14:paraId="6AD94ABD" w14:textId="7E6208DF" w:rsidR="00276089" w:rsidRPr="002C5292" w:rsidRDefault="00276089" w:rsidP="0067245A">
      <w:pPr>
        <w:pStyle w:val="DPCbody"/>
      </w:pPr>
      <w:r w:rsidRPr="002C5292">
        <w:t xml:space="preserve">The preferred method of submission is via email </w:t>
      </w:r>
      <w:r w:rsidR="00C029A5" w:rsidRPr="002C5292">
        <w:rPr>
          <w:rFonts w:ascii="Arial" w:hAnsi="Arial"/>
          <w:color w:val="011A3C"/>
        </w:rPr>
        <w:t>to </w:t>
      </w:r>
      <w:hyperlink r:id="rId11" w:history="1">
        <w:r w:rsidR="00C029A5" w:rsidRPr="002C5292">
          <w:rPr>
            <w:rStyle w:val="rpl-text-label"/>
            <w:rFonts w:ascii="Arial" w:hAnsi="Arial"/>
            <w:color w:val="0052C2"/>
          </w:rPr>
          <w:t>GeneralOrdersLegislativeInstruments@dpc.vic.gov.au</w:t>
        </w:r>
      </w:hyperlink>
      <w:r w:rsidRPr="002C5292">
        <w:t xml:space="preserve"> or via </w:t>
      </w:r>
      <w:r w:rsidR="000E48A9" w:rsidRPr="002C5292">
        <w:t>the E</w:t>
      </w:r>
      <w:r w:rsidRPr="002C5292">
        <w:t>ngage</w:t>
      </w:r>
      <w:r w:rsidR="000E48A9" w:rsidRPr="002C5292">
        <w:t xml:space="preserve"> Victoria</w:t>
      </w:r>
      <w:r w:rsidRPr="002C5292">
        <w:t xml:space="preserve"> website </w:t>
      </w:r>
      <w:hyperlink r:id="rId12" w:history="1">
        <w:r w:rsidR="00845046" w:rsidRPr="002C5292">
          <w:rPr>
            <w:rStyle w:val="Hyperlink"/>
          </w:rPr>
          <w:t>https://engage.vic.gov.au/</w:t>
        </w:r>
      </w:hyperlink>
      <w:r w:rsidRPr="002C5292">
        <w:t>, but submissions can also be mailed to:</w:t>
      </w:r>
    </w:p>
    <w:p w14:paraId="68CFC56B" w14:textId="77777777" w:rsidR="00F05A62" w:rsidRPr="002C5292" w:rsidRDefault="00F05A62" w:rsidP="00E25FD5">
      <w:pPr>
        <w:pStyle w:val="DPCbody"/>
        <w:spacing w:after="120"/>
      </w:pPr>
      <w:r w:rsidRPr="002C5292">
        <w:t xml:space="preserve">Office of </w:t>
      </w:r>
      <w:r w:rsidR="00686D68" w:rsidRPr="002C5292">
        <w:t xml:space="preserve">the </w:t>
      </w:r>
      <w:r w:rsidRPr="002C5292">
        <w:t>General Counsel</w:t>
      </w:r>
    </w:p>
    <w:p w14:paraId="05D584A6" w14:textId="77777777" w:rsidR="00F05A62" w:rsidRPr="002C5292" w:rsidRDefault="00F05A62" w:rsidP="008A076E">
      <w:pPr>
        <w:pStyle w:val="DPCbody"/>
        <w:spacing w:after="120"/>
      </w:pPr>
      <w:r w:rsidRPr="002C5292">
        <w:t>Department of Premier and Cabinet</w:t>
      </w:r>
    </w:p>
    <w:p w14:paraId="6B4E818F" w14:textId="77777777" w:rsidR="00F05A62" w:rsidRPr="002C5292" w:rsidRDefault="00F05A62" w:rsidP="002D638A">
      <w:pPr>
        <w:pStyle w:val="DPCbody"/>
        <w:spacing w:after="120"/>
      </w:pPr>
      <w:r w:rsidRPr="002C5292">
        <w:t>Level 2</w:t>
      </w:r>
      <w:r w:rsidR="00686D68" w:rsidRPr="002C5292">
        <w:t>,</w:t>
      </w:r>
    </w:p>
    <w:p w14:paraId="3DCD4010" w14:textId="77777777" w:rsidR="00F05A62" w:rsidRPr="002C5292" w:rsidRDefault="00F05A62" w:rsidP="00556D2C">
      <w:pPr>
        <w:pStyle w:val="DPCbody"/>
        <w:spacing w:after="120"/>
      </w:pPr>
      <w:r w:rsidRPr="002C5292">
        <w:t>1 Treasury Place</w:t>
      </w:r>
      <w:r w:rsidR="00686D68" w:rsidRPr="002C5292">
        <w:t>,</w:t>
      </w:r>
    </w:p>
    <w:p w14:paraId="061F7C0F" w14:textId="77777777" w:rsidR="00F05A62" w:rsidRPr="002C5292" w:rsidRDefault="00686D68" w:rsidP="002E6F7C">
      <w:pPr>
        <w:pStyle w:val="DPCbody"/>
        <w:spacing w:after="120"/>
      </w:pPr>
      <w:r w:rsidRPr="002C5292">
        <w:t xml:space="preserve">EAST </w:t>
      </w:r>
      <w:r w:rsidR="00F05A62" w:rsidRPr="002C5292">
        <w:t xml:space="preserve">MELBOURNE </w:t>
      </w:r>
      <w:r w:rsidRPr="002C5292">
        <w:t xml:space="preserve">  </w:t>
      </w:r>
      <w:r w:rsidR="00F05A62" w:rsidRPr="002C5292">
        <w:t xml:space="preserve">VIC </w:t>
      </w:r>
      <w:r w:rsidRPr="002C5292">
        <w:t xml:space="preserve">  </w:t>
      </w:r>
      <w:r w:rsidR="00F05A62" w:rsidRPr="002C5292">
        <w:t>3002</w:t>
      </w:r>
    </w:p>
    <w:p w14:paraId="7CDB2820" w14:textId="77777777" w:rsidR="00D16CA8" w:rsidRPr="002C5292" w:rsidRDefault="00D16CA8" w:rsidP="00933A64">
      <w:pPr>
        <w:pStyle w:val="DPCbody"/>
      </w:pPr>
    </w:p>
    <w:p w14:paraId="7E9F60C9" w14:textId="77777777" w:rsidR="006F3F01" w:rsidRPr="002C5292" w:rsidRDefault="006F3F01" w:rsidP="00DD2883">
      <w:pPr>
        <w:pStyle w:val="DPCbody"/>
      </w:pPr>
    </w:p>
    <w:p w14:paraId="43510750" w14:textId="77777777" w:rsidR="006F3F01" w:rsidRPr="002C5292" w:rsidRDefault="006F3F01" w:rsidP="008F21A4">
      <w:pPr>
        <w:pStyle w:val="DPCbody"/>
      </w:pPr>
    </w:p>
    <w:p w14:paraId="1692717D" w14:textId="77777777" w:rsidR="006F3F01" w:rsidRPr="002C5292" w:rsidRDefault="006F3F01" w:rsidP="004D310C">
      <w:pPr>
        <w:pStyle w:val="DPCbody"/>
      </w:pPr>
    </w:p>
    <w:p w14:paraId="0B1891B2" w14:textId="77777777" w:rsidR="006F3F01" w:rsidRPr="002C5292" w:rsidRDefault="006F3F01">
      <w:pPr>
        <w:pStyle w:val="DPCbody"/>
      </w:pPr>
    </w:p>
    <w:p w14:paraId="4899FF81" w14:textId="77777777" w:rsidR="006F3F01" w:rsidRPr="002C5292" w:rsidRDefault="006F3F01">
      <w:pPr>
        <w:pStyle w:val="DPCbody"/>
      </w:pPr>
    </w:p>
    <w:p w14:paraId="56EBC749" w14:textId="77777777" w:rsidR="006F3F01" w:rsidRPr="002C5292" w:rsidRDefault="006F3F01">
      <w:pPr>
        <w:pStyle w:val="DPCbody"/>
      </w:pPr>
    </w:p>
    <w:p w14:paraId="2E492A0A" w14:textId="77777777" w:rsidR="006F3F01" w:rsidRPr="002C5292" w:rsidRDefault="006F3F01">
      <w:pPr>
        <w:pStyle w:val="DPCbody"/>
      </w:pPr>
    </w:p>
    <w:p w14:paraId="47DE9866" w14:textId="77777777" w:rsidR="006F3F01" w:rsidRPr="002C5292" w:rsidRDefault="006F3F01">
      <w:pPr>
        <w:pStyle w:val="DPCbody"/>
      </w:pPr>
    </w:p>
    <w:p w14:paraId="418967EE" w14:textId="77777777" w:rsidR="006F3F01" w:rsidRPr="002C5292" w:rsidRDefault="006F3F01">
      <w:pPr>
        <w:pStyle w:val="DPCbody"/>
      </w:pPr>
    </w:p>
    <w:p w14:paraId="4F64FE5C" w14:textId="77777777" w:rsidR="006F3F01" w:rsidRPr="002C5292" w:rsidRDefault="006F3F01">
      <w:pPr>
        <w:pStyle w:val="DPCbody"/>
      </w:pPr>
    </w:p>
    <w:p w14:paraId="707EF4A6" w14:textId="77777777" w:rsidR="006F3F01" w:rsidRPr="002C5292" w:rsidRDefault="006F3F01">
      <w:pPr>
        <w:pStyle w:val="DPCbody"/>
      </w:pPr>
    </w:p>
    <w:p w14:paraId="517C6D5A" w14:textId="77777777" w:rsidR="006F3F01" w:rsidRPr="002C5292" w:rsidRDefault="006F3F01">
      <w:pPr>
        <w:pStyle w:val="DPCbody"/>
      </w:pPr>
    </w:p>
    <w:bookmarkStart w:id="4" w:name="_Toc536102766" w:displacedByCustomXml="next"/>
    <w:bookmarkStart w:id="5" w:name="_Toc535592810" w:displacedByCustomXml="next"/>
    <w:bookmarkStart w:id="6" w:name="_Toc536699220" w:displacedByCustomXml="next"/>
    <w:bookmarkStart w:id="7" w:name="_Toc70082336" w:displacedByCustomXml="next"/>
    <w:sdt>
      <w:sdtPr>
        <w:rPr>
          <w:rFonts w:ascii="Cambria" w:eastAsia="Times New Roman" w:hAnsi="Cambria" w:cs="Times New Roman"/>
          <w:b/>
          <w:bCs w:val="0"/>
          <w:noProof/>
          <w:color w:val="auto"/>
          <w:kern w:val="0"/>
          <w:sz w:val="20"/>
          <w:szCs w:val="20"/>
        </w:rPr>
        <w:id w:val="1006331021"/>
        <w:docPartObj>
          <w:docPartGallery w:val="Table of Contents"/>
          <w:docPartUnique/>
        </w:docPartObj>
      </w:sdtPr>
      <w:sdtEndPr>
        <w:rPr>
          <w:rFonts w:asciiTheme="minorHAnsi" w:hAnsiTheme="minorHAnsi"/>
          <w:sz w:val="24"/>
          <w:szCs w:val="24"/>
        </w:rPr>
      </w:sdtEndPr>
      <w:sdtContent>
        <w:p w14:paraId="3F28EDE9" w14:textId="77777777" w:rsidR="00344D80" w:rsidRDefault="006F3F01" w:rsidP="00BC7F34">
          <w:pPr>
            <w:pStyle w:val="Heading1"/>
            <w:rPr>
              <w:noProof/>
            </w:rPr>
          </w:pPr>
          <w:r w:rsidRPr="002C5292">
            <w:t>Contents</w:t>
          </w:r>
          <w:bookmarkEnd w:id="7"/>
          <w:bookmarkEnd w:id="6"/>
          <w:bookmarkEnd w:id="5"/>
          <w:bookmarkEnd w:id="4"/>
          <w:r w:rsidRPr="002C5292">
            <w:fldChar w:fldCharType="begin"/>
          </w:r>
          <w:r w:rsidRPr="002C5292">
            <w:instrText xml:space="preserve"> TOC \o "1-3" \h \z \u </w:instrText>
          </w:r>
          <w:r w:rsidRPr="002C5292">
            <w:fldChar w:fldCharType="separate"/>
          </w:r>
        </w:p>
        <w:p w14:paraId="203BD565" w14:textId="1899255B" w:rsidR="00344D80" w:rsidRDefault="00D07A86">
          <w:pPr>
            <w:pStyle w:val="TOC1"/>
            <w:rPr>
              <w:rFonts w:eastAsiaTheme="minorEastAsia" w:cstheme="minorBidi"/>
              <w:b w:val="0"/>
              <w:sz w:val="22"/>
              <w:szCs w:val="22"/>
              <w:lang w:eastAsia="en-AU"/>
            </w:rPr>
          </w:pPr>
          <w:hyperlink w:anchor="_Toc70082335" w:history="1">
            <w:r w:rsidR="00344D80" w:rsidRPr="004A0B53">
              <w:rPr>
                <w:rStyle w:val="Hyperlink"/>
              </w:rPr>
              <w:t>Subordinate Legislation (Legislative Instruments) Regulations 2021 - Regulatory Impact Statement</w:t>
            </w:r>
            <w:r w:rsidR="00344D80">
              <w:rPr>
                <w:webHidden/>
              </w:rPr>
              <w:tab/>
            </w:r>
            <w:r w:rsidR="00344D80">
              <w:rPr>
                <w:webHidden/>
              </w:rPr>
              <w:fldChar w:fldCharType="begin"/>
            </w:r>
            <w:r w:rsidR="00344D80">
              <w:rPr>
                <w:webHidden/>
              </w:rPr>
              <w:instrText xml:space="preserve"> PAGEREF _Toc70082335 \h </w:instrText>
            </w:r>
            <w:r w:rsidR="00344D80">
              <w:rPr>
                <w:webHidden/>
              </w:rPr>
            </w:r>
            <w:r w:rsidR="00344D80">
              <w:rPr>
                <w:webHidden/>
              </w:rPr>
              <w:fldChar w:fldCharType="separate"/>
            </w:r>
            <w:r w:rsidR="00344D80">
              <w:rPr>
                <w:webHidden/>
              </w:rPr>
              <w:t>2</w:t>
            </w:r>
            <w:r w:rsidR="00344D80">
              <w:rPr>
                <w:webHidden/>
              </w:rPr>
              <w:fldChar w:fldCharType="end"/>
            </w:r>
          </w:hyperlink>
        </w:p>
        <w:p w14:paraId="32763DB0" w14:textId="01B6A6A0" w:rsidR="00344D80" w:rsidRDefault="00D07A86">
          <w:pPr>
            <w:pStyle w:val="TOC1"/>
            <w:rPr>
              <w:rFonts w:eastAsiaTheme="minorEastAsia" w:cstheme="minorBidi"/>
              <w:b w:val="0"/>
              <w:sz w:val="22"/>
              <w:szCs w:val="22"/>
              <w:lang w:eastAsia="en-AU"/>
            </w:rPr>
          </w:pPr>
          <w:hyperlink w:anchor="_Toc70082336" w:history="1">
            <w:r w:rsidR="00344D80" w:rsidRPr="004A0B53">
              <w:rPr>
                <w:rStyle w:val="Hyperlink"/>
              </w:rPr>
              <w:t>Contents</w:t>
            </w:r>
            <w:r w:rsidR="00344D80">
              <w:rPr>
                <w:webHidden/>
              </w:rPr>
              <w:tab/>
            </w:r>
            <w:r w:rsidR="00344D80">
              <w:rPr>
                <w:webHidden/>
              </w:rPr>
              <w:fldChar w:fldCharType="begin"/>
            </w:r>
            <w:r w:rsidR="00344D80">
              <w:rPr>
                <w:webHidden/>
              </w:rPr>
              <w:instrText xml:space="preserve"> PAGEREF _Toc70082336 \h </w:instrText>
            </w:r>
            <w:r w:rsidR="00344D80">
              <w:rPr>
                <w:webHidden/>
              </w:rPr>
            </w:r>
            <w:r w:rsidR="00344D80">
              <w:rPr>
                <w:webHidden/>
              </w:rPr>
              <w:fldChar w:fldCharType="separate"/>
            </w:r>
            <w:r w:rsidR="00344D80">
              <w:rPr>
                <w:webHidden/>
              </w:rPr>
              <w:t>3</w:t>
            </w:r>
            <w:r w:rsidR="00344D80">
              <w:rPr>
                <w:webHidden/>
              </w:rPr>
              <w:fldChar w:fldCharType="end"/>
            </w:r>
          </w:hyperlink>
        </w:p>
        <w:p w14:paraId="7D29530A" w14:textId="58F48E2E" w:rsidR="00344D80" w:rsidRDefault="00D07A86">
          <w:pPr>
            <w:pStyle w:val="TOC1"/>
            <w:rPr>
              <w:rFonts w:eastAsiaTheme="minorEastAsia" w:cstheme="minorBidi"/>
              <w:b w:val="0"/>
              <w:sz w:val="22"/>
              <w:szCs w:val="22"/>
              <w:lang w:eastAsia="en-AU"/>
            </w:rPr>
          </w:pPr>
          <w:hyperlink w:anchor="_Toc70082337" w:history="1">
            <w:r w:rsidR="00344D80" w:rsidRPr="004A0B53">
              <w:rPr>
                <w:rStyle w:val="Hyperlink"/>
              </w:rPr>
              <w:t>List of Acronyms</w:t>
            </w:r>
            <w:r w:rsidR="00344D80">
              <w:rPr>
                <w:webHidden/>
              </w:rPr>
              <w:tab/>
            </w:r>
            <w:r w:rsidR="00344D80">
              <w:rPr>
                <w:webHidden/>
              </w:rPr>
              <w:fldChar w:fldCharType="begin"/>
            </w:r>
            <w:r w:rsidR="00344D80">
              <w:rPr>
                <w:webHidden/>
              </w:rPr>
              <w:instrText xml:space="preserve"> PAGEREF _Toc70082337 \h </w:instrText>
            </w:r>
            <w:r w:rsidR="00344D80">
              <w:rPr>
                <w:webHidden/>
              </w:rPr>
            </w:r>
            <w:r w:rsidR="00344D80">
              <w:rPr>
                <w:webHidden/>
              </w:rPr>
              <w:fldChar w:fldCharType="separate"/>
            </w:r>
            <w:r w:rsidR="00344D80">
              <w:rPr>
                <w:webHidden/>
              </w:rPr>
              <w:t>5</w:t>
            </w:r>
            <w:r w:rsidR="00344D80">
              <w:rPr>
                <w:webHidden/>
              </w:rPr>
              <w:fldChar w:fldCharType="end"/>
            </w:r>
          </w:hyperlink>
        </w:p>
        <w:p w14:paraId="35639920" w14:textId="3E05B260" w:rsidR="00344D80" w:rsidRDefault="00D07A86">
          <w:pPr>
            <w:pStyle w:val="TOC1"/>
            <w:rPr>
              <w:rFonts w:eastAsiaTheme="minorEastAsia" w:cstheme="minorBidi"/>
              <w:b w:val="0"/>
              <w:sz w:val="22"/>
              <w:szCs w:val="22"/>
              <w:lang w:eastAsia="en-AU"/>
            </w:rPr>
          </w:pPr>
          <w:hyperlink w:anchor="_Toc70082338" w:history="1">
            <w:r w:rsidR="00344D80" w:rsidRPr="004A0B53">
              <w:rPr>
                <w:rStyle w:val="Hyperlink"/>
              </w:rPr>
              <w:t>Executive Summary</w:t>
            </w:r>
            <w:r w:rsidR="00344D80">
              <w:rPr>
                <w:webHidden/>
              </w:rPr>
              <w:tab/>
            </w:r>
            <w:r w:rsidR="00344D80">
              <w:rPr>
                <w:webHidden/>
              </w:rPr>
              <w:fldChar w:fldCharType="begin"/>
            </w:r>
            <w:r w:rsidR="00344D80">
              <w:rPr>
                <w:webHidden/>
              </w:rPr>
              <w:instrText xml:space="preserve"> PAGEREF _Toc70082338 \h </w:instrText>
            </w:r>
            <w:r w:rsidR="00344D80">
              <w:rPr>
                <w:webHidden/>
              </w:rPr>
            </w:r>
            <w:r w:rsidR="00344D80">
              <w:rPr>
                <w:webHidden/>
              </w:rPr>
              <w:fldChar w:fldCharType="separate"/>
            </w:r>
            <w:r w:rsidR="00344D80">
              <w:rPr>
                <w:webHidden/>
              </w:rPr>
              <w:t>6</w:t>
            </w:r>
            <w:r w:rsidR="00344D80">
              <w:rPr>
                <w:webHidden/>
              </w:rPr>
              <w:fldChar w:fldCharType="end"/>
            </w:r>
          </w:hyperlink>
        </w:p>
        <w:p w14:paraId="48F62915" w14:textId="4F72A906" w:rsidR="00344D80" w:rsidRDefault="00D07A86">
          <w:pPr>
            <w:pStyle w:val="TOC2"/>
            <w:rPr>
              <w:rFonts w:eastAsiaTheme="minorEastAsia" w:cstheme="minorBidi"/>
              <w:szCs w:val="22"/>
              <w:lang w:eastAsia="en-AU"/>
            </w:rPr>
          </w:pPr>
          <w:hyperlink w:anchor="_Toc70082339" w:history="1">
            <w:r w:rsidR="00344D80" w:rsidRPr="004A0B53">
              <w:rPr>
                <w:rStyle w:val="Hyperlink"/>
              </w:rPr>
              <w:t>Nature of the problem</w:t>
            </w:r>
            <w:r w:rsidR="00344D80">
              <w:rPr>
                <w:webHidden/>
              </w:rPr>
              <w:tab/>
            </w:r>
            <w:r w:rsidR="00344D80">
              <w:rPr>
                <w:webHidden/>
              </w:rPr>
              <w:fldChar w:fldCharType="begin"/>
            </w:r>
            <w:r w:rsidR="00344D80">
              <w:rPr>
                <w:webHidden/>
              </w:rPr>
              <w:instrText xml:space="preserve"> PAGEREF _Toc70082339 \h </w:instrText>
            </w:r>
            <w:r w:rsidR="00344D80">
              <w:rPr>
                <w:webHidden/>
              </w:rPr>
            </w:r>
            <w:r w:rsidR="00344D80">
              <w:rPr>
                <w:webHidden/>
              </w:rPr>
              <w:fldChar w:fldCharType="separate"/>
            </w:r>
            <w:r w:rsidR="00344D80">
              <w:rPr>
                <w:webHidden/>
              </w:rPr>
              <w:t>7</w:t>
            </w:r>
            <w:r w:rsidR="00344D80">
              <w:rPr>
                <w:webHidden/>
              </w:rPr>
              <w:fldChar w:fldCharType="end"/>
            </w:r>
          </w:hyperlink>
        </w:p>
        <w:p w14:paraId="2692D6E8" w14:textId="382741F2" w:rsidR="00344D80" w:rsidRDefault="00D07A86">
          <w:pPr>
            <w:pStyle w:val="TOC2"/>
            <w:rPr>
              <w:rFonts w:eastAsiaTheme="minorEastAsia" w:cstheme="minorBidi"/>
              <w:szCs w:val="22"/>
              <w:lang w:eastAsia="en-AU"/>
            </w:rPr>
          </w:pPr>
          <w:hyperlink w:anchor="_Toc70082340" w:history="1">
            <w:r w:rsidR="00344D80" w:rsidRPr="004A0B53">
              <w:rPr>
                <w:rStyle w:val="Hyperlink"/>
              </w:rPr>
              <w:t>Objectives of the proposed regulatory measure</w:t>
            </w:r>
            <w:r w:rsidR="00344D80">
              <w:rPr>
                <w:webHidden/>
              </w:rPr>
              <w:tab/>
            </w:r>
            <w:r w:rsidR="00344D80">
              <w:rPr>
                <w:webHidden/>
              </w:rPr>
              <w:fldChar w:fldCharType="begin"/>
            </w:r>
            <w:r w:rsidR="00344D80">
              <w:rPr>
                <w:webHidden/>
              </w:rPr>
              <w:instrText xml:space="preserve"> PAGEREF _Toc70082340 \h </w:instrText>
            </w:r>
            <w:r w:rsidR="00344D80">
              <w:rPr>
                <w:webHidden/>
              </w:rPr>
            </w:r>
            <w:r w:rsidR="00344D80">
              <w:rPr>
                <w:webHidden/>
              </w:rPr>
              <w:fldChar w:fldCharType="separate"/>
            </w:r>
            <w:r w:rsidR="00344D80">
              <w:rPr>
                <w:webHidden/>
              </w:rPr>
              <w:t>7</w:t>
            </w:r>
            <w:r w:rsidR="00344D80">
              <w:rPr>
                <w:webHidden/>
              </w:rPr>
              <w:fldChar w:fldCharType="end"/>
            </w:r>
          </w:hyperlink>
        </w:p>
        <w:p w14:paraId="6A4B58AC" w14:textId="668A787D" w:rsidR="00344D80" w:rsidRDefault="00D07A86">
          <w:pPr>
            <w:pStyle w:val="TOC2"/>
            <w:rPr>
              <w:rFonts w:eastAsiaTheme="minorEastAsia" w:cstheme="minorBidi"/>
              <w:szCs w:val="22"/>
              <w:lang w:eastAsia="en-AU"/>
            </w:rPr>
          </w:pPr>
          <w:hyperlink w:anchor="_Toc70082341" w:history="1">
            <w:r w:rsidR="00344D80" w:rsidRPr="004A0B53">
              <w:rPr>
                <w:rStyle w:val="Hyperlink"/>
              </w:rPr>
              <w:t>Options</w:t>
            </w:r>
            <w:r w:rsidR="00344D80">
              <w:rPr>
                <w:webHidden/>
              </w:rPr>
              <w:tab/>
            </w:r>
            <w:r w:rsidR="00344D80">
              <w:rPr>
                <w:webHidden/>
              </w:rPr>
              <w:fldChar w:fldCharType="begin"/>
            </w:r>
            <w:r w:rsidR="00344D80">
              <w:rPr>
                <w:webHidden/>
              </w:rPr>
              <w:instrText xml:space="preserve"> PAGEREF _Toc70082341 \h </w:instrText>
            </w:r>
            <w:r w:rsidR="00344D80">
              <w:rPr>
                <w:webHidden/>
              </w:rPr>
            </w:r>
            <w:r w:rsidR="00344D80">
              <w:rPr>
                <w:webHidden/>
              </w:rPr>
              <w:fldChar w:fldCharType="separate"/>
            </w:r>
            <w:r w:rsidR="00344D80">
              <w:rPr>
                <w:webHidden/>
              </w:rPr>
              <w:t>7</w:t>
            </w:r>
            <w:r w:rsidR="00344D80">
              <w:rPr>
                <w:webHidden/>
              </w:rPr>
              <w:fldChar w:fldCharType="end"/>
            </w:r>
          </w:hyperlink>
        </w:p>
        <w:p w14:paraId="6795A8E1" w14:textId="1D6B5FC8" w:rsidR="00344D80" w:rsidRDefault="00D07A86">
          <w:pPr>
            <w:pStyle w:val="TOC3"/>
            <w:rPr>
              <w:rFonts w:asciiTheme="minorHAnsi" w:eastAsiaTheme="minorEastAsia" w:hAnsiTheme="minorHAnsi" w:cstheme="minorBidi"/>
              <w:noProof/>
              <w:sz w:val="22"/>
              <w:szCs w:val="22"/>
              <w:lang w:eastAsia="en-AU"/>
            </w:rPr>
          </w:pPr>
          <w:hyperlink w:anchor="_Toc70082342" w:history="1">
            <w:r w:rsidR="00344D80" w:rsidRPr="004A0B53">
              <w:rPr>
                <w:rStyle w:val="Hyperlink"/>
                <w:noProof/>
              </w:rPr>
              <w:t>Base case - no regulations</w:t>
            </w:r>
            <w:r w:rsidR="00344D80">
              <w:rPr>
                <w:noProof/>
                <w:webHidden/>
              </w:rPr>
              <w:tab/>
            </w:r>
            <w:r w:rsidR="00344D80">
              <w:rPr>
                <w:noProof/>
                <w:webHidden/>
              </w:rPr>
              <w:fldChar w:fldCharType="begin"/>
            </w:r>
            <w:r w:rsidR="00344D80">
              <w:rPr>
                <w:noProof/>
                <w:webHidden/>
              </w:rPr>
              <w:instrText xml:space="preserve"> PAGEREF _Toc70082342 \h </w:instrText>
            </w:r>
            <w:r w:rsidR="00344D80">
              <w:rPr>
                <w:noProof/>
                <w:webHidden/>
              </w:rPr>
            </w:r>
            <w:r w:rsidR="00344D80">
              <w:rPr>
                <w:noProof/>
                <w:webHidden/>
              </w:rPr>
              <w:fldChar w:fldCharType="separate"/>
            </w:r>
            <w:r w:rsidR="00344D80">
              <w:rPr>
                <w:noProof/>
                <w:webHidden/>
              </w:rPr>
              <w:t>7</w:t>
            </w:r>
            <w:r w:rsidR="00344D80">
              <w:rPr>
                <w:noProof/>
                <w:webHidden/>
              </w:rPr>
              <w:fldChar w:fldCharType="end"/>
            </w:r>
          </w:hyperlink>
        </w:p>
        <w:p w14:paraId="737CBD3E" w14:textId="509816FA" w:rsidR="00344D80" w:rsidRDefault="00D07A86">
          <w:pPr>
            <w:pStyle w:val="TOC3"/>
            <w:rPr>
              <w:rFonts w:asciiTheme="minorHAnsi" w:eastAsiaTheme="minorEastAsia" w:hAnsiTheme="minorHAnsi" w:cstheme="minorBidi"/>
              <w:noProof/>
              <w:sz w:val="22"/>
              <w:szCs w:val="22"/>
              <w:lang w:eastAsia="en-AU"/>
            </w:rPr>
          </w:pPr>
          <w:hyperlink w:anchor="_Toc70082343" w:history="1">
            <w:r w:rsidR="00344D80" w:rsidRPr="004A0B53">
              <w:rPr>
                <w:rStyle w:val="Hyperlink"/>
                <w:noProof/>
              </w:rPr>
              <w:t>Option 1 – make the Proposed Regulations</w:t>
            </w:r>
            <w:r w:rsidR="00344D80">
              <w:rPr>
                <w:noProof/>
                <w:webHidden/>
              </w:rPr>
              <w:tab/>
            </w:r>
            <w:r w:rsidR="00344D80">
              <w:rPr>
                <w:noProof/>
                <w:webHidden/>
              </w:rPr>
              <w:fldChar w:fldCharType="begin"/>
            </w:r>
            <w:r w:rsidR="00344D80">
              <w:rPr>
                <w:noProof/>
                <w:webHidden/>
              </w:rPr>
              <w:instrText xml:space="preserve"> PAGEREF _Toc70082343 \h </w:instrText>
            </w:r>
            <w:r w:rsidR="00344D80">
              <w:rPr>
                <w:noProof/>
                <w:webHidden/>
              </w:rPr>
            </w:r>
            <w:r w:rsidR="00344D80">
              <w:rPr>
                <w:noProof/>
                <w:webHidden/>
              </w:rPr>
              <w:fldChar w:fldCharType="separate"/>
            </w:r>
            <w:r w:rsidR="00344D80">
              <w:rPr>
                <w:noProof/>
                <w:webHidden/>
              </w:rPr>
              <w:t>8</w:t>
            </w:r>
            <w:r w:rsidR="00344D80">
              <w:rPr>
                <w:noProof/>
                <w:webHidden/>
              </w:rPr>
              <w:fldChar w:fldCharType="end"/>
            </w:r>
          </w:hyperlink>
        </w:p>
        <w:p w14:paraId="1374D6E2" w14:textId="2396AB16" w:rsidR="00344D80" w:rsidRDefault="00D07A86">
          <w:pPr>
            <w:pStyle w:val="TOC3"/>
            <w:rPr>
              <w:rFonts w:asciiTheme="minorHAnsi" w:eastAsiaTheme="minorEastAsia" w:hAnsiTheme="minorHAnsi" w:cstheme="minorBidi"/>
              <w:noProof/>
              <w:sz w:val="22"/>
              <w:szCs w:val="22"/>
              <w:lang w:eastAsia="en-AU"/>
            </w:rPr>
          </w:pPr>
          <w:hyperlink w:anchor="_Toc70082344" w:history="1">
            <w:r w:rsidR="00344D80" w:rsidRPr="004A0B53">
              <w:rPr>
                <w:rStyle w:val="Hyperlink"/>
                <w:noProof/>
              </w:rPr>
              <w:t>Option 2 – make the Proposed Regulations but exclude categories of legislative instruments</w:t>
            </w:r>
            <w:r w:rsidR="00344D80">
              <w:rPr>
                <w:noProof/>
                <w:webHidden/>
              </w:rPr>
              <w:tab/>
            </w:r>
            <w:r w:rsidR="00344D80">
              <w:rPr>
                <w:noProof/>
                <w:webHidden/>
              </w:rPr>
              <w:fldChar w:fldCharType="begin"/>
            </w:r>
            <w:r w:rsidR="00344D80">
              <w:rPr>
                <w:noProof/>
                <w:webHidden/>
              </w:rPr>
              <w:instrText xml:space="preserve"> PAGEREF _Toc70082344 \h </w:instrText>
            </w:r>
            <w:r w:rsidR="00344D80">
              <w:rPr>
                <w:noProof/>
                <w:webHidden/>
              </w:rPr>
            </w:r>
            <w:r w:rsidR="00344D80">
              <w:rPr>
                <w:noProof/>
                <w:webHidden/>
              </w:rPr>
              <w:fldChar w:fldCharType="separate"/>
            </w:r>
            <w:r w:rsidR="00344D80">
              <w:rPr>
                <w:noProof/>
                <w:webHidden/>
              </w:rPr>
              <w:t>9</w:t>
            </w:r>
            <w:r w:rsidR="00344D80">
              <w:rPr>
                <w:noProof/>
                <w:webHidden/>
              </w:rPr>
              <w:fldChar w:fldCharType="end"/>
            </w:r>
          </w:hyperlink>
        </w:p>
        <w:p w14:paraId="04644A30" w14:textId="6A3F1572" w:rsidR="00344D80" w:rsidRDefault="00D07A86">
          <w:pPr>
            <w:pStyle w:val="TOC2"/>
            <w:rPr>
              <w:rFonts w:eastAsiaTheme="minorEastAsia" w:cstheme="minorBidi"/>
              <w:szCs w:val="22"/>
              <w:lang w:eastAsia="en-AU"/>
            </w:rPr>
          </w:pPr>
          <w:hyperlink w:anchor="_Toc70082345" w:history="1">
            <w:r w:rsidR="00344D80" w:rsidRPr="004A0B53">
              <w:rPr>
                <w:rStyle w:val="Hyperlink"/>
              </w:rPr>
              <w:t>Multi-Criteria Analysis</w:t>
            </w:r>
            <w:r w:rsidR="00344D80">
              <w:rPr>
                <w:webHidden/>
              </w:rPr>
              <w:tab/>
            </w:r>
            <w:r w:rsidR="00344D80">
              <w:rPr>
                <w:webHidden/>
              </w:rPr>
              <w:fldChar w:fldCharType="begin"/>
            </w:r>
            <w:r w:rsidR="00344D80">
              <w:rPr>
                <w:webHidden/>
              </w:rPr>
              <w:instrText xml:space="preserve"> PAGEREF _Toc70082345 \h </w:instrText>
            </w:r>
            <w:r w:rsidR="00344D80">
              <w:rPr>
                <w:webHidden/>
              </w:rPr>
            </w:r>
            <w:r w:rsidR="00344D80">
              <w:rPr>
                <w:webHidden/>
              </w:rPr>
              <w:fldChar w:fldCharType="separate"/>
            </w:r>
            <w:r w:rsidR="00344D80">
              <w:rPr>
                <w:webHidden/>
              </w:rPr>
              <w:t>9</w:t>
            </w:r>
            <w:r w:rsidR="00344D80">
              <w:rPr>
                <w:webHidden/>
              </w:rPr>
              <w:fldChar w:fldCharType="end"/>
            </w:r>
          </w:hyperlink>
        </w:p>
        <w:p w14:paraId="167EBBC0" w14:textId="42DAC25A" w:rsidR="00344D80" w:rsidRDefault="00D07A86">
          <w:pPr>
            <w:pStyle w:val="TOC2"/>
            <w:rPr>
              <w:rFonts w:eastAsiaTheme="minorEastAsia" w:cstheme="minorBidi"/>
              <w:szCs w:val="22"/>
              <w:lang w:eastAsia="en-AU"/>
            </w:rPr>
          </w:pPr>
          <w:hyperlink w:anchor="_Toc70082346" w:history="1">
            <w:r w:rsidR="00344D80" w:rsidRPr="004A0B53">
              <w:rPr>
                <w:rStyle w:val="Hyperlink"/>
              </w:rPr>
              <w:t>Table ES1: Multi-criteria analysis</w:t>
            </w:r>
            <w:r w:rsidR="00344D80">
              <w:rPr>
                <w:webHidden/>
              </w:rPr>
              <w:tab/>
            </w:r>
            <w:r w:rsidR="00344D80">
              <w:rPr>
                <w:webHidden/>
              </w:rPr>
              <w:fldChar w:fldCharType="begin"/>
            </w:r>
            <w:r w:rsidR="00344D80">
              <w:rPr>
                <w:webHidden/>
              </w:rPr>
              <w:instrText xml:space="preserve"> PAGEREF _Toc70082346 \h </w:instrText>
            </w:r>
            <w:r w:rsidR="00344D80">
              <w:rPr>
                <w:webHidden/>
              </w:rPr>
            </w:r>
            <w:r w:rsidR="00344D80">
              <w:rPr>
                <w:webHidden/>
              </w:rPr>
              <w:fldChar w:fldCharType="separate"/>
            </w:r>
            <w:r w:rsidR="00344D80">
              <w:rPr>
                <w:webHidden/>
              </w:rPr>
              <w:t>10</w:t>
            </w:r>
            <w:r w:rsidR="00344D80">
              <w:rPr>
                <w:webHidden/>
              </w:rPr>
              <w:fldChar w:fldCharType="end"/>
            </w:r>
          </w:hyperlink>
        </w:p>
        <w:p w14:paraId="16F583F4" w14:textId="2E43AD8C" w:rsidR="00344D80" w:rsidRDefault="00D07A86">
          <w:pPr>
            <w:pStyle w:val="TOC2"/>
            <w:rPr>
              <w:rFonts w:eastAsiaTheme="minorEastAsia" w:cstheme="minorBidi"/>
              <w:szCs w:val="22"/>
              <w:lang w:eastAsia="en-AU"/>
            </w:rPr>
          </w:pPr>
          <w:hyperlink w:anchor="_Toc70082347" w:history="1">
            <w:r w:rsidR="00344D80" w:rsidRPr="004A0B53">
              <w:rPr>
                <w:rStyle w:val="Hyperlink"/>
              </w:rPr>
              <w:t>Proposed measure</w:t>
            </w:r>
            <w:r w:rsidR="00344D80">
              <w:rPr>
                <w:webHidden/>
              </w:rPr>
              <w:tab/>
            </w:r>
            <w:r w:rsidR="00344D80">
              <w:rPr>
                <w:webHidden/>
              </w:rPr>
              <w:fldChar w:fldCharType="begin"/>
            </w:r>
            <w:r w:rsidR="00344D80">
              <w:rPr>
                <w:webHidden/>
              </w:rPr>
              <w:instrText xml:space="preserve"> PAGEREF _Toc70082347 \h </w:instrText>
            </w:r>
            <w:r w:rsidR="00344D80">
              <w:rPr>
                <w:webHidden/>
              </w:rPr>
            </w:r>
            <w:r w:rsidR="00344D80">
              <w:rPr>
                <w:webHidden/>
              </w:rPr>
              <w:fldChar w:fldCharType="separate"/>
            </w:r>
            <w:r w:rsidR="00344D80">
              <w:rPr>
                <w:webHidden/>
              </w:rPr>
              <w:t>10</w:t>
            </w:r>
            <w:r w:rsidR="00344D80">
              <w:rPr>
                <w:webHidden/>
              </w:rPr>
              <w:fldChar w:fldCharType="end"/>
            </w:r>
          </w:hyperlink>
        </w:p>
        <w:p w14:paraId="63D3DAE4" w14:textId="5D24E976" w:rsidR="00344D80" w:rsidRDefault="00D07A86">
          <w:pPr>
            <w:pStyle w:val="TOC2"/>
            <w:rPr>
              <w:rFonts w:eastAsiaTheme="minorEastAsia" w:cstheme="minorBidi"/>
              <w:szCs w:val="22"/>
              <w:lang w:eastAsia="en-AU"/>
            </w:rPr>
          </w:pPr>
          <w:hyperlink w:anchor="_Toc70082348" w:history="1">
            <w:r w:rsidR="00344D80" w:rsidRPr="004A0B53">
              <w:rPr>
                <w:rStyle w:val="Hyperlink"/>
              </w:rPr>
              <w:t>Costs and benefits of the proposed measure and groups in society who may be affected</w:t>
            </w:r>
            <w:r w:rsidR="00344D80">
              <w:rPr>
                <w:webHidden/>
              </w:rPr>
              <w:tab/>
            </w:r>
            <w:r w:rsidR="00344D80">
              <w:rPr>
                <w:webHidden/>
              </w:rPr>
              <w:fldChar w:fldCharType="begin"/>
            </w:r>
            <w:r w:rsidR="00344D80">
              <w:rPr>
                <w:webHidden/>
              </w:rPr>
              <w:instrText xml:space="preserve"> PAGEREF _Toc70082348 \h </w:instrText>
            </w:r>
            <w:r w:rsidR="00344D80">
              <w:rPr>
                <w:webHidden/>
              </w:rPr>
            </w:r>
            <w:r w:rsidR="00344D80">
              <w:rPr>
                <w:webHidden/>
              </w:rPr>
              <w:fldChar w:fldCharType="separate"/>
            </w:r>
            <w:r w:rsidR="00344D80">
              <w:rPr>
                <w:webHidden/>
              </w:rPr>
              <w:t>11</w:t>
            </w:r>
            <w:r w:rsidR="00344D80">
              <w:rPr>
                <w:webHidden/>
              </w:rPr>
              <w:fldChar w:fldCharType="end"/>
            </w:r>
          </w:hyperlink>
        </w:p>
        <w:p w14:paraId="51813FF5" w14:textId="4756BFF1" w:rsidR="00344D80" w:rsidRDefault="00D07A86">
          <w:pPr>
            <w:pStyle w:val="TOC2"/>
            <w:rPr>
              <w:rFonts w:eastAsiaTheme="minorEastAsia" w:cstheme="minorBidi"/>
              <w:szCs w:val="22"/>
              <w:lang w:eastAsia="en-AU"/>
            </w:rPr>
          </w:pPr>
          <w:hyperlink w:anchor="_Toc70082349" w:history="1">
            <w:r w:rsidR="00344D80" w:rsidRPr="004A0B53">
              <w:rPr>
                <w:rStyle w:val="Hyperlink"/>
              </w:rPr>
              <w:t>Why other means of achieving the objectives are not appropriate</w:t>
            </w:r>
            <w:r w:rsidR="00344D80">
              <w:rPr>
                <w:webHidden/>
              </w:rPr>
              <w:tab/>
            </w:r>
            <w:r w:rsidR="00344D80">
              <w:rPr>
                <w:webHidden/>
              </w:rPr>
              <w:fldChar w:fldCharType="begin"/>
            </w:r>
            <w:r w:rsidR="00344D80">
              <w:rPr>
                <w:webHidden/>
              </w:rPr>
              <w:instrText xml:space="preserve"> PAGEREF _Toc70082349 \h </w:instrText>
            </w:r>
            <w:r w:rsidR="00344D80">
              <w:rPr>
                <w:webHidden/>
              </w:rPr>
            </w:r>
            <w:r w:rsidR="00344D80">
              <w:rPr>
                <w:webHidden/>
              </w:rPr>
              <w:fldChar w:fldCharType="separate"/>
            </w:r>
            <w:r w:rsidR="00344D80">
              <w:rPr>
                <w:webHidden/>
              </w:rPr>
              <w:t>12</w:t>
            </w:r>
            <w:r w:rsidR="00344D80">
              <w:rPr>
                <w:webHidden/>
              </w:rPr>
              <w:fldChar w:fldCharType="end"/>
            </w:r>
          </w:hyperlink>
        </w:p>
        <w:p w14:paraId="667F7FC1" w14:textId="23BB39AD" w:rsidR="00344D80" w:rsidRDefault="00D07A86">
          <w:pPr>
            <w:pStyle w:val="TOC2"/>
            <w:rPr>
              <w:rFonts w:eastAsiaTheme="minorEastAsia" w:cstheme="minorBidi"/>
              <w:szCs w:val="22"/>
              <w:lang w:eastAsia="en-AU"/>
            </w:rPr>
          </w:pPr>
          <w:hyperlink w:anchor="_Toc70082350" w:history="1">
            <w:r w:rsidR="00344D80" w:rsidRPr="004A0B53">
              <w:rPr>
                <w:rStyle w:val="Hyperlink"/>
              </w:rPr>
              <w:t>Implementation and Evaluation</w:t>
            </w:r>
            <w:r w:rsidR="00344D80">
              <w:rPr>
                <w:webHidden/>
              </w:rPr>
              <w:tab/>
            </w:r>
            <w:r w:rsidR="00344D80">
              <w:rPr>
                <w:webHidden/>
              </w:rPr>
              <w:fldChar w:fldCharType="begin"/>
            </w:r>
            <w:r w:rsidR="00344D80">
              <w:rPr>
                <w:webHidden/>
              </w:rPr>
              <w:instrText xml:space="preserve"> PAGEREF _Toc70082350 \h </w:instrText>
            </w:r>
            <w:r w:rsidR="00344D80">
              <w:rPr>
                <w:webHidden/>
              </w:rPr>
            </w:r>
            <w:r w:rsidR="00344D80">
              <w:rPr>
                <w:webHidden/>
              </w:rPr>
              <w:fldChar w:fldCharType="separate"/>
            </w:r>
            <w:r w:rsidR="00344D80">
              <w:rPr>
                <w:webHidden/>
              </w:rPr>
              <w:t>12</w:t>
            </w:r>
            <w:r w:rsidR="00344D80">
              <w:rPr>
                <w:webHidden/>
              </w:rPr>
              <w:fldChar w:fldCharType="end"/>
            </w:r>
          </w:hyperlink>
        </w:p>
        <w:p w14:paraId="44550294" w14:textId="16874B48" w:rsidR="00344D80" w:rsidRDefault="00D07A86">
          <w:pPr>
            <w:pStyle w:val="TOC2"/>
            <w:rPr>
              <w:rFonts w:eastAsiaTheme="minorEastAsia" w:cstheme="minorBidi"/>
              <w:szCs w:val="22"/>
              <w:lang w:eastAsia="en-AU"/>
            </w:rPr>
          </w:pPr>
          <w:hyperlink w:anchor="_Toc70082351" w:history="1">
            <w:r w:rsidR="00344D80" w:rsidRPr="004A0B53">
              <w:rPr>
                <w:rStyle w:val="Hyperlink"/>
              </w:rPr>
              <w:t>Consultation</w:t>
            </w:r>
            <w:r w:rsidR="00344D80">
              <w:rPr>
                <w:webHidden/>
              </w:rPr>
              <w:tab/>
            </w:r>
            <w:r w:rsidR="00344D80">
              <w:rPr>
                <w:webHidden/>
              </w:rPr>
              <w:fldChar w:fldCharType="begin"/>
            </w:r>
            <w:r w:rsidR="00344D80">
              <w:rPr>
                <w:webHidden/>
              </w:rPr>
              <w:instrText xml:space="preserve"> PAGEREF _Toc70082351 \h </w:instrText>
            </w:r>
            <w:r w:rsidR="00344D80">
              <w:rPr>
                <w:webHidden/>
              </w:rPr>
            </w:r>
            <w:r w:rsidR="00344D80">
              <w:rPr>
                <w:webHidden/>
              </w:rPr>
              <w:fldChar w:fldCharType="separate"/>
            </w:r>
            <w:r w:rsidR="00344D80">
              <w:rPr>
                <w:webHidden/>
              </w:rPr>
              <w:t>13</w:t>
            </w:r>
            <w:r w:rsidR="00344D80">
              <w:rPr>
                <w:webHidden/>
              </w:rPr>
              <w:fldChar w:fldCharType="end"/>
            </w:r>
          </w:hyperlink>
        </w:p>
        <w:p w14:paraId="0C50BE16" w14:textId="63308280" w:rsidR="00344D80" w:rsidRDefault="00D07A86">
          <w:pPr>
            <w:pStyle w:val="TOC1"/>
            <w:tabs>
              <w:tab w:val="left" w:pos="567"/>
            </w:tabs>
            <w:rPr>
              <w:rFonts w:eastAsiaTheme="minorEastAsia" w:cstheme="minorBidi"/>
              <w:b w:val="0"/>
              <w:sz w:val="22"/>
              <w:szCs w:val="22"/>
              <w:lang w:eastAsia="en-AU"/>
            </w:rPr>
          </w:pPr>
          <w:hyperlink w:anchor="_Toc70082352" w:history="1">
            <w:r w:rsidR="00344D80" w:rsidRPr="004A0B53">
              <w:rPr>
                <w:rStyle w:val="Hyperlink"/>
              </w:rPr>
              <w:t>1.</w:t>
            </w:r>
            <w:r w:rsidR="00344D80">
              <w:rPr>
                <w:rFonts w:eastAsiaTheme="minorEastAsia" w:cstheme="minorBidi"/>
                <w:b w:val="0"/>
                <w:sz w:val="22"/>
                <w:szCs w:val="22"/>
                <w:lang w:eastAsia="en-AU"/>
              </w:rPr>
              <w:tab/>
            </w:r>
            <w:r w:rsidR="00344D80" w:rsidRPr="004A0B53">
              <w:rPr>
                <w:rStyle w:val="Hyperlink"/>
              </w:rPr>
              <w:t>Introduction</w:t>
            </w:r>
            <w:r w:rsidR="00344D80">
              <w:rPr>
                <w:webHidden/>
              </w:rPr>
              <w:tab/>
            </w:r>
            <w:r w:rsidR="00344D80">
              <w:rPr>
                <w:webHidden/>
              </w:rPr>
              <w:fldChar w:fldCharType="begin"/>
            </w:r>
            <w:r w:rsidR="00344D80">
              <w:rPr>
                <w:webHidden/>
              </w:rPr>
              <w:instrText xml:space="preserve"> PAGEREF _Toc70082352 \h </w:instrText>
            </w:r>
            <w:r w:rsidR="00344D80">
              <w:rPr>
                <w:webHidden/>
              </w:rPr>
            </w:r>
            <w:r w:rsidR="00344D80">
              <w:rPr>
                <w:webHidden/>
              </w:rPr>
              <w:fldChar w:fldCharType="separate"/>
            </w:r>
            <w:r w:rsidR="00344D80">
              <w:rPr>
                <w:webHidden/>
              </w:rPr>
              <w:t>14</w:t>
            </w:r>
            <w:r w:rsidR="00344D80">
              <w:rPr>
                <w:webHidden/>
              </w:rPr>
              <w:fldChar w:fldCharType="end"/>
            </w:r>
          </w:hyperlink>
        </w:p>
        <w:p w14:paraId="10990F10" w14:textId="4FF5A15B" w:rsidR="00344D80" w:rsidRDefault="00D07A86">
          <w:pPr>
            <w:pStyle w:val="TOC2"/>
            <w:rPr>
              <w:rFonts w:eastAsiaTheme="minorEastAsia" w:cstheme="minorBidi"/>
              <w:szCs w:val="22"/>
              <w:lang w:eastAsia="en-AU"/>
            </w:rPr>
          </w:pPr>
          <w:hyperlink w:anchor="_Toc70082353" w:history="1">
            <w:r w:rsidR="00344D80" w:rsidRPr="004A0B53">
              <w:rPr>
                <w:rStyle w:val="Hyperlink"/>
              </w:rPr>
              <w:t>Subordinate legislation</w:t>
            </w:r>
            <w:r w:rsidR="00344D80">
              <w:rPr>
                <w:webHidden/>
              </w:rPr>
              <w:tab/>
            </w:r>
            <w:r w:rsidR="00344D80">
              <w:rPr>
                <w:webHidden/>
              </w:rPr>
              <w:fldChar w:fldCharType="begin"/>
            </w:r>
            <w:r w:rsidR="00344D80">
              <w:rPr>
                <w:webHidden/>
              </w:rPr>
              <w:instrText xml:space="preserve"> PAGEREF _Toc70082353 \h </w:instrText>
            </w:r>
            <w:r w:rsidR="00344D80">
              <w:rPr>
                <w:webHidden/>
              </w:rPr>
            </w:r>
            <w:r w:rsidR="00344D80">
              <w:rPr>
                <w:webHidden/>
              </w:rPr>
              <w:fldChar w:fldCharType="separate"/>
            </w:r>
            <w:r w:rsidR="00344D80">
              <w:rPr>
                <w:webHidden/>
              </w:rPr>
              <w:t>15</w:t>
            </w:r>
            <w:r w:rsidR="00344D80">
              <w:rPr>
                <w:webHidden/>
              </w:rPr>
              <w:fldChar w:fldCharType="end"/>
            </w:r>
          </w:hyperlink>
        </w:p>
        <w:p w14:paraId="5AE38DB6" w14:textId="342294AF" w:rsidR="00344D80" w:rsidRDefault="00D07A86">
          <w:pPr>
            <w:pStyle w:val="TOC2"/>
            <w:rPr>
              <w:rFonts w:eastAsiaTheme="minorEastAsia" w:cstheme="minorBidi"/>
              <w:szCs w:val="22"/>
              <w:lang w:eastAsia="en-AU"/>
            </w:rPr>
          </w:pPr>
          <w:hyperlink w:anchor="_Toc70082354" w:history="1">
            <w:r w:rsidR="00344D80" w:rsidRPr="004A0B53">
              <w:rPr>
                <w:rStyle w:val="Hyperlink"/>
              </w:rPr>
              <w:t>Legislative instruments</w:t>
            </w:r>
            <w:r w:rsidR="00344D80">
              <w:rPr>
                <w:webHidden/>
              </w:rPr>
              <w:tab/>
            </w:r>
            <w:r w:rsidR="00344D80">
              <w:rPr>
                <w:webHidden/>
              </w:rPr>
              <w:fldChar w:fldCharType="begin"/>
            </w:r>
            <w:r w:rsidR="00344D80">
              <w:rPr>
                <w:webHidden/>
              </w:rPr>
              <w:instrText xml:space="preserve"> PAGEREF _Toc70082354 \h </w:instrText>
            </w:r>
            <w:r w:rsidR="00344D80">
              <w:rPr>
                <w:webHidden/>
              </w:rPr>
            </w:r>
            <w:r w:rsidR="00344D80">
              <w:rPr>
                <w:webHidden/>
              </w:rPr>
              <w:fldChar w:fldCharType="separate"/>
            </w:r>
            <w:r w:rsidR="00344D80">
              <w:rPr>
                <w:webHidden/>
              </w:rPr>
              <w:t>16</w:t>
            </w:r>
            <w:r w:rsidR="00344D80">
              <w:rPr>
                <w:webHidden/>
              </w:rPr>
              <w:fldChar w:fldCharType="end"/>
            </w:r>
          </w:hyperlink>
        </w:p>
        <w:p w14:paraId="66C06218" w14:textId="0B6FCCD9" w:rsidR="00344D80" w:rsidRDefault="00D07A86">
          <w:pPr>
            <w:pStyle w:val="TOC1"/>
            <w:tabs>
              <w:tab w:val="left" w:pos="567"/>
            </w:tabs>
            <w:rPr>
              <w:rFonts w:eastAsiaTheme="minorEastAsia" w:cstheme="minorBidi"/>
              <w:b w:val="0"/>
              <w:sz w:val="22"/>
              <w:szCs w:val="22"/>
              <w:lang w:eastAsia="en-AU"/>
            </w:rPr>
          </w:pPr>
          <w:hyperlink w:anchor="_Toc70082355" w:history="1">
            <w:r w:rsidR="00344D80" w:rsidRPr="004A0B53">
              <w:rPr>
                <w:rStyle w:val="Hyperlink"/>
              </w:rPr>
              <w:t>2.</w:t>
            </w:r>
            <w:r w:rsidR="00344D80">
              <w:rPr>
                <w:rFonts w:eastAsiaTheme="minorEastAsia" w:cstheme="minorBidi"/>
                <w:b w:val="0"/>
                <w:sz w:val="22"/>
                <w:szCs w:val="22"/>
                <w:lang w:eastAsia="en-AU"/>
              </w:rPr>
              <w:tab/>
            </w:r>
            <w:r w:rsidR="00344D80" w:rsidRPr="004A0B53">
              <w:rPr>
                <w:rStyle w:val="Hyperlink"/>
              </w:rPr>
              <w:t>Problem Analysis</w:t>
            </w:r>
            <w:r w:rsidR="00344D80">
              <w:rPr>
                <w:webHidden/>
              </w:rPr>
              <w:tab/>
            </w:r>
            <w:r w:rsidR="00344D80">
              <w:rPr>
                <w:webHidden/>
              </w:rPr>
              <w:fldChar w:fldCharType="begin"/>
            </w:r>
            <w:r w:rsidR="00344D80">
              <w:rPr>
                <w:webHidden/>
              </w:rPr>
              <w:instrText xml:space="preserve"> PAGEREF _Toc70082355 \h </w:instrText>
            </w:r>
            <w:r w:rsidR="00344D80">
              <w:rPr>
                <w:webHidden/>
              </w:rPr>
            </w:r>
            <w:r w:rsidR="00344D80">
              <w:rPr>
                <w:webHidden/>
              </w:rPr>
              <w:fldChar w:fldCharType="separate"/>
            </w:r>
            <w:r w:rsidR="00344D80">
              <w:rPr>
                <w:webHidden/>
              </w:rPr>
              <w:t>22</w:t>
            </w:r>
            <w:r w:rsidR="00344D80">
              <w:rPr>
                <w:webHidden/>
              </w:rPr>
              <w:fldChar w:fldCharType="end"/>
            </w:r>
          </w:hyperlink>
        </w:p>
        <w:p w14:paraId="7D8030E5" w14:textId="369CF7BE" w:rsidR="00344D80" w:rsidRDefault="00D07A86">
          <w:pPr>
            <w:pStyle w:val="TOC2"/>
            <w:rPr>
              <w:rFonts w:eastAsiaTheme="minorEastAsia" w:cstheme="minorBidi"/>
              <w:szCs w:val="22"/>
              <w:lang w:eastAsia="en-AU"/>
            </w:rPr>
          </w:pPr>
          <w:hyperlink w:anchor="_Toc70082356" w:history="1">
            <w:r w:rsidR="00344D80" w:rsidRPr="004A0B53">
              <w:rPr>
                <w:rStyle w:val="Hyperlink"/>
              </w:rPr>
              <w:t>Impact on responsible agencies and Ministers under the base case</w:t>
            </w:r>
            <w:r w:rsidR="00344D80">
              <w:rPr>
                <w:webHidden/>
              </w:rPr>
              <w:tab/>
            </w:r>
            <w:r w:rsidR="00344D80">
              <w:rPr>
                <w:webHidden/>
              </w:rPr>
              <w:fldChar w:fldCharType="begin"/>
            </w:r>
            <w:r w:rsidR="00344D80">
              <w:rPr>
                <w:webHidden/>
              </w:rPr>
              <w:instrText xml:space="preserve"> PAGEREF _Toc70082356 \h </w:instrText>
            </w:r>
            <w:r w:rsidR="00344D80">
              <w:rPr>
                <w:webHidden/>
              </w:rPr>
            </w:r>
            <w:r w:rsidR="00344D80">
              <w:rPr>
                <w:webHidden/>
              </w:rPr>
              <w:fldChar w:fldCharType="separate"/>
            </w:r>
            <w:r w:rsidR="00344D80">
              <w:rPr>
                <w:webHidden/>
              </w:rPr>
              <w:t>22</w:t>
            </w:r>
            <w:r w:rsidR="00344D80">
              <w:rPr>
                <w:webHidden/>
              </w:rPr>
              <w:fldChar w:fldCharType="end"/>
            </w:r>
          </w:hyperlink>
        </w:p>
        <w:p w14:paraId="39E0BCE6" w14:textId="200C7F29" w:rsidR="00344D80" w:rsidRDefault="00D07A86">
          <w:pPr>
            <w:pStyle w:val="TOC2"/>
            <w:rPr>
              <w:rFonts w:eastAsiaTheme="minorEastAsia" w:cstheme="minorBidi"/>
              <w:szCs w:val="22"/>
              <w:lang w:eastAsia="en-AU"/>
            </w:rPr>
          </w:pPr>
          <w:hyperlink w:anchor="_Toc70082357" w:history="1">
            <w:r w:rsidR="00344D80" w:rsidRPr="004A0B53">
              <w:rPr>
                <w:rStyle w:val="Hyperlink"/>
              </w:rPr>
              <w:t>Prescribed legislative instruments</w:t>
            </w:r>
            <w:r w:rsidR="00344D80">
              <w:rPr>
                <w:webHidden/>
              </w:rPr>
              <w:tab/>
            </w:r>
            <w:r w:rsidR="00344D80">
              <w:rPr>
                <w:webHidden/>
              </w:rPr>
              <w:fldChar w:fldCharType="begin"/>
            </w:r>
            <w:r w:rsidR="00344D80">
              <w:rPr>
                <w:webHidden/>
              </w:rPr>
              <w:instrText xml:space="preserve"> PAGEREF _Toc70082357 \h </w:instrText>
            </w:r>
            <w:r w:rsidR="00344D80">
              <w:rPr>
                <w:webHidden/>
              </w:rPr>
            </w:r>
            <w:r w:rsidR="00344D80">
              <w:rPr>
                <w:webHidden/>
              </w:rPr>
              <w:fldChar w:fldCharType="separate"/>
            </w:r>
            <w:r w:rsidR="00344D80">
              <w:rPr>
                <w:webHidden/>
              </w:rPr>
              <w:t>24</w:t>
            </w:r>
            <w:r w:rsidR="00344D80">
              <w:rPr>
                <w:webHidden/>
              </w:rPr>
              <w:fldChar w:fldCharType="end"/>
            </w:r>
          </w:hyperlink>
        </w:p>
        <w:p w14:paraId="7DBB9932" w14:textId="6D84D8AF" w:rsidR="00344D80" w:rsidRDefault="00D07A86">
          <w:pPr>
            <w:pStyle w:val="TOC2"/>
            <w:rPr>
              <w:rFonts w:eastAsiaTheme="minorEastAsia" w:cstheme="minorBidi"/>
              <w:szCs w:val="22"/>
              <w:lang w:eastAsia="en-AU"/>
            </w:rPr>
          </w:pPr>
          <w:hyperlink w:anchor="_Toc70082358" w:history="1">
            <w:r w:rsidR="00344D80" w:rsidRPr="004A0B53">
              <w:rPr>
                <w:rStyle w:val="Hyperlink"/>
              </w:rPr>
              <w:t>Desired Objectives</w:t>
            </w:r>
            <w:r w:rsidR="00344D80">
              <w:rPr>
                <w:webHidden/>
              </w:rPr>
              <w:tab/>
            </w:r>
            <w:r w:rsidR="00344D80">
              <w:rPr>
                <w:webHidden/>
              </w:rPr>
              <w:fldChar w:fldCharType="begin"/>
            </w:r>
            <w:r w:rsidR="00344D80">
              <w:rPr>
                <w:webHidden/>
              </w:rPr>
              <w:instrText xml:space="preserve"> PAGEREF _Toc70082358 \h </w:instrText>
            </w:r>
            <w:r w:rsidR="00344D80">
              <w:rPr>
                <w:webHidden/>
              </w:rPr>
            </w:r>
            <w:r w:rsidR="00344D80">
              <w:rPr>
                <w:webHidden/>
              </w:rPr>
              <w:fldChar w:fldCharType="separate"/>
            </w:r>
            <w:r w:rsidR="00344D80">
              <w:rPr>
                <w:webHidden/>
              </w:rPr>
              <w:t>25</w:t>
            </w:r>
            <w:r w:rsidR="00344D80">
              <w:rPr>
                <w:webHidden/>
              </w:rPr>
              <w:fldChar w:fldCharType="end"/>
            </w:r>
          </w:hyperlink>
        </w:p>
        <w:p w14:paraId="20F1049C" w14:textId="6FB86FE9" w:rsidR="00344D80" w:rsidRDefault="00D07A86">
          <w:pPr>
            <w:pStyle w:val="TOC3"/>
            <w:rPr>
              <w:rFonts w:asciiTheme="minorHAnsi" w:eastAsiaTheme="minorEastAsia" w:hAnsiTheme="minorHAnsi" w:cstheme="minorBidi"/>
              <w:noProof/>
              <w:sz w:val="22"/>
              <w:szCs w:val="22"/>
              <w:lang w:eastAsia="en-AU"/>
            </w:rPr>
          </w:pPr>
          <w:hyperlink w:anchor="_Toc70082359" w:history="1">
            <w:r w:rsidR="00344D80" w:rsidRPr="004A0B53">
              <w:rPr>
                <w:rStyle w:val="Hyperlink"/>
                <w:noProof/>
              </w:rPr>
              <w:t>Efficient allocation of resources</w:t>
            </w:r>
            <w:r w:rsidR="00344D80">
              <w:rPr>
                <w:noProof/>
                <w:webHidden/>
              </w:rPr>
              <w:tab/>
            </w:r>
            <w:r w:rsidR="00344D80">
              <w:rPr>
                <w:noProof/>
                <w:webHidden/>
              </w:rPr>
              <w:fldChar w:fldCharType="begin"/>
            </w:r>
            <w:r w:rsidR="00344D80">
              <w:rPr>
                <w:noProof/>
                <w:webHidden/>
              </w:rPr>
              <w:instrText xml:space="preserve"> PAGEREF _Toc70082359 \h </w:instrText>
            </w:r>
            <w:r w:rsidR="00344D80">
              <w:rPr>
                <w:noProof/>
                <w:webHidden/>
              </w:rPr>
            </w:r>
            <w:r w:rsidR="00344D80">
              <w:rPr>
                <w:noProof/>
                <w:webHidden/>
              </w:rPr>
              <w:fldChar w:fldCharType="separate"/>
            </w:r>
            <w:r w:rsidR="00344D80">
              <w:rPr>
                <w:noProof/>
                <w:webHidden/>
              </w:rPr>
              <w:t>25</w:t>
            </w:r>
            <w:r w:rsidR="00344D80">
              <w:rPr>
                <w:noProof/>
                <w:webHidden/>
              </w:rPr>
              <w:fldChar w:fldCharType="end"/>
            </w:r>
          </w:hyperlink>
        </w:p>
        <w:p w14:paraId="594A8872" w14:textId="6F7C06AE" w:rsidR="00344D80" w:rsidRDefault="00D07A86">
          <w:pPr>
            <w:pStyle w:val="TOC3"/>
            <w:rPr>
              <w:rFonts w:asciiTheme="minorHAnsi" w:eastAsiaTheme="minorEastAsia" w:hAnsiTheme="minorHAnsi" w:cstheme="minorBidi"/>
              <w:noProof/>
              <w:sz w:val="22"/>
              <w:szCs w:val="22"/>
              <w:lang w:eastAsia="en-AU"/>
            </w:rPr>
          </w:pPr>
          <w:hyperlink w:anchor="_Toc70082360" w:history="1">
            <w:r w:rsidR="00344D80" w:rsidRPr="004A0B53">
              <w:rPr>
                <w:rStyle w:val="Hyperlink"/>
                <w:noProof/>
              </w:rPr>
              <w:t>Minimising unnecessary delays when making instruments</w:t>
            </w:r>
            <w:r w:rsidR="00344D80">
              <w:rPr>
                <w:noProof/>
                <w:webHidden/>
              </w:rPr>
              <w:tab/>
            </w:r>
            <w:r w:rsidR="00344D80">
              <w:rPr>
                <w:noProof/>
                <w:webHidden/>
              </w:rPr>
              <w:fldChar w:fldCharType="begin"/>
            </w:r>
            <w:r w:rsidR="00344D80">
              <w:rPr>
                <w:noProof/>
                <w:webHidden/>
              </w:rPr>
              <w:instrText xml:space="preserve"> PAGEREF _Toc70082360 \h </w:instrText>
            </w:r>
            <w:r w:rsidR="00344D80">
              <w:rPr>
                <w:noProof/>
                <w:webHidden/>
              </w:rPr>
            </w:r>
            <w:r w:rsidR="00344D80">
              <w:rPr>
                <w:noProof/>
                <w:webHidden/>
              </w:rPr>
              <w:fldChar w:fldCharType="separate"/>
            </w:r>
            <w:r w:rsidR="00344D80">
              <w:rPr>
                <w:noProof/>
                <w:webHidden/>
              </w:rPr>
              <w:t>25</w:t>
            </w:r>
            <w:r w:rsidR="00344D80">
              <w:rPr>
                <w:noProof/>
                <w:webHidden/>
              </w:rPr>
              <w:fldChar w:fldCharType="end"/>
            </w:r>
          </w:hyperlink>
        </w:p>
        <w:p w14:paraId="1B616AF6" w14:textId="699750FB" w:rsidR="00344D80" w:rsidRDefault="00D07A86">
          <w:pPr>
            <w:pStyle w:val="TOC3"/>
            <w:rPr>
              <w:rFonts w:asciiTheme="minorHAnsi" w:eastAsiaTheme="minorEastAsia" w:hAnsiTheme="minorHAnsi" w:cstheme="minorBidi"/>
              <w:noProof/>
              <w:sz w:val="22"/>
              <w:szCs w:val="22"/>
              <w:lang w:eastAsia="en-AU"/>
            </w:rPr>
          </w:pPr>
          <w:hyperlink w:anchor="_Toc70082361" w:history="1">
            <w:r w:rsidR="00344D80" w:rsidRPr="004A0B53">
              <w:rPr>
                <w:rStyle w:val="Hyperlink"/>
                <w:noProof/>
              </w:rPr>
              <w:t>Appropriate level of scrutiny of instruments</w:t>
            </w:r>
            <w:r w:rsidR="00344D80">
              <w:rPr>
                <w:noProof/>
                <w:webHidden/>
              </w:rPr>
              <w:tab/>
            </w:r>
            <w:r w:rsidR="00344D80">
              <w:rPr>
                <w:noProof/>
                <w:webHidden/>
              </w:rPr>
              <w:fldChar w:fldCharType="begin"/>
            </w:r>
            <w:r w:rsidR="00344D80">
              <w:rPr>
                <w:noProof/>
                <w:webHidden/>
              </w:rPr>
              <w:instrText xml:space="preserve"> PAGEREF _Toc70082361 \h </w:instrText>
            </w:r>
            <w:r w:rsidR="00344D80">
              <w:rPr>
                <w:noProof/>
                <w:webHidden/>
              </w:rPr>
            </w:r>
            <w:r w:rsidR="00344D80">
              <w:rPr>
                <w:noProof/>
                <w:webHidden/>
              </w:rPr>
              <w:fldChar w:fldCharType="separate"/>
            </w:r>
            <w:r w:rsidR="00344D80">
              <w:rPr>
                <w:noProof/>
                <w:webHidden/>
              </w:rPr>
              <w:t>25</w:t>
            </w:r>
            <w:r w:rsidR="00344D80">
              <w:rPr>
                <w:noProof/>
                <w:webHidden/>
              </w:rPr>
              <w:fldChar w:fldCharType="end"/>
            </w:r>
          </w:hyperlink>
        </w:p>
        <w:p w14:paraId="03512847" w14:textId="5059A00A" w:rsidR="00344D80" w:rsidRDefault="00D07A86">
          <w:pPr>
            <w:pStyle w:val="TOC1"/>
            <w:tabs>
              <w:tab w:val="left" w:pos="567"/>
            </w:tabs>
            <w:rPr>
              <w:rFonts w:eastAsiaTheme="minorEastAsia" w:cstheme="minorBidi"/>
              <w:b w:val="0"/>
              <w:sz w:val="22"/>
              <w:szCs w:val="22"/>
              <w:lang w:eastAsia="en-AU"/>
            </w:rPr>
          </w:pPr>
          <w:hyperlink w:anchor="_Toc70082362" w:history="1">
            <w:r w:rsidR="00344D80" w:rsidRPr="004A0B53">
              <w:rPr>
                <w:rStyle w:val="Hyperlink"/>
              </w:rPr>
              <w:t>3.</w:t>
            </w:r>
            <w:r w:rsidR="00344D80">
              <w:rPr>
                <w:rFonts w:eastAsiaTheme="minorEastAsia" w:cstheme="minorBidi"/>
                <w:b w:val="0"/>
                <w:sz w:val="22"/>
                <w:szCs w:val="22"/>
                <w:lang w:eastAsia="en-AU"/>
              </w:rPr>
              <w:tab/>
            </w:r>
            <w:r w:rsidR="00344D80" w:rsidRPr="004A0B53">
              <w:rPr>
                <w:rStyle w:val="Hyperlink"/>
              </w:rPr>
              <w:t>Options</w:t>
            </w:r>
            <w:r w:rsidR="00344D80">
              <w:rPr>
                <w:webHidden/>
              </w:rPr>
              <w:tab/>
            </w:r>
            <w:r w:rsidR="00344D80">
              <w:rPr>
                <w:webHidden/>
              </w:rPr>
              <w:fldChar w:fldCharType="begin"/>
            </w:r>
            <w:r w:rsidR="00344D80">
              <w:rPr>
                <w:webHidden/>
              </w:rPr>
              <w:instrText xml:space="preserve"> PAGEREF _Toc70082362 \h </w:instrText>
            </w:r>
            <w:r w:rsidR="00344D80">
              <w:rPr>
                <w:webHidden/>
              </w:rPr>
            </w:r>
            <w:r w:rsidR="00344D80">
              <w:rPr>
                <w:webHidden/>
              </w:rPr>
              <w:fldChar w:fldCharType="separate"/>
            </w:r>
            <w:r w:rsidR="00344D80">
              <w:rPr>
                <w:webHidden/>
              </w:rPr>
              <w:t>26</w:t>
            </w:r>
            <w:r w:rsidR="00344D80">
              <w:rPr>
                <w:webHidden/>
              </w:rPr>
              <w:fldChar w:fldCharType="end"/>
            </w:r>
          </w:hyperlink>
        </w:p>
        <w:p w14:paraId="5B82D527" w14:textId="0FDFECBD" w:rsidR="00344D80" w:rsidRDefault="00D07A86">
          <w:pPr>
            <w:pStyle w:val="TOC2"/>
            <w:rPr>
              <w:rFonts w:eastAsiaTheme="minorEastAsia" w:cstheme="minorBidi"/>
              <w:szCs w:val="22"/>
              <w:lang w:eastAsia="en-AU"/>
            </w:rPr>
          </w:pPr>
          <w:hyperlink w:anchor="_Toc70082363" w:history="1">
            <w:r w:rsidR="00344D80" w:rsidRPr="004A0B53">
              <w:rPr>
                <w:rStyle w:val="Hyperlink"/>
              </w:rPr>
              <w:t>Part 1 Base Case</w:t>
            </w:r>
            <w:r w:rsidR="00344D80">
              <w:rPr>
                <w:webHidden/>
              </w:rPr>
              <w:tab/>
            </w:r>
            <w:r w:rsidR="00344D80">
              <w:rPr>
                <w:webHidden/>
              </w:rPr>
              <w:fldChar w:fldCharType="begin"/>
            </w:r>
            <w:r w:rsidR="00344D80">
              <w:rPr>
                <w:webHidden/>
              </w:rPr>
              <w:instrText xml:space="preserve"> PAGEREF _Toc70082363 \h </w:instrText>
            </w:r>
            <w:r w:rsidR="00344D80">
              <w:rPr>
                <w:webHidden/>
              </w:rPr>
            </w:r>
            <w:r w:rsidR="00344D80">
              <w:rPr>
                <w:webHidden/>
              </w:rPr>
              <w:fldChar w:fldCharType="separate"/>
            </w:r>
            <w:r w:rsidR="00344D80">
              <w:rPr>
                <w:webHidden/>
              </w:rPr>
              <w:t>26</w:t>
            </w:r>
            <w:r w:rsidR="00344D80">
              <w:rPr>
                <w:webHidden/>
              </w:rPr>
              <w:fldChar w:fldCharType="end"/>
            </w:r>
          </w:hyperlink>
        </w:p>
        <w:p w14:paraId="45381D33" w14:textId="3C96DB18" w:rsidR="00344D80" w:rsidRDefault="00D07A86">
          <w:pPr>
            <w:pStyle w:val="TOC3"/>
            <w:rPr>
              <w:rFonts w:asciiTheme="minorHAnsi" w:eastAsiaTheme="minorEastAsia" w:hAnsiTheme="minorHAnsi" w:cstheme="minorBidi"/>
              <w:noProof/>
              <w:sz w:val="22"/>
              <w:szCs w:val="22"/>
              <w:lang w:eastAsia="en-AU"/>
            </w:rPr>
          </w:pPr>
          <w:hyperlink w:anchor="_Toc70082364" w:history="1">
            <w:r w:rsidR="00344D80" w:rsidRPr="004A0B53">
              <w:rPr>
                <w:rStyle w:val="Hyperlink"/>
                <w:noProof/>
              </w:rPr>
              <w:t>Costs of allowing the Current Regulations to expire</w:t>
            </w:r>
            <w:r w:rsidR="00344D80">
              <w:rPr>
                <w:noProof/>
                <w:webHidden/>
              </w:rPr>
              <w:tab/>
            </w:r>
            <w:r w:rsidR="00344D80">
              <w:rPr>
                <w:noProof/>
                <w:webHidden/>
              </w:rPr>
              <w:fldChar w:fldCharType="begin"/>
            </w:r>
            <w:r w:rsidR="00344D80">
              <w:rPr>
                <w:noProof/>
                <w:webHidden/>
              </w:rPr>
              <w:instrText xml:space="preserve"> PAGEREF _Toc70082364 \h </w:instrText>
            </w:r>
            <w:r w:rsidR="00344D80">
              <w:rPr>
                <w:noProof/>
                <w:webHidden/>
              </w:rPr>
            </w:r>
            <w:r w:rsidR="00344D80">
              <w:rPr>
                <w:noProof/>
                <w:webHidden/>
              </w:rPr>
              <w:fldChar w:fldCharType="separate"/>
            </w:r>
            <w:r w:rsidR="00344D80">
              <w:rPr>
                <w:noProof/>
                <w:webHidden/>
              </w:rPr>
              <w:t>26</w:t>
            </w:r>
            <w:r w:rsidR="00344D80">
              <w:rPr>
                <w:noProof/>
                <w:webHidden/>
              </w:rPr>
              <w:fldChar w:fldCharType="end"/>
            </w:r>
          </w:hyperlink>
        </w:p>
        <w:p w14:paraId="14C50AD1" w14:textId="7C1603AA" w:rsidR="00344D80" w:rsidRDefault="00D07A86">
          <w:pPr>
            <w:pStyle w:val="TOC3"/>
            <w:rPr>
              <w:rFonts w:asciiTheme="minorHAnsi" w:eastAsiaTheme="minorEastAsia" w:hAnsiTheme="minorHAnsi" w:cstheme="minorBidi"/>
              <w:noProof/>
              <w:sz w:val="22"/>
              <w:szCs w:val="22"/>
              <w:lang w:eastAsia="en-AU"/>
            </w:rPr>
          </w:pPr>
          <w:hyperlink w:anchor="_Toc70082365" w:history="1">
            <w:r w:rsidR="00344D80" w:rsidRPr="004A0B53">
              <w:rPr>
                <w:rStyle w:val="Hyperlink"/>
                <w:noProof/>
              </w:rPr>
              <w:t>Benefits of allowing the Current Regulations to expire</w:t>
            </w:r>
            <w:r w:rsidR="00344D80">
              <w:rPr>
                <w:noProof/>
                <w:webHidden/>
              </w:rPr>
              <w:tab/>
            </w:r>
            <w:r w:rsidR="00344D80">
              <w:rPr>
                <w:noProof/>
                <w:webHidden/>
              </w:rPr>
              <w:fldChar w:fldCharType="begin"/>
            </w:r>
            <w:r w:rsidR="00344D80">
              <w:rPr>
                <w:noProof/>
                <w:webHidden/>
              </w:rPr>
              <w:instrText xml:space="preserve"> PAGEREF _Toc70082365 \h </w:instrText>
            </w:r>
            <w:r w:rsidR="00344D80">
              <w:rPr>
                <w:noProof/>
                <w:webHidden/>
              </w:rPr>
            </w:r>
            <w:r w:rsidR="00344D80">
              <w:rPr>
                <w:noProof/>
                <w:webHidden/>
              </w:rPr>
              <w:fldChar w:fldCharType="separate"/>
            </w:r>
            <w:r w:rsidR="00344D80">
              <w:rPr>
                <w:noProof/>
                <w:webHidden/>
              </w:rPr>
              <w:t>28</w:t>
            </w:r>
            <w:r w:rsidR="00344D80">
              <w:rPr>
                <w:noProof/>
                <w:webHidden/>
              </w:rPr>
              <w:fldChar w:fldCharType="end"/>
            </w:r>
          </w:hyperlink>
        </w:p>
        <w:p w14:paraId="663CACDF" w14:textId="07234AB0" w:rsidR="00344D80" w:rsidRDefault="00D07A86">
          <w:pPr>
            <w:pStyle w:val="TOC2"/>
            <w:rPr>
              <w:rFonts w:eastAsiaTheme="minorEastAsia" w:cstheme="minorBidi"/>
              <w:szCs w:val="22"/>
              <w:lang w:eastAsia="en-AU"/>
            </w:rPr>
          </w:pPr>
          <w:hyperlink w:anchor="_Toc70082366" w:history="1">
            <w:r w:rsidR="00344D80" w:rsidRPr="004A0B53">
              <w:rPr>
                <w:rStyle w:val="Hyperlink"/>
              </w:rPr>
              <w:t>Part 2 Options</w:t>
            </w:r>
            <w:r w:rsidR="00344D80">
              <w:rPr>
                <w:webHidden/>
              </w:rPr>
              <w:tab/>
            </w:r>
            <w:r w:rsidR="00344D80">
              <w:rPr>
                <w:webHidden/>
              </w:rPr>
              <w:fldChar w:fldCharType="begin"/>
            </w:r>
            <w:r w:rsidR="00344D80">
              <w:rPr>
                <w:webHidden/>
              </w:rPr>
              <w:instrText xml:space="preserve"> PAGEREF _Toc70082366 \h </w:instrText>
            </w:r>
            <w:r w:rsidR="00344D80">
              <w:rPr>
                <w:webHidden/>
              </w:rPr>
            </w:r>
            <w:r w:rsidR="00344D80">
              <w:rPr>
                <w:webHidden/>
              </w:rPr>
              <w:fldChar w:fldCharType="separate"/>
            </w:r>
            <w:r w:rsidR="00344D80">
              <w:rPr>
                <w:webHidden/>
              </w:rPr>
              <w:t>29</w:t>
            </w:r>
            <w:r w:rsidR="00344D80">
              <w:rPr>
                <w:webHidden/>
              </w:rPr>
              <w:fldChar w:fldCharType="end"/>
            </w:r>
          </w:hyperlink>
        </w:p>
        <w:p w14:paraId="40C0C2A6" w14:textId="00DA95BD" w:rsidR="00344D80" w:rsidRDefault="00D07A86">
          <w:pPr>
            <w:pStyle w:val="TOC2"/>
            <w:rPr>
              <w:rFonts w:eastAsiaTheme="minorEastAsia" w:cstheme="minorBidi"/>
              <w:szCs w:val="22"/>
              <w:lang w:eastAsia="en-AU"/>
            </w:rPr>
          </w:pPr>
          <w:hyperlink w:anchor="_Toc70082367" w:history="1">
            <w:r w:rsidR="00344D80" w:rsidRPr="004A0B53">
              <w:rPr>
                <w:rStyle w:val="Hyperlink"/>
              </w:rPr>
              <w:t>Option One – make the Proposed Regulations – which are effectively a remake of the Current Regulations with minor modifications – Preferred Option</w:t>
            </w:r>
            <w:r w:rsidR="00344D80">
              <w:rPr>
                <w:webHidden/>
              </w:rPr>
              <w:tab/>
            </w:r>
            <w:r w:rsidR="00344D80">
              <w:rPr>
                <w:webHidden/>
              </w:rPr>
              <w:fldChar w:fldCharType="begin"/>
            </w:r>
            <w:r w:rsidR="00344D80">
              <w:rPr>
                <w:webHidden/>
              </w:rPr>
              <w:instrText xml:space="preserve"> PAGEREF _Toc70082367 \h </w:instrText>
            </w:r>
            <w:r w:rsidR="00344D80">
              <w:rPr>
                <w:webHidden/>
              </w:rPr>
            </w:r>
            <w:r w:rsidR="00344D80">
              <w:rPr>
                <w:webHidden/>
              </w:rPr>
              <w:fldChar w:fldCharType="separate"/>
            </w:r>
            <w:r w:rsidR="00344D80">
              <w:rPr>
                <w:webHidden/>
              </w:rPr>
              <w:t>29</w:t>
            </w:r>
            <w:r w:rsidR="00344D80">
              <w:rPr>
                <w:webHidden/>
              </w:rPr>
              <w:fldChar w:fldCharType="end"/>
            </w:r>
          </w:hyperlink>
        </w:p>
        <w:p w14:paraId="3DF839C4" w14:textId="00470107" w:rsidR="00344D80" w:rsidRDefault="00D07A86">
          <w:pPr>
            <w:pStyle w:val="TOC3"/>
            <w:rPr>
              <w:rFonts w:asciiTheme="minorHAnsi" w:eastAsiaTheme="minorEastAsia" w:hAnsiTheme="minorHAnsi" w:cstheme="minorBidi"/>
              <w:noProof/>
              <w:sz w:val="22"/>
              <w:szCs w:val="22"/>
              <w:lang w:eastAsia="en-AU"/>
            </w:rPr>
          </w:pPr>
          <w:hyperlink w:anchor="_Toc70082368" w:history="1">
            <w:r w:rsidR="00344D80" w:rsidRPr="004A0B53">
              <w:rPr>
                <w:rStyle w:val="Hyperlink"/>
                <w:noProof/>
              </w:rPr>
              <w:t>Exemptions for RIS-equivalence or national uniform legislation</w:t>
            </w:r>
            <w:r w:rsidR="00344D80">
              <w:rPr>
                <w:noProof/>
                <w:webHidden/>
              </w:rPr>
              <w:tab/>
            </w:r>
            <w:r w:rsidR="00344D80">
              <w:rPr>
                <w:noProof/>
                <w:webHidden/>
              </w:rPr>
              <w:fldChar w:fldCharType="begin"/>
            </w:r>
            <w:r w:rsidR="00344D80">
              <w:rPr>
                <w:noProof/>
                <w:webHidden/>
              </w:rPr>
              <w:instrText xml:space="preserve"> PAGEREF _Toc70082368 \h </w:instrText>
            </w:r>
            <w:r w:rsidR="00344D80">
              <w:rPr>
                <w:noProof/>
                <w:webHidden/>
              </w:rPr>
            </w:r>
            <w:r w:rsidR="00344D80">
              <w:rPr>
                <w:noProof/>
                <w:webHidden/>
              </w:rPr>
              <w:fldChar w:fldCharType="separate"/>
            </w:r>
            <w:r w:rsidR="00344D80">
              <w:rPr>
                <w:noProof/>
                <w:webHidden/>
              </w:rPr>
              <w:t>32</w:t>
            </w:r>
            <w:r w:rsidR="00344D80">
              <w:rPr>
                <w:noProof/>
                <w:webHidden/>
              </w:rPr>
              <w:fldChar w:fldCharType="end"/>
            </w:r>
          </w:hyperlink>
        </w:p>
        <w:p w14:paraId="76CCD769" w14:textId="74329170" w:rsidR="00344D80" w:rsidRDefault="00D07A86">
          <w:pPr>
            <w:pStyle w:val="TOC3"/>
            <w:rPr>
              <w:rFonts w:asciiTheme="minorHAnsi" w:eastAsiaTheme="minorEastAsia" w:hAnsiTheme="minorHAnsi" w:cstheme="minorBidi"/>
              <w:noProof/>
              <w:sz w:val="22"/>
              <w:szCs w:val="22"/>
              <w:lang w:eastAsia="en-AU"/>
            </w:rPr>
          </w:pPr>
          <w:hyperlink w:anchor="_Toc70082369" w:history="1">
            <w:r w:rsidR="00344D80" w:rsidRPr="004A0B53">
              <w:rPr>
                <w:rStyle w:val="Hyperlink"/>
                <w:noProof/>
              </w:rPr>
              <w:t>RIS-equivalent processes</w:t>
            </w:r>
            <w:r w:rsidR="00344D80">
              <w:rPr>
                <w:noProof/>
                <w:webHidden/>
              </w:rPr>
              <w:tab/>
            </w:r>
            <w:r w:rsidR="00344D80">
              <w:rPr>
                <w:noProof/>
                <w:webHidden/>
              </w:rPr>
              <w:fldChar w:fldCharType="begin"/>
            </w:r>
            <w:r w:rsidR="00344D80">
              <w:rPr>
                <w:noProof/>
                <w:webHidden/>
              </w:rPr>
              <w:instrText xml:space="preserve"> PAGEREF _Toc70082369 \h </w:instrText>
            </w:r>
            <w:r w:rsidR="00344D80">
              <w:rPr>
                <w:noProof/>
                <w:webHidden/>
              </w:rPr>
            </w:r>
            <w:r w:rsidR="00344D80">
              <w:rPr>
                <w:noProof/>
                <w:webHidden/>
              </w:rPr>
              <w:fldChar w:fldCharType="separate"/>
            </w:r>
            <w:r w:rsidR="00344D80">
              <w:rPr>
                <w:noProof/>
                <w:webHidden/>
              </w:rPr>
              <w:t>32</w:t>
            </w:r>
            <w:r w:rsidR="00344D80">
              <w:rPr>
                <w:noProof/>
                <w:webHidden/>
              </w:rPr>
              <w:fldChar w:fldCharType="end"/>
            </w:r>
          </w:hyperlink>
        </w:p>
        <w:p w14:paraId="2B70D4BA" w14:textId="0EBA421C" w:rsidR="00344D80" w:rsidRDefault="00D07A86">
          <w:pPr>
            <w:pStyle w:val="TOC3"/>
            <w:rPr>
              <w:rFonts w:asciiTheme="minorHAnsi" w:eastAsiaTheme="minorEastAsia" w:hAnsiTheme="minorHAnsi" w:cstheme="minorBidi"/>
              <w:noProof/>
              <w:sz w:val="22"/>
              <w:szCs w:val="22"/>
              <w:lang w:eastAsia="en-AU"/>
            </w:rPr>
          </w:pPr>
          <w:hyperlink w:anchor="_Toc70082370" w:history="1">
            <w:r w:rsidR="00344D80" w:rsidRPr="004A0B53">
              <w:rPr>
                <w:rStyle w:val="Hyperlink"/>
                <w:noProof/>
              </w:rPr>
              <w:t>National uniform legislation schemes</w:t>
            </w:r>
            <w:r w:rsidR="00344D80">
              <w:rPr>
                <w:noProof/>
                <w:webHidden/>
              </w:rPr>
              <w:tab/>
            </w:r>
            <w:r w:rsidR="00344D80">
              <w:rPr>
                <w:noProof/>
                <w:webHidden/>
              </w:rPr>
              <w:fldChar w:fldCharType="begin"/>
            </w:r>
            <w:r w:rsidR="00344D80">
              <w:rPr>
                <w:noProof/>
                <w:webHidden/>
              </w:rPr>
              <w:instrText xml:space="preserve"> PAGEREF _Toc70082370 \h </w:instrText>
            </w:r>
            <w:r w:rsidR="00344D80">
              <w:rPr>
                <w:noProof/>
                <w:webHidden/>
              </w:rPr>
            </w:r>
            <w:r w:rsidR="00344D80">
              <w:rPr>
                <w:noProof/>
                <w:webHidden/>
              </w:rPr>
              <w:fldChar w:fldCharType="separate"/>
            </w:r>
            <w:r w:rsidR="00344D80">
              <w:rPr>
                <w:noProof/>
                <w:webHidden/>
              </w:rPr>
              <w:t>34</w:t>
            </w:r>
            <w:r w:rsidR="00344D80">
              <w:rPr>
                <w:noProof/>
                <w:webHidden/>
              </w:rPr>
              <w:fldChar w:fldCharType="end"/>
            </w:r>
          </w:hyperlink>
        </w:p>
        <w:p w14:paraId="229DA788" w14:textId="11D4F106" w:rsidR="00344D80" w:rsidRDefault="00D07A86">
          <w:pPr>
            <w:pStyle w:val="TOC3"/>
            <w:rPr>
              <w:rFonts w:asciiTheme="minorHAnsi" w:eastAsiaTheme="minorEastAsia" w:hAnsiTheme="minorHAnsi" w:cstheme="minorBidi"/>
              <w:noProof/>
              <w:sz w:val="22"/>
              <w:szCs w:val="22"/>
              <w:lang w:eastAsia="en-AU"/>
            </w:rPr>
          </w:pPr>
          <w:hyperlink w:anchor="_Toc70082371" w:history="1">
            <w:r w:rsidR="00344D80" w:rsidRPr="004A0B53">
              <w:rPr>
                <w:rStyle w:val="Hyperlink"/>
                <w:noProof/>
              </w:rPr>
              <w:t>Public interest</w:t>
            </w:r>
            <w:r w:rsidR="00344D80">
              <w:rPr>
                <w:noProof/>
                <w:webHidden/>
              </w:rPr>
              <w:tab/>
            </w:r>
            <w:r w:rsidR="00344D80">
              <w:rPr>
                <w:noProof/>
                <w:webHidden/>
              </w:rPr>
              <w:fldChar w:fldCharType="begin"/>
            </w:r>
            <w:r w:rsidR="00344D80">
              <w:rPr>
                <w:noProof/>
                <w:webHidden/>
              </w:rPr>
              <w:instrText xml:space="preserve"> PAGEREF _Toc70082371 \h </w:instrText>
            </w:r>
            <w:r w:rsidR="00344D80">
              <w:rPr>
                <w:noProof/>
                <w:webHidden/>
              </w:rPr>
            </w:r>
            <w:r w:rsidR="00344D80">
              <w:rPr>
                <w:noProof/>
                <w:webHidden/>
              </w:rPr>
              <w:fldChar w:fldCharType="separate"/>
            </w:r>
            <w:r w:rsidR="00344D80">
              <w:rPr>
                <w:noProof/>
                <w:webHidden/>
              </w:rPr>
              <w:t>35</w:t>
            </w:r>
            <w:r w:rsidR="00344D80">
              <w:rPr>
                <w:noProof/>
                <w:webHidden/>
              </w:rPr>
              <w:fldChar w:fldCharType="end"/>
            </w:r>
          </w:hyperlink>
        </w:p>
        <w:p w14:paraId="1530DC95" w14:textId="0FC18F0E" w:rsidR="00344D80" w:rsidRDefault="00D07A86">
          <w:pPr>
            <w:pStyle w:val="TOC2"/>
            <w:rPr>
              <w:rFonts w:eastAsiaTheme="minorEastAsia" w:cstheme="minorBidi"/>
              <w:szCs w:val="22"/>
              <w:lang w:eastAsia="en-AU"/>
            </w:rPr>
          </w:pPr>
          <w:hyperlink w:anchor="_Toc70082372" w:history="1">
            <w:r w:rsidR="00344D80" w:rsidRPr="004A0B53">
              <w:rPr>
                <w:rStyle w:val="Hyperlink"/>
              </w:rPr>
              <w:t>Option Two – make the Proposed Regulations as in Option 1 but with the exclusion of two categories of legislative instruments that face alternative scrutiny processes</w:t>
            </w:r>
            <w:r w:rsidR="00344D80">
              <w:rPr>
                <w:webHidden/>
              </w:rPr>
              <w:tab/>
            </w:r>
            <w:r w:rsidR="00344D80">
              <w:rPr>
                <w:webHidden/>
              </w:rPr>
              <w:fldChar w:fldCharType="begin"/>
            </w:r>
            <w:r w:rsidR="00344D80">
              <w:rPr>
                <w:webHidden/>
              </w:rPr>
              <w:instrText xml:space="preserve"> PAGEREF _Toc70082372 \h </w:instrText>
            </w:r>
            <w:r w:rsidR="00344D80">
              <w:rPr>
                <w:webHidden/>
              </w:rPr>
            </w:r>
            <w:r w:rsidR="00344D80">
              <w:rPr>
                <w:webHidden/>
              </w:rPr>
              <w:fldChar w:fldCharType="separate"/>
            </w:r>
            <w:r w:rsidR="00344D80">
              <w:rPr>
                <w:webHidden/>
              </w:rPr>
              <w:t>37</w:t>
            </w:r>
            <w:r w:rsidR="00344D80">
              <w:rPr>
                <w:webHidden/>
              </w:rPr>
              <w:fldChar w:fldCharType="end"/>
            </w:r>
          </w:hyperlink>
        </w:p>
        <w:p w14:paraId="0E8B013F" w14:textId="6B8E2A1B" w:rsidR="00344D80" w:rsidRDefault="00D07A86">
          <w:pPr>
            <w:pStyle w:val="TOC1"/>
            <w:tabs>
              <w:tab w:val="left" w:pos="567"/>
            </w:tabs>
            <w:rPr>
              <w:rFonts w:eastAsiaTheme="minorEastAsia" w:cstheme="minorBidi"/>
              <w:b w:val="0"/>
              <w:sz w:val="22"/>
              <w:szCs w:val="22"/>
              <w:lang w:eastAsia="en-AU"/>
            </w:rPr>
          </w:pPr>
          <w:hyperlink w:anchor="_Toc70082373" w:history="1">
            <w:r w:rsidR="00344D80" w:rsidRPr="004A0B53">
              <w:rPr>
                <w:rStyle w:val="Hyperlink"/>
              </w:rPr>
              <w:t>4.</w:t>
            </w:r>
            <w:r w:rsidR="00344D80">
              <w:rPr>
                <w:rFonts w:eastAsiaTheme="minorEastAsia" w:cstheme="minorBidi"/>
                <w:b w:val="0"/>
                <w:sz w:val="22"/>
                <w:szCs w:val="22"/>
                <w:lang w:eastAsia="en-AU"/>
              </w:rPr>
              <w:tab/>
            </w:r>
            <w:r w:rsidR="00344D80" w:rsidRPr="004A0B53">
              <w:rPr>
                <w:rStyle w:val="Hyperlink"/>
              </w:rPr>
              <w:t>Impact Analysis</w:t>
            </w:r>
            <w:r w:rsidR="00344D80">
              <w:rPr>
                <w:webHidden/>
              </w:rPr>
              <w:tab/>
            </w:r>
            <w:r w:rsidR="00344D80">
              <w:rPr>
                <w:webHidden/>
              </w:rPr>
              <w:fldChar w:fldCharType="begin"/>
            </w:r>
            <w:r w:rsidR="00344D80">
              <w:rPr>
                <w:webHidden/>
              </w:rPr>
              <w:instrText xml:space="preserve"> PAGEREF _Toc70082373 \h </w:instrText>
            </w:r>
            <w:r w:rsidR="00344D80">
              <w:rPr>
                <w:webHidden/>
              </w:rPr>
            </w:r>
            <w:r w:rsidR="00344D80">
              <w:rPr>
                <w:webHidden/>
              </w:rPr>
              <w:fldChar w:fldCharType="separate"/>
            </w:r>
            <w:r w:rsidR="00344D80">
              <w:rPr>
                <w:webHidden/>
              </w:rPr>
              <w:t>37</w:t>
            </w:r>
            <w:r w:rsidR="00344D80">
              <w:rPr>
                <w:webHidden/>
              </w:rPr>
              <w:fldChar w:fldCharType="end"/>
            </w:r>
          </w:hyperlink>
        </w:p>
        <w:p w14:paraId="05BB7B72" w14:textId="789059AB" w:rsidR="00344D80" w:rsidRDefault="00D07A86">
          <w:pPr>
            <w:pStyle w:val="TOC2"/>
            <w:rPr>
              <w:rFonts w:eastAsiaTheme="minorEastAsia" w:cstheme="minorBidi"/>
              <w:szCs w:val="22"/>
              <w:lang w:eastAsia="en-AU"/>
            </w:rPr>
          </w:pPr>
          <w:hyperlink w:anchor="_Toc70082374" w:history="1">
            <w:r w:rsidR="00344D80" w:rsidRPr="004A0B53">
              <w:rPr>
                <w:rStyle w:val="Hyperlink"/>
              </w:rPr>
              <w:t>Part 1 Multi-Criteria Analysis</w:t>
            </w:r>
            <w:r w:rsidR="00344D80">
              <w:rPr>
                <w:webHidden/>
              </w:rPr>
              <w:tab/>
            </w:r>
            <w:r w:rsidR="00344D80">
              <w:rPr>
                <w:webHidden/>
              </w:rPr>
              <w:fldChar w:fldCharType="begin"/>
            </w:r>
            <w:r w:rsidR="00344D80">
              <w:rPr>
                <w:webHidden/>
              </w:rPr>
              <w:instrText xml:space="preserve"> PAGEREF _Toc70082374 \h </w:instrText>
            </w:r>
            <w:r w:rsidR="00344D80">
              <w:rPr>
                <w:webHidden/>
              </w:rPr>
            </w:r>
            <w:r w:rsidR="00344D80">
              <w:rPr>
                <w:webHidden/>
              </w:rPr>
              <w:fldChar w:fldCharType="separate"/>
            </w:r>
            <w:r w:rsidR="00344D80">
              <w:rPr>
                <w:webHidden/>
              </w:rPr>
              <w:t>37</w:t>
            </w:r>
            <w:r w:rsidR="00344D80">
              <w:rPr>
                <w:webHidden/>
              </w:rPr>
              <w:fldChar w:fldCharType="end"/>
            </w:r>
          </w:hyperlink>
        </w:p>
        <w:p w14:paraId="047B88AD" w14:textId="085D6DA4" w:rsidR="00344D80" w:rsidRDefault="00D07A86">
          <w:pPr>
            <w:pStyle w:val="TOC3"/>
            <w:rPr>
              <w:rFonts w:asciiTheme="minorHAnsi" w:eastAsiaTheme="minorEastAsia" w:hAnsiTheme="minorHAnsi" w:cstheme="minorBidi"/>
              <w:noProof/>
              <w:sz w:val="22"/>
              <w:szCs w:val="22"/>
              <w:lang w:eastAsia="en-AU"/>
            </w:rPr>
          </w:pPr>
          <w:hyperlink w:anchor="_Toc70082375" w:history="1">
            <w:r w:rsidR="00344D80" w:rsidRPr="004A0B53">
              <w:rPr>
                <w:rStyle w:val="Hyperlink"/>
                <w:noProof/>
              </w:rPr>
              <w:t>Criteria</w:t>
            </w:r>
            <w:r w:rsidR="00344D80">
              <w:rPr>
                <w:noProof/>
                <w:webHidden/>
              </w:rPr>
              <w:tab/>
            </w:r>
            <w:r w:rsidR="00344D80">
              <w:rPr>
                <w:noProof/>
                <w:webHidden/>
              </w:rPr>
              <w:fldChar w:fldCharType="begin"/>
            </w:r>
            <w:r w:rsidR="00344D80">
              <w:rPr>
                <w:noProof/>
                <w:webHidden/>
              </w:rPr>
              <w:instrText xml:space="preserve"> PAGEREF _Toc70082375 \h </w:instrText>
            </w:r>
            <w:r w:rsidR="00344D80">
              <w:rPr>
                <w:noProof/>
                <w:webHidden/>
              </w:rPr>
            </w:r>
            <w:r w:rsidR="00344D80">
              <w:rPr>
                <w:noProof/>
                <w:webHidden/>
              </w:rPr>
              <w:fldChar w:fldCharType="separate"/>
            </w:r>
            <w:r w:rsidR="00344D80">
              <w:rPr>
                <w:noProof/>
                <w:webHidden/>
              </w:rPr>
              <w:t>38</w:t>
            </w:r>
            <w:r w:rsidR="00344D80">
              <w:rPr>
                <w:noProof/>
                <w:webHidden/>
              </w:rPr>
              <w:fldChar w:fldCharType="end"/>
            </w:r>
          </w:hyperlink>
        </w:p>
        <w:p w14:paraId="12371A89" w14:textId="385EBE1D" w:rsidR="00344D80" w:rsidRDefault="00D07A86">
          <w:pPr>
            <w:pStyle w:val="TOC3"/>
            <w:rPr>
              <w:rFonts w:asciiTheme="minorHAnsi" w:eastAsiaTheme="minorEastAsia" w:hAnsiTheme="minorHAnsi" w:cstheme="minorBidi"/>
              <w:noProof/>
              <w:sz w:val="22"/>
              <w:szCs w:val="22"/>
              <w:lang w:eastAsia="en-AU"/>
            </w:rPr>
          </w:pPr>
          <w:hyperlink w:anchor="_Toc70082376" w:history="1">
            <w:r w:rsidR="00344D80" w:rsidRPr="004A0B53">
              <w:rPr>
                <w:rStyle w:val="Hyperlink"/>
                <w:noProof/>
              </w:rPr>
              <w:t>Weighting</w:t>
            </w:r>
            <w:r w:rsidR="00344D80">
              <w:rPr>
                <w:noProof/>
                <w:webHidden/>
              </w:rPr>
              <w:tab/>
            </w:r>
            <w:r w:rsidR="00344D80">
              <w:rPr>
                <w:noProof/>
                <w:webHidden/>
              </w:rPr>
              <w:fldChar w:fldCharType="begin"/>
            </w:r>
            <w:r w:rsidR="00344D80">
              <w:rPr>
                <w:noProof/>
                <w:webHidden/>
              </w:rPr>
              <w:instrText xml:space="preserve"> PAGEREF _Toc70082376 \h </w:instrText>
            </w:r>
            <w:r w:rsidR="00344D80">
              <w:rPr>
                <w:noProof/>
                <w:webHidden/>
              </w:rPr>
            </w:r>
            <w:r w:rsidR="00344D80">
              <w:rPr>
                <w:noProof/>
                <w:webHidden/>
              </w:rPr>
              <w:fldChar w:fldCharType="separate"/>
            </w:r>
            <w:r w:rsidR="00344D80">
              <w:rPr>
                <w:noProof/>
                <w:webHidden/>
              </w:rPr>
              <w:t>39</w:t>
            </w:r>
            <w:r w:rsidR="00344D80">
              <w:rPr>
                <w:noProof/>
                <w:webHidden/>
              </w:rPr>
              <w:fldChar w:fldCharType="end"/>
            </w:r>
          </w:hyperlink>
        </w:p>
        <w:p w14:paraId="6701AA65" w14:textId="5CE0578E" w:rsidR="00344D80" w:rsidRDefault="00D07A86">
          <w:pPr>
            <w:pStyle w:val="TOC3"/>
            <w:rPr>
              <w:rFonts w:asciiTheme="minorHAnsi" w:eastAsiaTheme="minorEastAsia" w:hAnsiTheme="minorHAnsi" w:cstheme="minorBidi"/>
              <w:noProof/>
              <w:sz w:val="22"/>
              <w:szCs w:val="22"/>
              <w:lang w:eastAsia="en-AU"/>
            </w:rPr>
          </w:pPr>
          <w:hyperlink w:anchor="_Toc70082377" w:history="1">
            <w:r w:rsidR="00344D80" w:rsidRPr="004A0B53">
              <w:rPr>
                <w:rStyle w:val="Hyperlink"/>
                <w:noProof/>
              </w:rPr>
              <w:t>Scores</w:t>
            </w:r>
            <w:r w:rsidR="00344D80">
              <w:rPr>
                <w:noProof/>
                <w:webHidden/>
              </w:rPr>
              <w:tab/>
            </w:r>
            <w:r w:rsidR="00344D80">
              <w:rPr>
                <w:noProof/>
                <w:webHidden/>
              </w:rPr>
              <w:fldChar w:fldCharType="begin"/>
            </w:r>
            <w:r w:rsidR="00344D80">
              <w:rPr>
                <w:noProof/>
                <w:webHidden/>
              </w:rPr>
              <w:instrText xml:space="preserve"> PAGEREF _Toc70082377 \h </w:instrText>
            </w:r>
            <w:r w:rsidR="00344D80">
              <w:rPr>
                <w:noProof/>
                <w:webHidden/>
              </w:rPr>
            </w:r>
            <w:r w:rsidR="00344D80">
              <w:rPr>
                <w:noProof/>
                <w:webHidden/>
              </w:rPr>
              <w:fldChar w:fldCharType="separate"/>
            </w:r>
            <w:r w:rsidR="00344D80">
              <w:rPr>
                <w:noProof/>
                <w:webHidden/>
              </w:rPr>
              <w:t>39</w:t>
            </w:r>
            <w:r w:rsidR="00344D80">
              <w:rPr>
                <w:noProof/>
                <w:webHidden/>
              </w:rPr>
              <w:fldChar w:fldCharType="end"/>
            </w:r>
          </w:hyperlink>
        </w:p>
        <w:p w14:paraId="45F2E079" w14:textId="00ECB1F1" w:rsidR="00344D80" w:rsidRDefault="00D07A86">
          <w:pPr>
            <w:pStyle w:val="TOC3"/>
            <w:rPr>
              <w:rFonts w:asciiTheme="minorHAnsi" w:eastAsiaTheme="minorEastAsia" w:hAnsiTheme="minorHAnsi" w:cstheme="minorBidi"/>
              <w:noProof/>
              <w:sz w:val="22"/>
              <w:szCs w:val="22"/>
              <w:lang w:eastAsia="en-AU"/>
            </w:rPr>
          </w:pPr>
          <w:hyperlink w:anchor="_Toc70082378" w:history="1">
            <w:r w:rsidR="00344D80" w:rsidRPr="004A0B53">
              <w:rPr>
                <w:rStyle w:val="Hyperlink"/>
                <w:noProof/>
              </w:rPr>
              <w:t>Effective use of limited government resources</w:t>
            </w:r>
            <w:r w:rsidR="00344D80">
              <w:rPr>
                <w:noProof/>
                <w:webHidden/>
              </w:rPr>
              <w:tab/>
            </w:r>
            <w:r w:rsidR="00344D80">
              <w:rPr>
                <w:noProof/>
                <w:webHidden/>
              </w:rPr>
              <w:fldChar w:fldCharType="begin"/>
            </w:r>
            <w:r w:rsidR="00344D80">
              <w:rPr>
                <w:noProof/>
                <w:webHidden/>
              </w:rPr>
              <w:instrText xml:space="preserve"> PAGEREF _Toc70082378 \h </w:instrText>
            </w:r>
            <w:r w:rsidR="00344D80">
              <w:rPr>
                <w:noProof/>
                <w:webHidden/>
              </w:rPr>
            </w:r>
            <w:r w:rsidR="00344D80">
              <w:rPr>
                <w:noProof/>
                <w:webHidden/>
              </w:rPr>
              <w:fldChar w:fldCharType="separate"/>
            </w:r>
            <w:r w:rsidR="00344D80">
              <w:rPr>
                <w:noProof/>
                <w:webHidden/>
              </w:rPr>
              <w:t>40</w:t>
            </w:r>
            <w:r w:rsidR="00344D80">
              <w:rPr>
                <w:noProof/>
                <w:webHidden/>
              </w:rPr>
              <w:fldChar w:fldCharType="end"/>
            </w:r>
          </w:hyperlink>
        </w:p>
        <w:p w14:paraId="119A5E7F" w14:textId="1223B5B7" w:rsidR="00344D80" w:rsidRDefault="00D07A86">
          <w:pPr>
            <w:pStyle w:val="TOC3"/>
            <w:rPr>
              <w:rFonts w:asciiTheme="minorHAnsi" w:eastAsiaTheme="minorEastAsia" w:hAnsiTheme="minorHAnsi" w:cstheme="minorBidi"/>
              <w:noProof/>
              <w:sz w:val="22"/>
              <w:szCs w:val="22"/>
              <w:lang w:eastAsia="en-AU"/>
            </w:rPr>
          </w:pPr>
          <w:hyperlink w:anchor="_Toc70082379" w:history="1">
            <w:r w:rsidR="00344D80" w:rsidRPr="004A0B53">
              <w:rPr>
                <w:rStyle w:val="Hyperlink"/>
                <w:noProof/>
              </w:rPr>
              <w:t>Minimising unnecessary delay</w:t>
            </w:r>
            <w:r w:rsidR="00344D80">
              <w:rPr>
                <w:noProof/>
                <w:webHidden/>
              </w:rPr>
              <w:tab/>
            </w:r>
            <w:r w:rsidR="00344D80">
              <w:rPr>
                <w:noProof/>
                <w:webHidden/>
              </w:rPr>
              <w:fldChar w:fldCharType="begin"/>
            </w:r>
            <w:r w:rsidR="00344D80">
              <w:rPr>
                <w:noProof/>
                <w:webHidden/>
              </w:rPr>
              <w:instrText xml:space="preserve"> PAGEREF _Toc70082379 \h </w:instrText>
            </w:r>
            <w:r w:rsidR="00344D80">
              <w:rPr>
                <w:noProof/>
                <w:webHidden/>
              </w:rPr>
            </w:r>
            <w:r w:rsidR="00344D80">
              <w:rPr>
                <w:noProof/>
                <w:webHidden/>
              </w:rPr>
              <w:fldChar w:fldCharType="separate"/>
            </w:r>
            <w:r w:rsidR="00344D80">
              <w:rPr>
                <w:noProof/>
                <w:webHidden/>
              </w:rPr>
              <w:t>44</w:t>
            </w:r>
            <w:r w:rsidR="00344D80">
              <w:rPr>
                <w:noProof/>
                <w:webHidden/>
              </w:rPr>
              <w:fldChar w:fldCharType="end"/>
            </w:r>
          </w:hyperlink>
        </w:p>
        <w:p w14:paraId="6A27EE20" w14:textId="32B1DC6A" w:rsidR="00344D80" w:rsidRDefault="00D07A86">
          <w:pPr>
            <w:pStyle w:val="TOC3"/>
            <w:rPr>
              <w:rFonts w:asciiTheme="minorHAnsi" w:eastAsiaTheme="minorEastAsia" w:hAnsiTheme="minorHAnsi" w:cstheme="minorBidi"/>
              <w:noProof/>
              <w:sz w:val="22"/>
              <w:szCs w:val="22"/>
              <w:lang w:eastAsia="en-AU"/>
            </w:rPr>
          </w:pPr>
          <w:hyperlink w:anchor="_Toc70082380" w:history="1">
            <w:r w:rsidR="00344D80" w:rsidRPr="004A0B53">
              <w:rPr>
                <w:rStyle w:val="Hyperlink"/>
                <w:noProof/>
              </w:rPr>
              <w:t>Appropriate level of parliamentary and public scrutiny</w:t>
            </w:r>
            <w:r w:rsidR="00344D80">
              <w:rPr>
                <w:noProof/>
                <w:webHidden/>
              </w:rPr>
              <w:tab/>
            </w:r>
            <w:r w:rsidR="00344D80">
              <w:rPr>
                <w:noProof/>
                <w:webHidden/>
              </w:rPr>
              <w:fldChar w:fldCharType="begin"/>
            </w:r>
            <w:r w:rsidR="00344D80">
              <w:rPr>
                <w:noProof/>
                <w:webHidden/>
              </w:rPr>
              <w:instrText xml:space="preserve"> PAGEREF _Toc70082380 \h </w:instrText>
            </w:r>
            <w:r w:rsidR="00344D80">
              <w:rPr>
                <w:noProof/>
                <w:webHidden/>
              </w:rPr>
            </w:r>
            <w:r w:rsidR="00344D80">
              <w:rPr>
                <w:noProof/>
                <w:webHidden/>
              </w:rPr>
              <w:fldChar w:fldCharType="separate"/>
            </w:r>
            <w:r w:rsidR="00344D80">
              <w:rPr>
                <w:noProof/>
                <w:webHidden/>
              </w:rPr>
              <w:t>44</w:t>
            </w:r>
            <w:r w:rsidR="00344D80">
              <w:rPr>
                <w:noProof/>
                <w:webHidden/>
              </w:rPr>
              <w:fldChar w:fldCharType="end"/>
            </w:r>
          </w:hyperlink>
        </w:p>
        <w:p w14:paraId="18E7201D" w14:textId="1FEA9F0A" w:rsidR="00344D80" w:rsidRDefault="00D07A86">
          <w:pPr>
            <w:pStyle w:val="TOC3"/>
            <w:rPr>
              <w:rFonts w:asciiTheme="minorHAnsi" w:eastAsiaTheme="minorEastAsia" w:hAnsiTheme="minorHAnsi" w:cstheme="minorBidi"/>
              <w:noProof/>
              <w:sz w:val="22"/>
              <w:szCs w:val="22"/>
              <w:lang w:eastAsia="en-AU"/>
            </w:rPr>
          </w:pPr>
          <w:hyperlink w:anchor="_Toc70082381" w:history="1">
            <w:r w:rsidR="00344D80" w:rsidRPr="004A0B53">
              <w:rPr>
                <w:rStyle w:val="Hyperlink"/>
                <w:noProof/>
              </w:rPr>
              <w:t>Total score</w:t>
            </w:r>
            <w:r w:rsidR="00344D80">
              <w:rPr>
                <w:noProof/>
                <w:webHidden/>
              </w:rPr>
              <w:tab/>
            </w:r>
            <w:r w:rsidR="00344D80">
              <w:rPr>
                <w:noProof/>
                <w:webHidden/>
              </w:rPr>
              <w:fldChar w:fldCharType="begin"/>
            </w:r>
            <w:r w:rsidR="00344D80">
              <w:rPr>
                <w:noProof/>
                <w:webHidden/>
              </w:rPr>
              <w:instrText xml:space="preserve"> PAGEREF _Toc70082381 \h </w:instrText>
            </w:r>
            <w:r w:rsidR="00344D80">
              <w:rPr>
                <w:noProof/>
                <w:webHidden/>
              </w:rPr>
            </w:r>
            <w:r w:rsidR="00344D80">
              <w:rPr>
                <w:noProof/>
                <w:webHidden/>
              </w:rPr>
              <w:fldChar w:fldCharType="separate"/>
            </w:r>
            <w:r w:rsidR="00344D80">
              <w:rPr>
                <w:noProof/>
                <w:webHidden/>
              </w:rPr>
              <w:t>45</w:t>
            </w:r>
            <w:r w:rsidR="00344D80">
              <w:rPr>
                <w:noProof/>
                <w:webHidden/>
              </w:rPr>
              <w:fldChar w:fldCharType="end"/>
            </w:r>
          </w:hyperlink>
        </w:p>
        <w:p w14:paraId="75C7ADE2" w14:textId="4E6A89C9" w:rsidR="00344D80" w:rsidRDefault="00D07A86">
          <w:pPr>
            <w:pStyle w:val="TOC2"/>
            <w:rPr>
              <w:rFonts w:eastAsiaTheme="minorEastAsia" w:cstheme="minorBidi"/>
              <w:szCs w:val="22"/>
              <w:lang w:eastAsia="en-AU"/>
            </w:rPr>
          </w:pPr>
          <w:hyperlink w:anchor="_Toc70082382" w:history="1">
            <w:r w:rsidR="00344D80" w:rsidRPr="004A0B53">
              <w:rPr>
                <w:rStyle w:val="Hyperlink"/>
              </w:rPr>
              <w:t>Part 2 Reasons for rejecting other options</w:t>
            </w:r>
            <w:r w:rsidR="00344D80">
              <w:rPr>
                <w:webHidden/>
              </w:rPr>
              <w:tab/>
            </w:r>
            <w:r w:rsidR="00344D80">
              <w:rPr>
                <w:webHidden/>
              </w:rPr>
              <w:fldChar w:fldCharType="begin"/>
            </w:r>
            <w:r w:rsidR="00344D80">
              <w:rPr>
                <w:webHidden/>
              </w:rPr>
              <w:instrText xml:space="preserve"> PAGEREF _Toc70082382 \h </w:instrText>
            </w:r>
            <w:r w:rsidR="00344D80">
              <w:rPr>
                <w:webHidden/>
              </w:rPr>
            </w:r>
            <w:r w:rsidR="00344D80">
              <w:rPr>
                <w:webHidden/>
              </w:rPr>
              <w:fldChar w:fldCharType="separate"/>
            </w:r>
            <w:r w:rsidR="00344D80">
              <w:rPr>
                <w:webHidden/>
              </w:rPr>
              <w:t>46</w:t>
            </w:r>
            <w:r w:rsidR="00344D80">
              <w:rPr>
                <w:webHidden/>
              </w:rPr>
              <w:fldChar w:fldCharType="end"/>
            </w:r>
          </w:hyperlink>
        </w:p>
        <w:p w14:paraId="08669D88" w14:textId="669E51AE" w:rsidR="00344D80" w:rsidRDefault="00D07A86">
          <w:pPr>
            <w:pStyle w:val="TOC3"/>
            <w:rPr>
              <w:rFonts w:asciiTheme="minorHAnsi" w:eastAsiaTheme="minorEastAsia" w:hAnsiTheme="minorHAnsi" w:cstheme="minorBidi"/>
              <w:noProof/>
              <w:sz w:val="22"/>
              <w:szCs w:val="22"/>
              <w:lang w:eastAsia="en-AU"/>
            </w:rPr>
          </w:pPr>
          <w:hyperlink w:anchor="_Toc70082383" w:history="1">
            <w:r w:rsidR="00344D80" w:rsidRPr="004A0B53">
              <w:rPr>
                <w:rStyle w:val="Hyperlink"/>
                <w:noProof/>
              </w:rPr>
              <w:t>Base Case</w:t>
            </w:r>
            <w:r w:rsidR="00344D80">
              <w:rPr>
                <w:noProof/>
                <w:webHidden/>
              </w:rPr>
              <w:tab/>
            </w:r>
            <w:r w:rsidR="00344D80">
              <w:rPr>
                <w:noProof/>
                <w:webHidden/>
              </w:rPr>
              <w:fldChar w:fldCharType="begin"/>
            </w:r>
            <w:r w:rsidR="00344D80">
              <w:rPr>
                <w:noProof/>
                <w:webHidden/>
              </w:rPr>
              <w:instrText xml:space="preserve"> PAGEREF _Toc70082383 \h </w:instrText>
            </w:r>
            <w:r w:rsidR="00344D80">
              <w:rPr>
                <w:noProof/>
                <w:webHidden/>
              </w:rPr>
            </w:r>
            <w:r w:rsidR="00344D80">
              <w:rPr>
                <w:noProof/>
                <w:webHidden/>
              </w:rPr>
              <w:fldChar w:fldCharType="separate"/>
            </w:r>
            <w:r w:rsidR="00344D80">
              <w:rPr>
                <w:noProof/>
                <w:webHidden/>
              </w:rPr>
              <w:t>46</w:t>
            </w:r>
            <w:r w:rsidR="00344D80">
              <w:rPr>
                <w:noProof/>
                <w:webHidden/>
              </w:rPr>
              <w:fldChar w:fldCharType="end"/>
            </w:r>
          </w:hyperlink>
        </w:p>
        <w:p w14:paraId="63B62992" w14:textId="7B58BA89" w:rsidR="00344D80" w:rsidRDefault="00D07A86">
          <w:pPr>
            <w:pStyle w:val="TOC3"/>
            <w:rPr>
              <w:rFonts w:asciiTheme="minorHAnsi" w:eastAsiaTheme="minorEastAsia" w:hAnsiTheme="minorHAnsi" w:cstheme="minorBidi"/>
              <w:noProof/>
              <w:sz w:val="22"/>
              <w:szCs w:val="22"/>
              <w:lang w:eastAsia="en-AU"/>
            </w:rPr>
          </w:pPr>
          <w:hyperlink w:anchor="_Toc70082384" w:history="1">
            <w:r w:rsidR="00344D80" w:rsidRPr="004A0B53">
              <w:rPr>
                <w:rStyle w:val="Hyperlink"/>
                <w:noProof/>
              </w:rPr>
              <w:t>Option 1</w:t>
            </w:r>
            <w:r w:rsidR="00344D80">
              <w:rPr>
                <w:noProof/>
                <w:webHidden/>
              </w:rPr>
              <w:tab/>
            </w:r>
            <w:r w:rsidR="00344D80">
              <w:rPr>
                <w:noProof/>
                <w:webHidden/>
              </w:rPr>
              <w:fldChar w:fldCharType="begin"/>
            </w:r>
            <w:r w:rsidR="00344D80">
              <w:rPr>
                <w:noProof/>
                <w:webHidden/>
              </w:rPr>
              <w:instrText xml:space="preserve"> PAGEREF _Toc70082384 \h </w:instrText>
            </w:r>
            <w:r w:rsidR="00344D80">
              <w:rPr>
                <w:noProof/>
                <w:webHidden/>
              </w:rPr>
            </w:r>
            <w:r w:rsidR="00344D80">
              <w:rPr>
                <w:noProof/>
                <w:webHidden/>
              </w:rPr>
              <w:fldChar w:fldCharType="separate"/>
            </w:r>
            <w:r w:rsidR="00344D80">
              <w:rPr>
                <w:noProof/>
                <w:webHidden/>
              </w:rPr>
              <w:t>46</w:t>
            </w:r>
            <w:r w:rsidR="00344D80">
              <w:rPr>
                <w:noProof/>
                <w:webHidden/>
              </w:rPr>
              <w:fldChar w:fldCharType="end"/>
            </w:r>
          </w:hyperlink>
        </w:p>
        <w:p w14:paraId="5E65A499" w14:textId="3918E50A" w:rsidR="00344D80" w:rsidRDefault="00D07A86">
          <w:pPr>
            <w:pStyle w:val="TOC3"/>
            <w:rPr>
              <w:rFonts w:asciiTheme="minorHAnsi" w:eastAsiaTheme="minorEastAsia" w:hAnsiTheme="minorHAnsi" w:cstheme="minorBidi"/>
              <w:noProof/>
              <w:sz w:val="22"/>
              <w:szCs w:val="22"/>
              <w:lang w:eastAsia="en-AU"/>
            </w:rPr>
          </w:pPr>
          <w:hyperlink w:anchor="_Toc70082385" w:history="1">
            <w:r w:rsidR="00344D80" w:rsidRPr="004A0B53">
              <w:rPr>
                <w:rStyle w:val="Hyperlink"/>
                <w:noProof/>
              </w:rPr>
              <w:t>Option 2</w:t>
            </w:r>
            <w:r w:rsidR="00344D80">
              <w:rPr>
                <w:noProof/>
                <w:webHidden/>
              </w:rPr>
              <w:tab/>
            </w:r>
            <w:r w:rsidR="00344D80">
              <w:rPr>
                <w:noProof/>
                <w:webHidden/>
              </w:rPr>
              <w:fldChar w:fldCharType="begin"/>
            </w:r>
            <w:r w:rsidR="00344D80">
              <w:rPr>
                <w:noProof/>
                <w:webHidden/>
              </w:rPr>
              <w:instrText xml:space="preserve"> PAGEREF _Toc70082385 \h </w:instrText>
            </w:r>
            <w:r w:rsidR="00344D80">
              <w:rPr>
                <w:noProof/>
                <w:webHidden/>
              </w:rPr>
            </w:r>
            <w:r w:rsidR="00344D80">
              <w:rPr>
                <w:noProof/>
                <w:webHidden/>
              </w:rPr>
              <w:fldChar w:fldCharType="separate"/>
            </w:r>
            <w:r w:rsidR="00344D80">
              <w:rPr>
                <w:noProof/>
                <w:webHidden/>
              </w:rPr>
              <w:t>47</w:t>
            </w:r>
            <w:r w:rsidR="00344D80">
              <w:rPr>
                <w:noProof/>
                <w:webHidden/>
              </w:rPr>
              <w:fldChar w:fldCharType="end"/>
            </w:r>
          </w:hyperlink>
        </w:p>
        <w:p w14:paraId="7C686442" w14:textId="29627AEB" w:rsidR="00344D80" w:rsidRDefault="00D07A86">
          <w:pPr>
            <w:pStyle w:val="TOC2"/>
            <w:rPr>
              <w:rFonts w:eastAsiaTheme="minorEastAsia" w:cstheme="minorBidi"/>
              <w:szCs w:val="22"/>
              <w:lang w:eastAsia="en-AU"/>
            </w:rPr>
          </w:pPr>
          <w:hyperlink w:anchor="_Toc70082386" w:history="1">
            <w:r w:rsidR="00344D80" w:rsidRPr="004A0B53">
              <w:rPr>
                <w:rStyle w:val="Hyperlink"/>
              </w:rPr>
              <w:t>Part 3 Competition Assessment</w:t>
            </w:r>
            <w:r w:rsidR="00344D80">
              <w:rPr>
                <w:webHidden/>
              </w:rPr>
              <w:tab/>
            </w:r>
            <w:r w:rsidR="00344D80">
              <w:rPr>
                <w:webHidden/>
              </w:rPr>
              <w:fldChar w:fldCharType="begin"/>
            </w:r>
            <w:r w:rsidR="00344D80">
              <w:rPr>
                <w:webHidden/>
              </w:rPr>
              <w:instrText xml:space="preserve"> PAGEREF _Toc70082386 \h </w:instrText>
            </w:r>
            <w:r w:rsidR="00344D80">
              <w:rPr>
                <w:webHidden/>
              </w:rPr>
            </w:r>
            <w:r w:rsidR="00344D80">
              <w:rPr>
                <w:webHidden/>
              </w:rPr>
              <w:fldChar w:fldCharType="separate"/>
            </w:r>
            <w:r w:rsidR="00344D80">
              <w:rPr>
                <w:webHidden/>
              </w:rPr>
              <w:t>49</w:t>
            </w:r>
            <w:r w:rsidR="00344D80">
              <w:rPr>
                <w:webHidden/>
              </w:rPr>
              <w:fldChar w:fldCharType="end"/>
            </w:r>
          </w:hyperlink>
        </w:p>
        <w:p w14:paraId="4BDB40A5" w14:textId="4648D2B1" w:rsidR="00344D80" w:rsidRDefault="00D07A86">
          <w:pPr>
            <w:pStyle w:val="TOC3"/>
            <w:rPr>
              <w:rFonts w:asciiTheme="minorHAnsi" w:eastAsiaTheme="minorEastAsia" w:hAnsiTheme="minorHAnsi" w:cstheme="minorBidi"/>
              <w:noProof/>
              <w:sz w:val="22"/>
              <w:szCs w:val="22"/>
              <w:lang w:eastAsia="en-AU"/>
            </w:rPr>
          </w:pPr>
          <w:hyperlink w:anchor="_Toc70082387" w:history="1">
            <w:r w:rsidR="00344D80" w:rsidRPr="004A0B53">
              <w:rPr>
                <w:rStyle w:val="Hyperlink"/>
                <w:noProof/>
              </w:rPr>
              <w:t>Will the preferred option restrict competition?</w:t>
            </w:r>
            <w:r w:rsidR="00344D80">
              <w:rPr>
                <w:noProof/>
                <w:webHidden/>
              </w:rPr>
              <w:tab/>
            </w:r>
            <w:r w:rsidR="00344D80">
              <w:rPr>
                <w:noProof/>
                <w:webHidden/>
              </w:rPr>
              <w:fldChar w:fldCharType="begin"/>
            </w:r>
            <w:r w:rsidR="00344D80">
              <w:rPr>
                <w:noProof/>
                <w:webHidden/>
              </w:rPr>
              <w:instrText xml:space="preserve"> PAGEREF _Toc70082387 \h </w:instrText>
            </w:r>
            <w:r w:rsidR="00344D80">
              <w:rPr>
                <w:noProof/>
                <w:webHidden/>
              </w:rPr>
            </w:r>
            <w:r w:rsidR="00344D80">
              <w:rPr>
                <w:noProof/>
                <w:webHidden/>
              </w:rPr>
              <w:fldChar w:fldCharType="separate"/>
            </w:r>
            <w:r w:rsidR="00344D80">
              <w:rPr>
                <w:noProof/>
                <w:webHidden/>
              </w:rPr>
              <w:t>49</w:t>
            </w:r>
            <w:r w:rsidR="00344D80">
              <w:rPr>
                <w:noProof/>
                <w:webHidden/>
              </w:rPr>
              <w:fldChar w:fldCharType="end"/>
            </w:r>
          </w:hyperlink>
        </w:p>
        <w:p w14:paraId="354BDFC5" w14:textId="6AA110BC" w:rsidR="00344D80" w:rsidRDefault="00D07A86">
          <w:pPr>
            <w:pStyle w:val="TOC1"/>
            <w:tabs>
              <w:tab w:val="left" w:pos="567"/>
            </w:tabs>
            <w:rPr>
              <w:rFonts w:eastAsiaTheme="minorEastAsia" w:cstheme="minorBidi"/>
              <w:b w:val="0"/>
              <w:sz w:val="22"/>
              <w:szCs w:val="22"/>
              <w:lang w:eastAsia="en-AU"/>
            </w:rPr>
          </w:pPr>
          <w:hyperlink w:anchor="_Toc70082388" w:history="1">
            <w:r w:rsidR="00344D80" w:rsidRPr="004A0B53">
              <w:rPr>
                <w:rStyle w:val="Hyperlink"/>
                <w:lang w:eastAsia="en-AU"/>
              </w:rPr>
              <w:t>5.</w:t>
            </w:r>
            <w:r w:rsidR="00344D80">
              <w:rPr>
                <w:rFonts w:eastAsiaTheme="minorEastAsia" w:cstheme="minorBidi"/>
                <w:b w:val="0"/>
                <w:sz w:val="22"/>
                <w:szCs w:val="22"/>
                <w:lang w:eastAsia="en-AU"/>
              </w:rPr>
              <w:tab/>
            </w:r>
            <w:r w:rsidR="00344D80" w:rsidRPr="004A0B53">
              <w:rPr>
                <w:rStyle w:val="Hyperlink"/>
                <w:lang w:eastAsia="en-AU"/>
              </w:rPr>
              <w:t>Implementation plan</w:t>
            </w:r>
            <w:r w:rsidR="00344D80">
              <w:rPr>
                <w:webHidden/>
              </w:rPr>
              <w:tab/>
            </w:r>
            <w:r w:rsidR="00344D80">
              <w:rPr>
                <w:webHidden/>
              </w:rPr>
              <w:fldChar w:fldCharType="begin"/>
            </w:r>
            <w:r w:rsidR="00344D80">
              <w:rPr>
                <w:webHidden/>
              </w:rPr>
              <w:instrText xml:space="preserve"> PAGEREF _Toc70082388 \h </w:instrText>
            </w:r>
            <w:r w:rsidR="00344D80">
              <w:rPr>
                <w:webHidden/>
              </w:rPr>
            </w:r>
            <w:r w:rsidR="00344D80">
              <w:rPr>
                <w:webHidden/>
              </w:rPr>
              <w:fldChar w:fldCharType="separate"/>
            </w:r>
            <w:r w:rsidR="00344D80">
              <w:rPr>
                <w:webHidden/>
              </w:rPr>
              <w:t>50</w:t>
            </w:r>
            <w:r w:rsidR="00344D80">
              <w:rPr>
                <w:webHidden/>
              </w:rPr>
              <w:fldChar w:fldCharType="end"/>
            </w:r>
          </w:hyperlink>
        </w:p>
        <w:p w14:paraId="3AD45CA3" w14:textId="0A80FA58" w:rsidR="00344D80" w:rsidRDefault="00D07A86">
          <w:pPr>
            <w:pStyle w:val="TOC1"/>
            <w:rPr>
              <w:rFonts w:eastAsiaTheme="minorEastAsia" w:cstheme="minorBidi"/>
              <w:b w:val="0"/>
              <w:sz w:val="22"/>
              <w:szCs w:val="22"/>
              <w:lang w:eastAsia="en-AU"/>
            </w:rPr>
          </w:pPr>
          <w:hyperlink w:anchor="_Toc70082389" w:history="1">
            <w:r w:rsidR="00344D80" w:rsidRPr="004A0B53">
              <w:rPr>
                <w:rStyle w:val="Hyperlink"/>
                <w:lang w:eastAsia="en-AU"/>
              </w:rPr>
              <w:t xml:space="preserve">6. </w:t>
            </w:r>
            <w:r w:rsidR="00344D80" w:rsidRPr="004A0B53">
              <w:rPr>
                <w:rStyle w:val="Hyperlink"/>
              </w:rPr>
              <w:t>Evaluation strategy</w:t>
            </w:r>
            <w:r w:rsidR="00344D80">
              <w:rPr>
                <w:webHidden/>
              </w:rPr>
              <w:tab/>
            </w:r>
            <w:r w:rsidR="00344D80">
              <w:rPr>
                <w:webHidden/>
              </w:rPr>
              <w:fldChar w:fldCharType="begin"/>
            </w:r>
            <w:r w:rsidR="00344D80">
              <w:rPr>
                <w:webHidden/>
              </w:rPr>
              <w:instrText xml:space="preserve"> PAGEREF _Toc70082389 \h </w:instrText>
            </w:r>
            <w:r w:rsidR="00344D80">
              <w:rPr>
                <w:webHidden/>
              </w:rPr>
            </w:r>
            <w:r w:rsidR="00344D80">
              <w:rPr>
                <w:webHidden/>
              </w:rPr>
              <w:fldChar w:fldCharType="separate"/>
            </w:r>
            <w:r w:rsidR="00344D80">
              <w:rPr>
                <w:webHidden/>
              </w:rPr>
              <w:t>51</w:t>
            </w:r>
            <w:r w:rsidR="00344D80">
              <w:rPr>
                <w:webHidden/>
              </w:rPr>
              <w:fldChar w:fldCharType="end"/>
            </w:r>
          </w:hyperlink>
        </w:p>
        <w:p w14:paraId="7FF2AB68" w14:textId="3D33831F" w:rsidR="00344D80" w:rsidRDefault="00D07A86">
          <w:pPr>
            <w:pStyle w:val="TOC2"/>
            <w:rPr>
              <w:rFonts w:eastAsiaTheme="minorEastAsia" w:cstheme="minorBidi"/>
              <w:szCs w:val="22"/>
              <w:lang w:eastAsia="en-AU"/>
            </w:rPr>
          </w:pPr>
          <w:hyperlink w:anchor="_Toc70082390" w:history="1">
            <w:r w:rsidR="00344D80" w:rsidRPr="004A0B53">
              <w:rPr>
                <w:rStyle w:val="Hyperlink"/>
              </w:rPr>
              <w:t>Purpose</w:t>
            </w:r>
            <w:r w:rsidR="00344D80">
              <w:rPr>
                <w:webHidden/>
              </w:rPr>
              <w:tab/>
            </w:r>
            <w:r w:rsidR="00344D80">
              <w:rPr>
                <w:webHidden/>
              </w:rPr>
              <w:fldChar w:fldCharType="begin"/>
            </w:r>
            <w:r w:rsidR="00344D80">
              <w:rPr>
                <w:webHidden/>
              </w:rPr>
              <w:instrText xml:space="preserve"> PAGEREF _Toc70082390 \h </w:instrText>
            </w:r>
            <w:r w:rsidR="00344D80">
              <w:rPr>
                <w:webHidden/>
              </w:rPr>
            </w:r>
            <w:r w:rsidR="00344D80">
              <w:rPr>
                <w:webHidden/>
              </w:rPr>
              <w:fldChar w:fldCharType="separate"/>
            </w:r>
            <w:r w:rsidR="00344D80">
              <w:rPr>
                <w:webHidden/>
              </w:rPr>
              <w:t>51</w:t>
            </w:r>
            <w:r w:rsidR="00344D80">
              <w:rPr>
                <w:webHidden/>
              </w:rPr>
              <w:fldChar w:fldCharType="end"/>
            </w:r>
          </w:hyperlink>
        </w:p>
        <w:p w14:paraId="1BA6BEF4" w14:textId="3F84F7D1" w:rsidR="00344D80" w:rsidRDefault="00D07A86">
          <w:pPr>
            <w:pStyle w:val="TOC2"/>
            <w:rPr>
              <w:rFonts w:eastAsiaTheme="minorEastAsia" w:cstheme="minorBidi"/>
              <w:szCs w:val="22"/>
              <w:lang w:eastAsia="en-AU"/>
            </w:rPr>
          </w:pPr>
          <w:hyperlink w:anchor="_Toc70082391" w:history="1">
            <w:r w:rsidR="00344D80" w:rsidRPr="004A0B53">
              <w:rPr>
                <w:rStyle w:val="Hyperlink"/>
              </w:rPr>
              <w:t>Evaluation Scope</w:t>
            </w:r>
            <w:r w:rsidR="00344D80">
              <w:rPr>
                <w:webHidden/>
              </w:rPr>
              <w:tab/>
            </w:r>
            <w:r w:rsidR="00344D80">
              <w:rPr>
                <w:webHidden/>
              </w:rPr>
              <w:fldChar w:fldCharType="begin"/>
            </w:r>
            <w:r w:rsidR="00344D80">
              <w:rPr>
                <w:webHidden/>
              </w:rPr>
              <w:instrText xml:space="preserve"> PAGEREF _Toc70082391 \h </w:instrText>
            </w:r>
            <w:r w:rsidR="00344D80">
              <w:rPr>
                <w:webHidden/>
              </w:rPr>
            </w:r>
            <w:r w:rsidR="00344D80">
              <w:rPr>
                <w:webHidden/>
              </w:rPr>
              <w:fldChar w:fldCharType="separate"/>
            </w:r>
            <w:r w:rsidR="00344D80">
              <w:rPr>
                <w:webHidden/>
              </w:rPr>
              <w:t>51</w:t>
            </w:r>
            <w:r w:rsidR="00344D80">
              <w:rPr>
                <w:webHidden/>
              </w:rPr>
              <w:fldChar w:fldCharType="end"/>
            </w:r>
          </w:hyperlink>
        </w:p>
        <w:p w14:paraId="66F84804" w14:textId="755D3715" w:rsidR="00344D80" w:rsidRDefault="00D07A86">
          <w:pPr>
            <w:pStyle w:val="TOC2"/>
            <w:rPr>
              <w:rFonts w:eastAsiaTheme="minorEastAsia" w:cstheme="minorBidi"/>
              <w:szCs w:val="22"/>
              <w:lang w:eastAsia="en-AU"/>
            </w:rPr>
          </w:pPr>
          <w:hyperlink w:anchor="_Toc70082392" w:history="1">
            <w:r w:rsidR="00344D80" w:rsidRPr="004A0B53">
              <w:rPr>
                <w:rStyle w:val="Hyperlink"/>
              </w:rPr>
              <w:t>Updates to the Proposed Regulations</w:t>
            </w:r>
            <w:r w:rsidR="00344D80">
              <w:rPr>
                <w:webHidden/>
              </w:rPr>
              <w:tab/>
            </w:r>
            <w:r w:rsidR="00344D80">
              <w:rPr>
                <w:webHidden/>
              </w:rPr>
              <w:fldChar w:fldCharType="begin"/>
            </w:r>
            <w:r w:rsidR="00344D80">
              <w:rPr>
                <w:webHidden/>
              </w:rPr>
              <w:instrText xml:space="preserve"> PAGEREF _Toc70082392 \h </w:instrText>
            </w:r>
            <w:r w:rsidR="00344D80">
              <w:rPr>
                <w:webHidden/>
              </w:rPr>
            </w:r>
            <w:r w:rsidR="00344D80">
              <w:rPr>
                <w:webHidden/>
              </w:rPr>
              <w:fldChar w:fldCharType="separate"/>
            </w:r>
            <w:r w:rsidR="00344D80">
              <w:rPr>
                <w:webHidden/>
              </w:rPr>
              <w:t>51</w:t>
            </w:r>
            <w:r w:rsidR="00344D80">
              <w:rPr>
                <w:webHidden/>
              </w:rPr>
              <w:fldChar w:fldCharType="end"/>
            </w:r>
          </w:hyperlink>
        </w:p>
        <w:p w14:paraId="5DEFB631" w14:textId="0E0735EF" w:rsidR="00344D80" w:rsidRDefault="00D07A86">
          <w:pPr>
            <w:pStyle w:val="TOC3"/>
            <w:rPr>
              <w:rFonts w:asciiTheme="minorHAnsi" w:eastAsiaTheme="minorEastAsia" w:hAnsiTheme="minorHAnsi" w:cstheme="minorBidi"/>
              <w:noProof/>
              <w:sz w:val="22"/>
              <w:szCs w:val="22"/>
              <w:lang w:eastAsia="en-AU"/>
            </w:rPr>
          </w:pPr>
          <w:hyperlink w:anchor="_Toc70082393" w:history="1">
            <w:r w:rsidR="00344D80" w:rsidRPr="004A0B53">
              <w:rPr>
                <w:rStyle w:val="Hyperlink"/>
                <w:noProof/>
              </w:rPr>
              <w:t>Requesting changes</w:t>
            </w:r>
            <w:r w:rsidR="00344D80">
              <w:rPr>
                <w:noProof/>
                <w:webHidden/>
              </w:rPr>
              <w:tab/>
            </w:r>
            <w:r w:rsidR="00344D80">
              <w:rPr>
                <w:noProof/>
                <w:webHidden/>
              </w:rPr>
              <w:fldChar w:fldCharType="begin"/>
            </w:r>
            <w:r w:rsidR="00344D80">
              <w:rPr>
                <w:noProof/>
                <w:webHidden/>
              </w:rPr>
              <w:instrText xml:space="preserve"> PAGEREF _Toc70082393 \h </w:instrText>
            </w:r>
            <w:r w:rsidR="00344D80">
              <w:rPr>
                <w:noProof/>
                <w:webHidden/>
              </w:rPr>
            </w:r>
            <w:r w:rsidR="00344D80">
              <w:rPr>
                <w:noProof/>
                <w:webHidden/>
              </w:rPr>
              <w:fldChar w:fldCharType="separate"/>
            </w:r>
            <w:r w:rsidR="00344D80">
              <w:rPr>
                <w:noProof/>
                <w:webHidden/>
              </w:rPr>
              <w:t>52</w:t>
            </w:r>
            <w:r w:rsidR="00344D80">
              <w:rPr>
                <w:noProof/>
                <w:webHidden/>
              </w:rPr>
              <w:fldChar w:fldCharType="end"/>
            </w:r>
          </w:hyperlink>
        </w:p>
        <w:p w14:paraId="502D4F7D" w14:textId="3619352E" w:rsidR="00344D80" w:rsidRDefault="00D07A86">
          <w:pPr>
            <w:pStyle w:val="TOC3"/>
            <w:rPr>
              <w:rFonts w:asciiTheme="minorHAnsi" w:eastAsiaTheme="minorEastAsia" w:hAnsiTheme="minorHAnsi" w:cstheme="minorBidi"/>
              <w:noProof/>
              <w:sz w:val="22"/>
              <w:szCs w:val="22"/>
              <w:lang w:eastAsia="en-AU"/>
            </w:rPr>
          </w:pPr>
          <w:hyperlink w:anchor="_Toc70082394" w:history="1">
            <w:r w:rsidR="00344D80" w:rsidRPr="004A0B53">
              <w:rPr>
                <w:rStyle w:val="Hyperlink"/>
                <w:noProof/>
              </w:rPr>
              <w:t>Requesting additions</w:t>
            </w:r>
            <w:r w:rsidR="00344D80">
              <w:rPr>
                <w:noProof/>
                <w:webHidden/>
              </w:rPr>
              <w:tab/>
            </w:r>
            <w:r w:rsidR="00344D80">
              <w:rPr>
                <w:noProof/>
                <w:webHidden/>
              </w:rPr>
              <w:fldChar w:fldCharType="begin"/>
            </w:r>
            <w:r w:rsidR="00344D80">
              <w:rPr>
                <w:noProof/>
                <w:webHidden/>
              </w:rPr>
              <w:instrText xml:space="preserve"> PAGEREF _Toc70082394 \h </w:instrText>
            </w:r>
            <w:r w:rsidR="00344D80">
              <w:rPr>
                <w:noProof/>
                <w:webHidden/>
              </w:rPr>
            </w:r>
            <w:r w:rsidR="00344D80">
              <w:rPr>
                <w:noProof/>
                <w:webHidden/>
              </w:rPr>
              <w:fldChar w:fldCharType="separate"/>
            </w:r>
            <w:r w:rsidR="00344D80">
              <w:rPr>
                <w:noProof/>
                <w:webHidden/>
              </w:rPr>
              <w:t>52</w:t>
            </w:r>
            <w:r w:rsidR="00344D80">
              <w:rPr>
                <w:noProof/>
                <w:webHidden/>
              </w:rPr>
              <w:fldChar w:fldCharType="end"/>
            </w:r>
          </w:hyperlink>
        </w:p>
        <w:p w14:paraId="754F5881" w14:textId="5AB369E7" w:rsidR="00344D80" w:rsidRDefault="00D07A86">
          <w:pPr>
            <w:pStyle w:val="TOC3"/>
            <w:rPr>
              <w:rFonts w:asciiTheme="minorHAnsi" w:eastAsiaTheme="minorEastAsia" w:hAnsiTheme="minorHAnsi" w:cstheme="minorBidi"/>
              <w:noProof/>
              <w:sz w:val="22"/>
              <w:szCs w:val="22"/>
              <w:lang w:eastAsia="en-AU"/>
            </w:rPr>
          </w:pPr>
          <w:hyperlink w:anchor="_Toc70082395" w:history="1">
            <w:r w:rsidR="00344D80" w:rsidRPr="004A0B53">
              <w:rPr>
                <w:rStyle w:val="Hyperlink"/>
                <w:noProof/>
              </w:rPr>
              <w:t>Administrative additions to Schedule 1</w:t>
            </w:r>
            <w:r w:rsidR="00344D80">
              <w:rPr>
                <w:noProof/>
                <w:webHidden/>
              </w:rPr>
              <w:tab/>
            </w:r>
            <w:r w:rsidR="00344D80">
              <w:rPr>
                <w:noProof/>
                <w:webHidden/>
              </w:rPr>
              <w:fldChar w:fldCharType="begin"/>
            </w:r>
            <w:r w:rsidR="00344D80">
              <w:rPr>
                <w:noProof/>
                <w:webHidden/>
              </w:rPr>
              <w:instrText xml:space="preserve"> PAGEREF _Toc70082395 \h </w:instrText>
            </w:r>
            <w:r w:rsidR="00344D80">
              <w:rPr>
                <w:noProof/>
                <w:webHidden/>
              </w:rPr>
            </w:r>
            <w:r w:rsidR="00344D80">
              <w:rPr>
                <w:noProof/>
                <w:webHidden/>
              </w:rPr>
              <w:fldChar w:fldCharType="separate"/>
            </w:r>
            <w:r w:rsidR="00344D80">
              <w:rPr>
                <w:noProof/>
                <w:webHidden/>
              </w:rPr>
              <w:t>52</w:t>
            </w:r>
            <w:r w:rsidR="00344D80">
              <w:rPr>
                <w:noProof/>
                <w:webHidden/>
              </w:rPr>
              <w:fldChar w:fldCharType="end"/>
            </w:r>
          </w:hyperlink>
        </w:p>
        <w:p w14:paraId="000354DD" w14:textId="5C94D1DD" w:rsidR="00344D80" w:rsidRDefault="00D07A86">
          <w:pPr>
            <w:pStyle w:val="TOC3"/>
            <w:rPr>
              <w:rFonts w:asciiTheme="minorHAnsi" w:eastAsiaTheme="minorEastAsia" w:hAnsiTheme="minorHAnsi" w:cstheme="minorBidi"/>
              <w:noProof/>
              <w:sz w:val="22"/>
              <w:szCs w:val="22"/>
              <w:lang w:eastAsia="en-AU"/>
            </w:rPr>
          </w:pPr>
          <w:hyperlink w:anchor="_Toc70082396" w:history="1">
            <w:r w:rsidR="00344D80" w:rsidRPr="004A0B53">
              <w:rPr>
                <w:rStyle w:val="Hyperlink"/>
                <w:noProof/>
              </w:rPr>
              <w:t>Addition of an exempt legislative instrument in Schedule 3</w:t>
            </w:r>
            <w:r w:rsidR="00344D80">
              <w:rPr>
                <w:noProof/>
                <w:webHidden/>
              </w:rPr>
              <w:tab/>
            </w:r>
            <w:r w:rsidR="00344D80">
              <w:rPr>
                <w:noProof/>
                <w:webHidden/>
              </w:rPr>
              <w:fldChar w:fldCharType="begin"/>
            </w:r>
            <w:r w:rsidR="00344D80">
              <w:rPr>
                <w:noProof/>
                <w:webHidden/>
              </w:rPr>
              <w:instrText xml:space="preserve"> PAGEREF _Toc70082396 \h </w:instrText>
            </w:r>
            <w:r w:rsidR="00344D80">
              <w:rPr>
                <w:noProof/>
                <w:webHidden/>
              </w:rPr>
            </w:r>
            <w:r w:rsidR="00344D80">
              <w:rPr>
                <w:noProof/>
                <w:webHidden/>
              </w:rPr>
              <w:fldChar w:fldCharType="separate"/>
            </w:r>
            <w:r w:rsidR="00344D80">
              <w:rPr>
                <w:noProof/>
                <w:webHidden/>
              </w:rPr>
              <w:t>52</w:t>
            </w:r>
            <w:r w:rsidR="00344D80">
              <w:rPr>
                <w:noProof/>
                <w:webHidden/>
              </w:rPr>
              <w:fldChar w:fldCharType="end"/>
            </w:r>
          </w:hyperlink>
        </w:p>
        <w:p w14:paraId="1ADB497A" w14:textId="378153E4" w:rsidR="00344D80" w:rsidRDefault="00D07A86">
          <w:pPr>
            <w:pStyle w:val="TOC3"/>
            <w:rPr>
              <w:rFonts w:asciiTheme="minorHAnsi" w:eastAsiaTheme="minorEastAsia" w:hAnsiTheme="minorHAnsi" w:cstheme="minorBidi"/>
              <w:noProof/>
              <w:sz w:val="22"/>
              <w:szCs w:val="22"/>
              <w:lang w:eastAsia="en-AU"/>
            </w:rPr>
          </w:pPr>
          <w:hyperlink w:anchor="_Toc70082397" w:history="1">
            <w:r w:rsidR="00344D80" w:rsidRPr="004A0B53">
              <w:rPr>
                <w:rStyle w:val="Hyperlink"/>
                <w:noProof/>
              </w:rPr>
              <w:t>Addition of a legislative instrument that is exempt more broadly</w:t>
            </w:r>
            <w:r w:rsidR="00344D80">
              <w:rPr>
                <w:noProof/>
                <w:webHidden/>
              </w:rPr>
              <w:tab/>
            </w:r>
            <w:r w:rsidR="00344D80">
              <w:rPr>
                <w:noProof/>
                <w:webHidden/>
              </w:rPr>
              <w:fldChar w:fldCharType="begin"/>
            </w:r>
            <w:r w:rsidR="00344D80">
              <w:rPr>
                <w:noProof/>
                <w:webHidden/>
              </w:rPr>
              <w:instrText xml:space="preserve"> PAGEREF _Toc70082397 \h </w:instrText>
            </w:r>
            <w:r w:rsidR="00344D80">
              <w:rPr>
                <w:noProof/>
                <w:webHidden/>
              </w:rPr>
            </w:r>
            <w:r w:rsidR="00344D80">
              <w:rPr>
                <w:noProof/>
                <w:webHidden/>
              </w:rPr>
              <w:fldChar w:fldCharType="separate"/>
            </w:r>
            <w:r w:rsidR="00344D80">
              <w:rPr>
                <w:noProof/>
                <w:webHidden/>
              </w:rPr>
              <w:t>52</w:t>
            </w:r>
            <w:r w:rsidR="00344D80">
              <w:rPr>
                <w:noProof/>
                <w:webHidden/>
              </w:rPr>
              <w:fldChar w:fldCharType="end"/>
            </w:r>
          </w:hyperlink>
        </w:p>
        <w:p w14:paraId="699E80B8" w14:textId="3E2ACF51" w:rsidR="00344D80" w:rsidRDefault="00D07A86">
          <w:pPr>
            <w:pStyle w:val="TOC1"/>
            <w:tabs>
              <w:tab w:val="left" w:pos="567"/>
            </w:tabs>
            <w:rPr>
              <w:rFonts w:eastAsiaTheme="minorEastAsia" w:cstheme="minorBidi"/>
              <w:b w:val="0"/>
              <w:sz w:val="22"/>
              <w:szCs w:val="22"/>
              <w:lang w:eastAsia="en-AU"/>
            </w:rPr>
          </w:pPr>
          <w:hyperlink w:anchor="_Toc70082398" w:history="1">
            <w:r w:rsidR="00344D80" w:rsidRPr="004A0B53">
              <w:rPr>
                <w:rStyle w:val="Hyperlink"/>
              </w:rPr>
              <w:t>7.</w:t>
            </w:r>
            <w:r w:rsidR="00344D80">
              <w:rPr>
                <w:rFonts w:eastAsiaTheme="minorEastAsia" w:cstheme="minorBidi"/>
                <w:b w:val="0"/>
                <w:sz w:val="22"/>
                <w:szCs w:val="22"/>
                <w:lang w:eastAsia="en-AU"/>
              </w:rPr>
              <w:tab/>
            </w:r>
            <w:r w:rsidR="00344D80" w:rsidRPr="004A0B53">
              <w:rPr>
                <w:rStyle w:val="Hyperlink"/>
              </w:rPr>
              <w:t>Consultation</w:t>
            </w:r>
            <w:r w:rsidR="00344D80">
              <w:rPr>
                <w:webHidden/>
              </w:rPr>
              <w:tab/>
            </w:r>
            <w:r w:rsidR="00344D80">
              <w:rPr>
                <w:webHidden/>
              </w:rPr>
              <w:fldChar w:fldCharType="begin"/>
            </w:r>
            <w:r w:rsidR="00344D80">
              <w:rPr>
                <w:webHidden/>
              </w:rPr>
              <w:instrText xml:space="preserve"> PAGEREF _Toc70082398 \h </w:instrText>
            </w:r>
            <w:r w:rsidR="00344D80">
              <w:rPr>
                <w:webHidden/>
              </w:rPr>
            </w:r>
            <w:r w:rsidR="00344D80">
              <w:rPr>
                <w:webHidden/>
              </w:rPr>
              <w:fldChar w:fldCharType="separate"/>
            </w:r>
            <w:r w:rsidR="00344D80">
              <w:rPr>
                <w:webHidden/>
              </w:rPr>
              <w:t>52</w:t>
            </w:r>
            <w:r w:rsidR="00344D80">
              <w:rPr>
                <w:webHidden/>
              </w:rPr>
              <w:fldChar w:fldCharType="end"/>
            </w:r>
          </w:hyperlink>
        </w:p>
        <w:p w14:paraId="00BD11BD" w14:textId="21263AD9" w:rsidR="00344D80" w:rsidRDefault="00D07A86">
          <w:pPr>
            <w:pStyle w:val="TOC2"/>
            <w:rPr>
              <w:rFonts w:eastAsiaTheme="minorEastAsia" w:cstheme="minorBidi"/>
              <w:szCs w:val="22"/>
              <w:lang w:eastAsia="en-AU"/>
            </w:rPr>
          </w:pPr>
          <w:hyperlink w:anchor="_Toc70082399" w:history="1">
            <w:r w:rsidR="00344D80" w:rsidRPr="004A0B53">
              <w:rPr>
                <w:rStyle w:val="Hyperlink"/>
              </w:rPr>
              <w:t>Attachment A –Consultation draft of Proposed Regulations</w:t>
            </w:r>
            <w:r w:rsidR="00344D80">
              <w:rPr>
                <w:webHidden/>
              </w:rPr>
              <w:tab/>
            </w:r>
            <w:r w:rsidR="00344D80">
              <w:rPr>
                <w:webHidden/>
              </w:rPr>
              <w:fldChar w:fldCharType="begin"/>
            </w:r>
            <w:r w:rsidR="00344D80">
              <w:rPr>
                <w:webHidden/>
              </w:rPr>
              <w:instrText xml:space="preserve"> PAGEREF _Toc70082399 \h </w:instrText>
            </w:r>
            <w:r w:rsidR="00344D80">
              <w:rPr>
                <w:webHidden/>
              </w:rPr>
            </w:r>
            <w:r w:rsidR="00344D80">
              <w:rPr>
                <w:webHidden/>
              </w:rPr>
              <w:fldChar w:fldCharType="separate"/>
            </w:r>
            <w:r w:rsidR="00344D80">
              <w:rPr>
                <w:webHidden/>
              </w:rPr>
              <w:t>53</w:t>
            </w:r>
            <w:r w:rsidR="00344D80">
              <w:rPr>
                <w:webHidden/>
              </w:rPr>
              <w:fldChar w:fldCharType="end"/>
            </w:r>
          </w:hyperlink>
        </w:p>
        <w:p w14:paraId="705E3741" w14:textId="1ECE7968" w:rsidR="00344D80" w:rsidRDefault="00D07A86">
          <w:pPr>
            <w:pStyle w:val="TOC2"/>
            <w:rPr>
              <w:rFonts w:eastAsiaTheme="minorEastAsia" w:cstheme="minorBidi"/>
              <w:szCs w:val="22"/>
              <w:lang w:eastAsia="en-AU"/>
            </w:rPr>
          </w:pPr>
          <w:hyperlink w:anchor="_Toc70082400" w:history="1">
            <w:r w:rsidR="00344D80" w:rsidRPr="004A0B53">
              <w:rPr>
                <w:rStyle w:val="Hyperlink"/>
              </w:rPr>
              <w:t>Attachment B – Table summarising changes from Current Regulations to the Proposed Regulations</w:t>
            </w:r>
            <w:r w:rsidR="00344D80">
              <w:rPr>
                <w:webHidden/>
              </w:rPr>
              <w:tab/>
            </w:r>
            <w:r w:rsidR="00344D80">
              <w:rPr>
                <w:webHidden/>
              </w:rPr>
              <w:fldChar w:fldCharType="begin"/>
            </w:r>
            <w:r w:rsidR="00344D80">
              <w:rPr>
                <w:webHidden/>
              </w:rPr>
              <w:instrText xml:space="preserve"> PAGEREF _Toc70082400 \h </w:instrText>
            </w:r>
            <w:r w:rsidR="00344D80">
              <w:rPr>
                <w:webHidden/>
              </w:rPr>
            </w:r>
            <w:r w:rsidR="00344D80">
              <w:rPr>
                <w:webHidden/>
              </w:rPr>
              <w:fldChar w:fldCharType="separate"/>
            </w:r>
            <w:r w:rsidR="00344D80">
              <w:rPr>
                <w:webHidden/>
              </w:rPr>
              <w:t>54</w:t>
            </w:r>
            <w:r w:rsidR="00344D80">
              <w:rPr>
                <w:webHidden/>
              </w:rPr>
              <w:fldChar w:fldCharType="end"/>
            </w:r>
          </w:hyperlink>
        </w:p>
        <w:p w14:paraId="697AB046" w14:textId="658ED213" w:rsidR="00344D80" w:rsidRDefault="00D07A86">
          <w:pPr>
            <w:pStyle w:val="TOC2"/>
            <w:rPr>
              <w:rFonts w:eastAsiaTheme="minorEastAsia" w:cstheme="minorBidi"/>
              <w:szCs w:val="22"/>
              <w:lang w:eastAsia="en-AU"/>
            </w:rPr>
          </w:pPr>
          <w:hyperlink w:anchor="_Toc70082401" w:history="1">
            <w:r w:rsidR="00344D80" w:rsidRPr="004A0B53">
              <w:rPr>
                <w:rStyle w:val="Hyperlink"/>
              </w:rPr>
              <w:t>Attachment C – Table of legislative instruments made under provisions that will be automatically exempt from certain requirements of the SLA</w:t>
            </w:r>
            <w:r w:rsidR="00344D80">
              <w:rPr>
                <w:webHidden/>
              </w:rPr>
              <w:tab/>
            </w:r>
            <w:r w:rsidR="00344D80">
              <w:rPr>
                <w:webHidden/>
              </w:rPr>
              <w:fldChar w:fldCharType="begin"/>
            </w:r>
            <w:r w:rsidR="00344D80">
              <w:rPr>
                <w:webHidden/>
              </w:rPr>
              <w:instrText xml:space="preserve"> PAGEREF _Toc70082401 \h </w:instrText>
            </w:r>
            <w:r w:rsidR="00344D80">
              <w:rPr>
                <w:webHidden/>
              </w:rPr>
            </w:r>
            <w:r w:rsidR="00344D80">
              <w:rPr>
                <w:webHidden/>
              </w:rPr>
              <w:fldChar w:fldCharType="separate"/>
            </w:r>
            <w:r w:rsidR="00344D80">
              <w:rPr>
                <w:webHidden/>
              </w:rPr>
              <w:t>55</w:t>
            </w:r>
            <w:r w:rsidR="00344D80">
              <w:rPr>
                <w:webHidden/>
              </w:rPr>
              <w:fldChar w:fldCharType="end"/>
            </w:r>
          </w:hyperlink>
        </w:p>
        <w:p w14:paraId="682C93DC" w14:textId="2BA99FCC" w:rsidR="006F3F01" w:rsidRPr="002C5292" w:rsidRDefault="006F3F01" w:rsidP="008F21A4">
          <w:pPr>
            <w:pStyle w:val="TOC1"/>
            <w:rPr>
              <w:rFonts w:eastAsiaTheme="minorEastAsia" w:cstheme="minorBidi"/>
              <w:b w:val="0"/>
              <w:sz w:val="22"/>
              <w:szCs w:val="22"/>
              <w:lang w:eastAsia="en-AU"/>
            </w:rPr>
          </w:pPr>
          <w:r w:rsidRPr="002C5292">
            <w:rPr>
              <w:b w:val="0"/>
              <w:bCs/>
            </w:rPr>
            <w:fldChar w:fldCharType="end"/>
          </w:r>
        </w:p>
      </w:sdtContent>
    </w:sdt>
    <w:p w14:paraId="113149D9" w14:textId="4EB5EEB2" w:rsidR="00447883" w:rsidRPr="002C5292" w:rsidRDefault="00447883" w:rsidP="004D310C">
      <w:pPr>
        <w:pStyle w:val="Heading1"/>
      </w:pPr>
      <w:r w:rsidRPr="002C5292">
        <w:br w:type="column"/>
      </w:r>
      <w:bookmarkStart w:id="8" w:name="_Toc535592811"/>
      <w:bookmarkStart w:id="9" w:name="_Toc536102767"/>
      <w:bookmarkStart w:id="10" w:name="_Toc536699221"/>
      <w:bookmarkStart w:id="11" w:name="_Toc70082337"/>
      <w:r w:rsidR="0006431C" w:rsidRPr="002C5292">
        <w:lastRenderedPageBreak/>
        <w:t xml:space="preserve">List of </w:t>
      </w:r>
      <w:r w:rsidRPr="002C5292">
        <w:t>Acronyms</w:t>
      </w:r>
      <w:bookmarkEnd w:id="8"/>
      <w:bookmarkEnd w:id="9"/>
      <w:bookmarkEnd w:id="10"/>
      <w:bookmarkEnd w:id="11"/>
    </w:p>
    <w:p w14:paraId="5C0CDCC7" w14:textId="77777777" w:rsidR="00D926C5" w:rsidRPr="002C5292" w:rsidRDefault="00D926C5" w:rsidP="004D310C">
      <w:pPr>
        <w:pStyle w:val="DPCbody"/>
      </w:pPr>
      <w:r w:rsidRPr="002C5292">
        <w:t>BRV – Better Regulation Victoria</w:t>
      </w:r>
    </w:p>
    <w:p w14:paraId="7A348EFE" w14:textId="132E453A" w:rsidR="00D926C5" w:rsidRPr="002C5292" w:rsidRDefault="00D926C5">
      <w:pPr>
        <w:pStyle w:val="DPCbody"/>
      </w:pPr>
      <w:r w:rsidRPr="002C5292">
        <w:t>CBR – Commissioner for Better Regulation</w:t>
      </w:r>
    </w:p>
    <w:p w14:paraId="2AEAC507" w14:textId="022B95C4" w:rsidR="00A50367" w:rsidRPr="002C5292" w:rsidRDefault="00A50367">
      <w:pPr>
        <w:pStyle w:val="DPCbody"/>
        <w:rPr>
          <w:lang w:eastAsia="en-AU"/>
        </w:rPr>
      </w:pPr>
      <w:r w:rsidRPr="002C5292">
        <w:t xml:space="preserve">Charter </w:t>
      </w:r>
      <w:r w:rsidR="00560DC2" w:rsidRPr="002C5292">
        <w:rPr>
          <w:lang w:eastAsia="en-AU"/>
        </w:rPr>
        <w:t>–</w:t>
      </w:r>
      <w:r w:rsidRPr="002C5292">
        <w:t xml:space="preserve"> </w:t>
      </w:r>
      <w:r w:rsidRPr="002C5292">
        <w:rPr>
          <w:b/>
          <w:lang w:eastAsia="en-AU"/>
        </w:rPr>
        <w:t>Charter of Human Rights and Responsibilities Act 2006</w:t>
      </w:r>
      <w:r w:rsidRPr="002C5292">
        <w:rPr>
          <w:lang w:eastAsia="en-AU"/>
        </w:rPr>
        <w:t xml:space="preserve"> </w:t>
      </w:r>
    </w:p>
    <w:p w14:paraId="0B95640E" w14:textId="77777777" w:rsidR="00A50367" w:rsidRPr="002C5292" w:rsidRDefault="00A50367">
      <w:pPr>
        <w:pStyle w:val="DPCbody"/>
      </w:pPr>
      <w:r w:rsidRPr="002C5292">
        <w:t xml:space="preserve">Current Regulations – </w:t>
      </w:r>
      <w:r w:rsidR="00AF7922" w:rsidRPr="002C5292">
        <w:t xml:space="preserve">Subordinate Legislation (Legislative Instruments) </w:t>
      </w:r>
      <w:r w:rsidRPr="002C5292">
        <w:t xml:space="preserve">Regulations </w:t>
      </w:r>
      <w:r w:rsidR="00AF7922" w:rsidRPr="002C5292">
        <w:t>2011</w:t>
      </w:r>
    </w:p>
    <w:p w14:paraId="2079EB08" w14:textId="77777777" w:rsidR="00AC41E8" w:rsidRPr="002C5292" w:rsidRDefault="00AC41E8">
      <w:pPr>
        <w:pStyle w:val="DPCbody"/>
      </w:pPr>
      <w:r w:rsidRPr="002C5292">
        <w:t xml:space="preserve">DPC </w:t>
      </w:r>
      <w:r w:rsidRPr="002C5292">
        <w:rPr>
          <w:lang w:eastAsia="en-AU"/>
        </w:rPr>
        <w:t>–</w:t>
      </w:r>
      <w:r w:rsidRPr="002C5292">
        <w:t xml:space="preserve"> Department of Premier and Cabinet</w:t>
      </w:r>
    </w:p>
    <w:p w14:paraId="4658585D" w14:textId="011B208B" w:rsidR="00560DC2" w:rsidRPr="002C5292" w:rsidRDefault="00560DC2">
      <w:pPr>
        <w:pStyle w:val="DPCbody"/>
      </w:pPr>
      <w:r w:rsidRPr="002C5292">
        <w:t xml:space="preserve">EPA </w:t>
      </w:r>
      <w:r w:rsidRPr="002C5292">
        <w:rPr>
          <w:lang w:eastAsia="en-AU"/>
        </w:rPr>
        <w:t>–</w:t>
      </w:r>
      <w:r w:rsidRPr="002C5292">
        <w:t xml:space="preserve"> Environmental Protection Authority </w:t>
      </w:r>
    </w:p>
    <w:p w14:paraId="09A3CD09" w14:textId="20FA88A1" w:rsidR="00560DC2" w:rsidRPr="002C5292" w:rsidRDefault="00560DC2">
      <w:pPr>
        <w:pStyle w:val="DPCbody"/>
      </w:pPr>
      <w:r w:rsidRPr="002C5292">
        <w:t xml:space="preserve">ESC </w:t>
      </w:r>
      <w:r w:rsidRPr="002C5292">
        <w:rPr>
          <w:lang w:eastAsia="en-AU"/>
        </w:rPr>
        <w:t>–</w:t>
      </w:r>
      <w:r w:rsidRPr="002C5292">
        <w:t xml:space="preserve"> Essential Services Commission</w:t>
      </w:r>
    </w:p>
    <w:p w14:paraId="583A6EC3" w14:textId="4986F375" w:rsidR="00AC41E8" w:rsidRPr="002C5292" w:rsidRDefault="00AC41E8">
      <w:pPr>
        <w:pStyle w:val="DPCbody"/>
      </w:pPr>
      <w:r w:rsidRPr="002C5292">
        <w:t xml:space="preserve">Proposed Regulations </w:t>
      </w:r>
      <w:r w:rsidR="00560DC2" w:rsidRPr="002C5292">
        <w:rPr>
          <w:lang w:eastAsia="en-AU"/>
        </w:rPr>
        <w:t>–</w:t>
      </w:r>
      <w:r w:rsidRPr="002C5292">
        <w:t xml:space="preserve"> </w:t>
      </w:r>
      <w:r w:rsidR="00AF7922" w:rsidRPr="002C5292">
        <w:t>Subordinate Legislation (Legislative Instruments) Regulations 2021</w:t>
      </w:r>
    </w:p>
    <w:p w14:paraId="54B8078E" w14:textId="77777777" w:rsidR="006B5132" w:rsidRPr="002C5292" w:rsidRDefault="006B5132">
      <w:pPr>
        <w:pStyle w:val="DPCbody"/>
        <w:rPr>
          <w:lang w:eastAsia="en-AU"/>
        </w:rPr>
      </w:pPr>
      <w:r w:rsidRPr="002C5292">
        <w:rPr>
          <w:lang w:eastAsia="en-AU"/>
        </w:rPr>
        <w:t xml:space="preserve">RIS </w:t>
      </w:r>
      <w:r w:rsidRPr="002C5292">
        <w:t>–</w:t>
      </w:r>
      <w:r w:rsidRPr="002C5292">
        <w:rPr>
          <w:lang w:eastAsia="en-AU"/>
        </w:rPr>
        <w:t xml:space="preserve"> this Regulatory Impact Statement</w:t>
      </w:r>
    </w:p>
    <w:p w14:paraId="54BF84E0" w14:textId="77777777" w:rsidR="00C029A5" w:rsidRPr="002C5292" w:rsidRDefault="00C029A5" w:rsidP="00BC7F34">
      <w:pPr>
        <w:pStyle w:val="DPCbody"/>
        <w:rPr>
          <w:lang w:eastAsia="en-AU"/>
        </w:rPr>
      </w:pPr>
      <w:r w:rsidRPr="002C5292">
        <w:rPr>
          <w:lang w:eastAsia="en-AU"/>
        </w:rPr>
        <w:t>SARC – Scrutiny of Acts and Regulations Committee</w:t>
      </w:r>
    </w:p>
    <w:p w14:paraId="3306AED3" w14:textId="2DACAEED" w:rsidR="00AF7922" w:rsidRPr="002C5292" w:rsidRDefault="00AF7922" w:rsidP="00BC7F34">
      <w:pPr>
        <w:pStyle w:val="DPCbody"/>
        <w:rPr>
          <w:b/>
          <w:bCs/>
          <w:lang w:eastAsia="en-AU"/>
        </w:rPr>
      </w:pPr>
      <w:r w:rsidRPr="002C5292">
        <w:rPr>
          <w:lang w:eastAsia="en-AU"/>
        </w:rPr>
        <w:t xml:space="preserve">SLA – </w:t>
      </w:r>
      <w:r w:rsidRPr="002C5292">
        <w:rPr>
          <w:b/>
          <w:bCs/>
          <w:lang w:eastAsia="en-AU"/>
        </w:rPr>
        <w:t>Subordinate Legislation Act 1994</w:t>
      </w:r>
    </w:p>
    <w:p w14:paraId="1D704222" w14:textId="4CE07540" w:rsidR="0067245A" w:rsidRPr="002C5292" w:rsidRDefault="0067245A" w:rsidP="0067245A">
      <w:pPr>
        <w:pStyle w:val="DPCbody"/>
        <w:rPr>
          <w:lang w:eastAsia="en-AU"/>
        </w:rPr>
      </w:pPr>
      <w:r w:rsidRPr="002C5292">
        <w:rPr>
          <w:lang w:eastAsia="en-AU"/>
        </w:rPr>
        <w:t>SLA Guidelines – Guidelines made by the responsible Minister under section 26 of the SLA</w:t>
      </w:r>
    </w:p>
    <w:p w14:paraId="226D9F22" w14:textId="77777777" w:rsidR="00F05A62" w:rsidRPr="002C5292" w:rsidRDefault="00447883" w:rsidP="0067245A">
      <w:pPr>
        <w:pStyle w:val="Heading1"/>
      </w:pPr>
      <w:r w:rsidRPr="002C5292">
        <w:br w:type="column"/>
      </w:r>
      <w:bookmarkStart w:id="12" w:name="_Toc70082338"/>
      <w:r w:rsidR="00F05A62" w:rsidRPr="002C5292">
        <w:lastRenderedPageBreak/>
        <w:t>Executive Summary</w:t>
      </w:r>
      <w:bookmarkEnd w:id="12"/>
    </w:p>
    <w:p w14:paraId="627EA3F5" w14:textId="7D61848F" w:rsidR="004167F4" w:rsidRPr="002C5292" w:rsidRDefault="00F05A62" w:rsidP="00E25FD5">
      <w:pPr>
        <w:pStyle w:val="DPCbody"/>
      </w:pPr>
      <w:r w:rsidRPr="002C5292">
        <w:t xml:space="preserve">The draft </w:t>
      </w:r>
      <w:r w:rsidR="00AF7922" w:rsidRPr="002C5292">
        <w:t>Subordinate Legislation (Legislative Instruments) Regulations 2021</w:t>
      </w:r>
      <w:r w:rsidRPr="002C5292">
        <w:t xml:space="preserve"> (the </w:t>
      </w:r>
      <w:r w:rsidR="00095532" w:rsidRPr="002C5292">
        <w:t>P</w:t>
      </w:r>
      <w:r w:rsidR="007913FA" w:rsidRPr="002C5292">
        <w:t>roposed Regulations</w:t>
      </w:r>
      <w:r w:rsidRPr="002C5292">
        <w:t>)</w:t>
      </w:r>
      <w:r w:rsidR="005E3BBF" w:rsidRPr="002C5292">
        <w:t xml:space="preserve"> at Attachment A</w:t>
      </w:r>
      <w:r w:rsidR="008879F4" w:rsidRPr="002C5292">
        <w:t>,</w:t>
      </w:r>
      <w:r w:rsidRPr="002C5292">
        <w:t xml:space="preserve"> </w:t>
      </w:r>
      <w:r w:rsidR="00E067EA" w:rsidRPr="002C5292">
        <w:t>are similar to</w:t>
      </w:r>
      <w:r w:rsidRPr="002C5292">
        <w:t xml:space="preserve"> the </w:t>
      </w:r>
      <w:r w:rsidR="00D926C5" w:rsidRPr="002C5292">
        <w:t>Current</w:t>
      </w:r>
      <w:r w:rsidRPr="002C5292">
        <w:t xml:space="preserve"> </w:t>
      </w:r>
      <w:r w:rsidR="00D926C5" w:rsidRPr="002C5292">
        <w:t>R</w:t>
      </w:r>
      <w:r w:rsidRPr="002C5292">
        <w:t>egulations</w:t>
      </w:r>
      <w:r w:rsidR="00032D26" w:rsidRPr="002C5292">
        <w:t>,</w:t>
      </w:r>
      <w:r w:rsidRPr="002C5292">
        <w:t xml:space="preserve"> </w:t>
      </w:r>
      <w:r w:rsidR="00032D26" w:rsidRPr="002C5292">
        <w:t xml:space="preserve">the </w:t>
      </w:r>
      <w:r w:rsidR="00AF7922" w:rsidRPr="002C5292">
        <w:t>Subordinate Legislation (Legislative Instruments) Regulations 2011</w:t>
      </w:r>
      <w:r w:rsidRPr="002C5292">
        <w:rPr>
          <w:i/>
        </w:rPr>
        <w:t xml:space="preserve">, </w:t>
      </w:r>
      <w:r w:rsidRPr="002C5292">
        <w:t xml:space="preserve">which are due to sunset </w:t>
      </w:r>
      <w:r w:rsidR="00AA5C94" w:rsidRPr="002C5292">
        <w:t xml:space="preserve">on </w:t>
      </w:r>
      <w:r w:rsidR="00AF7922" w:rsidRPr="002C5292">
        <w:t>28 June 2021</w:t>
      </w:r>
      <w:r w:rsidRPr="002C5292">
        <w:t xml:space="preserve">. </w:t>
      </w:r>
    </w:p>
    <w:p w14:paraId="2F64C838" w14:textId="26DE4315" w:rsidR="00F46943" w:rsidRPr="002C5292" w:rsidRDefault="00F46943" w:rsidP="008A076E">
      <w:pPr>
        <w:pStyle w:val="DPCbody"/>
      </w:pPr>
      <w:r w:rsidRPr="002C5292">
        <w:t xml:space="preserve">The </w:t>
      </w:r>
      <w:r w:rsidR="00095532" w:rsidRPr="002C5292">
        <w:t>P</w:t>
      </w:r>
      <w:r w:rsidRPr="002C5292">
        <w:t xml:space="preserve">roposed Regulations </w:t>
      </w:r>
      <w:r w:rsidR="00AF7922" w:rsidRPr="002C5292">
        <w:t xml:space="preserve">to be made under section 4A of the SLA </w:t>
      </w:r>
      <w:r w:rsidRPr="002C5292">
        <w:t>have three purposes:</w:t>
      </w:r>
    </w:p>
    <w:p w14:paraId="79443F6B" w14:textId="0D3C0F28" w:rsidR="00814542" w:rsidRPr="002C5292" w:rsidRDefault="00814542" w:rsidP="001B01D0">
      <w:pPr>
        <w:pStyle w:val="DPCbullet1"/>
        <w:numPr>
          <w:ilvl w:val="0"/>
          <w:numId w:val="57"/>
        </w:numPr>
      </w:pPr>
      <w:r w:rsidRPr="002C5292">
        <w:t>to prescribe a non-exhaustive list of instruments which are not to be legislative instruments for the purposes of the SLA (mostly instruments of purely administrative character)</w:t>
      </w:r>
      <w:r w:rsidR="009D170F" w:rsidRPr="002C5292">
        <w:t xml:space="preserve"> (Schedule 1)</w:t>
      </w:r>
      <w:r w:rsidRPr="002C5292">
        <w:t>;</w:t>
      </w:r>
    </w:p>
    <w:p w14:paraId="6D07FEEB" w14:textId="1065B106" w:rsidR="00AF7922" w:rsidRPr="002C5292" w:rsidRDefault="00AF7922" w:rsidP="001B01D0">
      <w:pPr>
        <w:pStyle w:val="DPCbullet1"/>
        <w:numPr>
          <w:ilvl w:val="0"/>
          <w:numId w:val="57"/>
        </w:numPr>
      </w:pPr>
      <w:r w:rsidRPr="002C5292">
        <w:t xml:space="preserve">to </w:t>
      </w:r>
      <w:r w:rsidR="00814542" w:rsidRPr="002C5292">
        <w:t xml:space="preserve">clarify the characterisation of instruments as legislative instruments and </w:t>
      </w:r>
      <w:r w:rsidRPr="002C5292">
        <w:t xml:space="preserve">prescribe </w:t>
      </w:r>
      <w:r w:rsidR="00814542" w:rsidRPr="002C5292">
        <w:t xml:space="preserve">them </w:t>
      </w:r>
      <w:r w:rsidRPr="002C5292">
        <w:t>to be legislative instruments for the purposes of the SLA</w:t>
      </w:r>
      <w:r w:rsidR="009D170F" w:rsidRPr="002C5292">
        <w:t xml:space="preserve"> (Schedule 2)</w:t>
      </w:r>
      <w:r w:rsidRPr="002C5292">
        <w:t>;</w:t>
      </w:r>
      <w:r w:rsidR="00814542" w:rsidRPr="002C5292">
        <w:t xml:space="preserve"> </w:t>
      </w:r>
      <w:r w:rsidRPr="002C5292">
        <w:t>and</w:t>
      </w:r>
    </w:p>
    <w:p w14:paraId="66CB73D5" w14:textId="512592E6" w:rsidR="00AF7922" w:rsidRPr="002C5292" w:rsidRDefault="00AF7922" w:rsidP="001B01D0">
      <w:pPr>
        <w:pStyle w:val="DPCbullet1"/>
        <w:numPr>
          <w:ilvl w:val="0"/>
          <w:numId w:val="57"/>
        </w:numPr>
      </w:pPr>
      <w:r w:rsidRPr="002C5292">
        <w:t xml:space="preserve">to </w:t>
      </w:r>
      <w:r w:rsidR="005259FA" w:rsidRPr="002C5292">
        <w:t xml:space="preserve">automatically </w:t>
      </w:r>
      <w:r w:rsidRPr="002C5292">
        <w:t xml:space="preserve">exempt certain </w:t>
      </w:r>
      <w:r w:rsidR="00D210CF" w:rsidRPr="002C5292">
        <w:t xml:space="preserve">provisions </w:t>
      </w:r>
      <w:r w:rsidR="00C31EC8" w:rsidRPr="002C5292">
        <w:t>under which</w:t>
      </w:r>
      <w:r w:rsidR="00D210CF" w:rsidRPr="002C5292">
        <w:t xml:space="preserve"> </w:t>
      </w:r>
      <w:r w:rsidRPr="002C5292">
        <w:t xml:space="preserve">legislative instruments </w:t>
      </w:r>
      <w:r w:rsidR="00C31EC8" w:rsidRPr="002C5292">
        <w:t xml:space="preserve">are made </w:t>
      </w:r>
      <w:r w:rsidRPr="002C5292">
        <w:t>from the operation of certain provisions of the SLA (including the preparation of a regulatory impact statement (RIS), associated consultation and other requirements)</w:t>
      </w:r>
      <w:r w:rsidR="009D170F" w:rsidRPr="002C5292">
        <w:t xml:space="preserve"> </w:t>
      </w:r>
      <w:r w:rsidR="004543B2" w:rsidRPr="002C5292">
        <w:t xml:space="preserve">by listing those instruments in </w:t>
      </w:r>
      <w:r w:rsidR="009D170F" w:rsidRPr="002C5292">
        <w:t>Schedule 3</w:t>
      </w:r>
      <w:r w:rsidR="004543B2" w:rsidRPr="002C5292">
        <w:t xml:space="preserve"> or in the main body of the Proposed Regulations (exempt legislative instruments)</w:t>
      </w:r>
      <w:r w:rsidRPr="002C5292">
        <w:t>.</w:t>
      </w:r>
    </w:p>
    <w:p w14:paraId="7608294E" w14:textId="2DF0FB62" w:rsidR="005259FA" w:rsidRPr="002C5292" w:rsidRDefault="005259FA" w:rsidP="005259FA">
      <w:pPr>
        <w:pStyle w:val="DPCbody"/>
      </w:pPr>
      <w:r w:rsidRPr="002C5292">
        <w:t>There are two types of exemption certificates that can exempt a legislative instrument from the requirement for a RIS on a case by case basis. These are:</w:t>
      </w:r>
    </w:p>
    <w:p w14:paraId="3225807C" w14:textId="77777777" w:rsidR="005259FA" w:rsidRPr="002C5292" w:rsidRDefault="005259FA" w:rsidP="005259FA">
      <w:pPr>
        <w:pStyle w:val="DPCbullet1"/>
        <w:numPr>
          <w:ilvl w:val="0"/>
          <w:numId w:val="84"/>
        </w:numPr>
        <w:rPr>
          <w:lang w:eastAsia="en-AU"/>
        </w:rPr>
      </w:pPr>
      <w:r w:rsidRPr="002C5292">
        <w:rPr>
          <w:lang w:eastAsia="en-AU"/>
        </w:rPr>
        <w:t>exemption certificates issued by the responsible Minister – section 12F; and</w:t>
      </w:r>
    </w:p>
    <w:p w14:paraId="63BEE54B" w14:textId="77777777" w:rsidR="005259FA" w:rsidRPr="002C5292" w:rsidRDefault="005259FA" w:rsidP="005259FA">
      <w:pPr>
        <w:pStyle w:val="DPCbullet1"/>
        <w:numPr>
          <w:ilvl w:val="0"/>
          <w:numId w:val="84"/>
        </w:numPr>
        <w:rPr>
          <w:lang w:eastAsia="en-AU"/>
        </w:rPr>
      </w:pPr>
      <w:r w:rsidRPr="002C5292">
        <w:rPr>
          <w:lang w:eastAsia="en-AU"/>
        </w:rPr>
        <w:t>exemption certificates issued by the Premier – section 12G.</w:t>
      </w:r>
    </w:p>
    <w:p w14:paraId="5E901DA0" w14:textId="77777777" w:rsidR="008E1F43" w:rsidRPr="002C5292" w:rsidRDefault="00590C67" w:rsidP="005259FA">
      <w:pPr>
        <w:pStyle w:val="DPCbody"/>
      </w:pPr>
      <w:r w:rsidRPr="002C5292">
        <w:t>Since the Current Regulations were enacted in 2011, there have been approximately 500 amendments to the Current Regulations. These changes reflect when instruments have been:</w:t>
      </w:r>
    </w:p>
    <w:p w14:paraId="27656882" w14:textId="56CAA1F4" w:rsidR="008E1F43" w:rsidRPr="002C5292" w:rsidRDefault="00590C67" w:rsidP="008E1F43">
      <w:pPr>
        <w:pStyle w:val="DPCbullet1"/>
        <w:numPr>
          <w:ilvl w:val="0"/>
          <w:numId w:val="84"/>
        </w:numPr>
        <w:rPr>
          <w:lang w:eastAsia="en-AU"/>
        </w:rPr>
      </w:pPr>
      <w:r w:rsidRPr="002C5292">
        <w:rPr>
          <w:lang w:eastAsia="en-AU"/>
        </w:rPr>
        <w:t>inserted or amended to reflect new and amended Acts;</w:t>
      </w:r>
    </w:p>
    <w:p w14:paraId="24EA3CD6" w14:textId="36B400F5" w:rsidR="008E1F43" w:rsidRPr="002C5292" w:rsidRDefault="00590C67" w:rsidP="008E1F43">
      <w:pPr>
        <w:pStyle w:val="DPCbullet1"/>
        <w:numPr>
          <w:ilvl w:val="0"/>
          <w:numId w:val="84"/>
        </w:numPr>
        <w:rPr>
          <w:lang w:eastAsia="en-AU"/>
        </w:rPr>
      </w:pPr>
      <w:r w:rsidRPr="002C5292">
        <w:rPr>
          <w:lang w:eastAsia="en-AU"/>
        </w:rPr>
        <w:t>repealed or replaced when Acts are repealed or amended; or</w:t>
      </w:r>
    </w:p>
    <w:p w14:paraId="1A13F55D" w14:textId="2C44BE46" w:rsidR="00590C67" w:rsidRPr="002C5292" w:rsidRDefault="00590C67" w:rsidP="00A100FA">
      <w:pPr>
        <w:pStyle w:val="DPCbullet1"/>
        <w:numPr>
          <w:ilvl w:val="0"/>
          <w:numId w:val="84"/>
        </w:numPr>
        <w:rPr>
          <w:lang w:eastAsia="en-AU"/>
        </w:rPr>
      </w:pPr>
      <w:r w:rsidRPr="002C5292">
        <w:rPr>
          <w:lang w:eastAsia="en-AU"/>
        </w:rPr>
        <w:t xml:space="preserve">moved between Schedules when the nature and effect of an instrument has been reconsidered by a Department during the </w:t>
      </w:r>
      <w:r w:rsidR="00ED6B1B" w:rsidRPr="002C5292">
        <w:rPr>
          <w:lang w:eastAsia="en-AU"/>
        </w:rPr>
        <w:t>annual</w:t>
      </w:r>
      <w:r w:rsidRPr="002C5292">
        <w:rPr>
          <w:lang w:eastAsia="en-AU"/>
        </w:rPr>
        <w:t xml:space="preserve"> reviews of the Current Regulations. </w:t>
      </w:r>
    </w:p>
    <w:p w14:paraId="327D8EAA" w14:textId="64445DF1" w:rsidR="00590C67" w:rsidRPr="002C5292" w:rsidRDefault="00590C67" w:rsidP="00C934BF">
      <w:pPr>
        <w:pStyle w:val="DPCbullet1"/>
        <w:numPr>
          <w:ilvl w:val="0"/>
          <w:numId w:val="0"/>
        </w:numPr>
        <w:rPr>
          <w:lang w:eastAsia="en-AU"/>
        </w:rPr>
      </w:pPr>
      <w:r w:rsidRPr="002C5292">
        <w:rPr>
          <w:lang w:eastAsia="en-AU"/>
        </w:rPr>
        <w:t xml:space="preserve">For example, in recent amendments to the Current Regulations in 2020, a management plan made under section 21(1) of the </w:t>
      </w:r>
      <w:r w:rsidRPr="002C5292">
        <w:rPr>
          <w:i/>
          <w:iCs/>
          <w:lang w:eastAsia="en-AU"/>
        </w:rPr>
        <w:t xml:space="preserve">Flora and Fauna Guarantee Act 1988 </w:t>
      </w:r>
      <w:r w:rsidRPr="002C5292">
        <w:rPr>
          <w:lang w:eastAsia="en-AU"/>
        </w:rPr>
        <w:t>moved from Schedule 3 to Schedule</w:t>
      </w:r>
      <w:r w:rsidR="00225670" w:rsidRPr="002C5292">
        <w:rPr>
          <w:lang w:eastAsia="en-AU"/>
        </w:rPr>
        <w:t> </w:t>
      </w:r>
      <w:r w:rsidRPr="002C5292">
        <w:rPr>
          <w:lang w:eastAsia="en-AU"/>
        </w:rPr>
        <w:t xml:space="preserve">1. The Department </w:t>
      </w:r>
      <w:r w:rsidR="008E1F43" w:rsidRPr="002C5292">
        <w:rPr>
          <w:lang w:eastAsia="en-AU"/>
        </w:rPr>
        <w:t xml:space="preserve">of Environment, Land, Water and Planning </w:t>
      </w:r>
      <w:r w:rsidRPr="002C5292">
        <w:rPr>
          <w:lang w:eastAsia="en-AU"/>
        </w:rPr>
        <w:t>requested this be moved, as it had become clear that despite some potential indications of legislative characteristics, on balance the instrument was administrative in nature and so should be included in Schedule 1 to ensure its status and requirements under the SLA are clear</w:t>
      </w:r>
      <w:r w:rsidR="009D170F" w:rsidRPr="002C5292">
        <w:rPr>
          <w:lang w:eastAsia="en-AU"/>
        </w:rPr>
        <w:t>.</w:t>
      </w:r>
    </w:p>
    <w:p w14:paraId="573DC660" w14:textId="3AB46CC1" w:rsidR="00AF7922" w:rsidRPr="002C5292" w:rsidRDefault="00F46943" w:rsidP="00BC7F34">
      <w:pPr>
        <w:pStyle w:val="DPCbullet1"/>
        <w:numPr>
          <w:ilvl w:val="0"/>
          <w:numId w:val="0"/>
        </w:numPr>
        <w:rPr>
          <w:rFonts w:cstheme="minorHAnsi"/>
        </w:rPr>
      </w:pPr>
      <w:r w:rsidRPr="002C5292">
        <w:rPr>
          <w:rFonts w:cstheme="minorHAnsi"/>
        </w:rPr>
        <w:t xml:space="preserve">The </w:t>
      </w:r>
      <w:r w:rsidR="00095532" w:rsidRPr="002C5292">
        <w:rPr>
          <w:rFonts w:cstheme="minorHAnsi"/>
        </w:rPr>
        <w:t>P</w:t>
      </w:r>
      <w:r w:rsidRPr="002C5292">
        <w:rPr>
          <w:rFonts w:cstheme="minorHAnsi"/>
        </w:rPr>
        <w:t xml:space="preserve">roposed Regulations </w:t>
      </w:r>
      <w:r w:rsidR="0061449D" w:rsidRPr="002C5292">
        <w:rPr>
          <w:rFonts w:cstheme="minorHAnsi"/>
        </w:rPr>
        <w:t xml:space="preserve">differ from the </w:t>
      </w:r>
      <w:r w:rsidR="00D926C5" w:rsidRPr="002C5292">
        <w:rPr>
          <w:rFonts w:cstheme="minorHAnsi"/>
        </w:rPr>
        <w:t>Current R</w:t>
      </w:r>
      <w:r w:rsidR="0061449D" w:rsidRPr="002C5292">
        <w:rPr>
          <w:rFonts w:cstheme="minorHAnsi"/>
        </w:rPr>
        <w:t xml:space="preserve">egulations as set out in the table </w:t>
      </w:r>
      <w:r w:rsidR="005E3BBF" w:rsidRPr="002C5292">
        <w:rPr>
          <w:rFonts w:cstheme="minorHAnsi"/>
        </w:rPr>
        <w:t>at Attachment B.</w:t>
      </w:r>
      <w:r w:rsidR="00AF7922" w:rsidRPr="002C5292">
        <w:rPr>
          <w:rFonts w:cstheme="minorHAnsi"/>
        </w:rPr>
        <w:t xml:space="preserve"> </w:t>
      </w:r>
    </w:p>
    <w:p w14:paraId="7B9D963C" w14:textId="169AC2FA" w:rsidR="0062389F" w:rsidRPr="002C5292" w:rsidRDefault="0062389F" w:rsidP="00C934BF">
      <w:pPr>
        <w:rPr>
          <w:rFonts w:asciiTheme="minorHAnsi" w:eastAsia="Times" w:hAnsiTheme="minorHAnsi" w:cstheme="minorHAnsi"/>
          <w:color w:val="000000" w:themeColor="text1"/>
          <w:sz w:val="22"/>
          <w:szCs w:val="22"/>
        </w:rPr>
      </w:pPr>
      <w:r w:rsidRPr="002C5292">
        <w:rPr>
          <w:rFonts w:asciiTheme="minorHAnsi" w:eastAsia="Times" w:hAnsiTheme="minorHAnsi" w:cstheme="minorHAnsi"/>
          <w:color w:val="000000" w:themeColor="text1"/>
          <w:sz w:val="22"/>
          <w:szCs w:val="22"/>
        </w:rPr>
        <w:t xml:space="preserve">The key </w:t>
      </w:r>
      <w:r w:rsidR="00B22E5D" w:rsidRPr="002C5292">
        <w:rPr>
          <w:rFonts w:asciiTheme="minorHAnsi" w:eastAsia="Times" w:hAnsiTheme="minorHAnsi" w:cstheme="minorHAnsi"/>
          <w:color w:val="000000" w:themeColor="text1"/>
          <w:sz w:val="22"/>
          <w:szCs w:val="22"/>
        </w:rPr>
        <w:t>differences</w:t>
      </w:r>
      <w:r w:rsidRPr="002C5292">
        <w:rPr>
          <w:rFonts w:asciiTheme="minorHAnsi" w:eastAsia="Times" w:hAnsiTheme="minorHAnsi" w:cstheme="minorHAnsi"/>
          <w:color w:val="000000" w:themeColor="text1"/>
          <w:sz w:val="22"/>
          <w:szCs w:val="22"/>
        </w:rPr>
        <w:t xml:space="preserve"> include: </w:t>
      </w:r>
    </w:p>
    <w:p w14:paraId="67997448" w14:textId="0F313F23" w:rsidR="0062389F" w:rsidRPr="002C5292" w:rsidRDefault="0062389F" w:rsidP="008376ED">
      <w:pPr>
        <w:pStyle w:val="ListParagraph"/>
        <w:numPr>
          <w:ilvl w:val="0"/>
          <w:numId w:val="58"/>
        </w:numPr>
        <w:rPr>
          <w:rFonts w:cstheme="minorHAnsi"/>
        </w:rPr>
      </w:pPr>
      <w:r w:rsidRPr="002C5292">
        <w:rPr>
          <w:rFonts w:cstheme="minorHAnsi"/>
        </w:rPr>
        <w:t xml:space="preserve">changes resulting from ongoing feedback and analysis from </w:t>
      </w:r>
      <w:r w:rsidR="00DC6368" w:rsidRPr="002C5292">
        <w:rPr>
          <w:rFonts w:cstheme="minorHAnsi"/>
        </w:rPr>
        <w:t>d</w:t>
      </w:r>
      <w:r w:rsidRPr="002C5292">
        <w:rPr>
          <w:rFonts w:cstheme="minorHAnsi"/>
        </w:rPr>
        <w:t xml:space="preserve">epartments during </w:t>
      </w:r>
      <w:r w:rsidR="00ED6B1B" w:rsidRPr="002C5292">
        <w:rPr>
          <w:rFonts w:cstheme="minorHAnsi"/>
        </w:rPr>
        <w:t>annual</w:t>
      </w:r>
      <w:r w:rsidRPr="002C5292">
        <w:rPr>
          <w:rFonts w:cstheme="minorHAnsi"/>
        </w:rPr>
        <w:t xml:space="preserve"> reviews</w:t>
      </w:r>
      <w:r w:rsidR="00B22E5D" w:rsidRPr="002C5292">
        <w:rPr>
          <w:rFonts w:cstheme="minorHAnsi"/>
        </w:rPr>
        <w:t xml:space="preserve"> of the Current Regulations</w:t>
      </w:r>
      <w:r w:rsidRPr="002C5292">
        <w:rPr>
          <w:rFonts w:cstheme="minorHAnsi"/>
        </w:rPr>
        <w:t xml:space="preserve">, such as: </w:t>
      </w:r>
    </w:p>
    <w:p w14:paraId="050ECAFF" w14:textId="3F41BACF" w:rsidR="0062389F" w:rsidRPr="002C5292" w:rsidRDefault="0062389F" w:rsidP="00A100FA">
      <w:pPr>
        <w:pStyle w:val="ListParagraph"/>
        <w:numPr>
          <w:ilvl w:val="0"/>
          <w:numId w:val="99"/>
        </w:numPr>
        <w:rPr>
          <w:rFonts w:cstheme="minorHAnsi"/>
        </w:rPr>
      </w:pPr>
      <w:r w:rsidRPr="002C5292">
        <w:rPr>
          <w:rFonts w:cstheme="minorHAnsi"/>
        </w:rPr>
        <w:t>moving from Schedule 1 to 3 and vice versa</w:t>
      </w:r>
      <w:r w:rsidR="00B22E5D" w:rsidRPr="002C5292">
        <w:rPr>
          <w:rFonts w:cstheme="minorHAnsi"/>
        </w:rPr>
        <w:t xml:space="preserve"> on the basis that the instrument had been incorrectly characterised</w:t>
      </w:r>
      <w:r w:rsidRPr="002C5292">
        <w:rPr>
          <w:rFonts w:cstheme="minorHAnsi"/>
        </w:rPr>
        <w:t xml:space="preserve">; or </w:t>
      </w:r>
    </w:p>
    <w:p w14:paraId="238E4E23" w14:textId="49ECC77D" w:rsidR="0062389F" w:rsidRPr="002C5292" w:rsidRDefault="0062389F" w:rsidP="00A100FA">
      <w:pPr>
        <w:pStyle w:val="ListParagraph"/>
        <w:numPr>
          <w:ilvl w:val="0"/>
          <w:numId w:val="99"/>
        </w:numPr>
        <w:rPr>
          <w:rFonts w:cstheme="minorHAnsi"/>
        </w:rPr>
      </w:pPr>
      <w:r w:rsidRPr="002C5292">
        <w:rPr>
          <w:rFonts w:cstheme="minorHAnsi"/>
        </w:rPr>
        <w:t xml:space="preserve">removal </w:t>
      </w:r>
      <w:r w:rsidR="00B22E5D" w:rsidRPr="002C5292">
        <w:rPr>
          <w:rFonts w:cstheme="minorHAnsi"/>
        </w:rPr>
        <w:t xml:space="preserve">of instruments from the Current Regulations </w:t>
      </w:r>
      <w:r w:rsidRPr="002C5292">
        <w:rPr>
          <w:rFonts w:cstheme="minorHAnsi"/>
        </w:rPr>
        <w:t>because an instrument is clearly administrative in nature; and</w:t>
      </w:r>
    </w:p>
    <w:p w14:paraId="255862B8" w14:textId="68CDBF7C" w:rsidR="0062389F" w:rsidRPr="002C5292" w:rsidRDefault="0062389F" w:rsidP="008376ED">
      <w:pPr>
        <w:pStyle w:val="ListParagraph"/>
        <w:numPr>
          <w:ilvl w:val="0"/>
          <w:numId w:val="59"/>
        </w:numPr>
        <w:rPr>
          <w:rFonts w:cstheme="minorHAnsi"/>
        </w:rPr>
      </w:pPr>
      <w:r w:rsidRPr="002C5292">
        <w:rPr>
          <w:rFonts w:cstheme="minorHAnsi"/>
        </w:rPr>
        <w:t>updates to reflect changes made to authorising Acts</w:t>
      </w:r>
      <w:r w:rsidR="00B22E5D" w:rsidRPr="002C5292">
        <w:rPr>
          <w:rFonts w:cstheme="minorHAnsi"/>
        </w:rPr>
        <w:t xml:space="preserve"> or provisions (including repeal of authorising Acts or provisions, renaming of authorising Acts or amendments to authorising provisions).</w:t>
      </w:r>
      <w:r w:rsidRPr="002C5292">
        <w:rPr>
          <w:rFonts w:cstheme="minorHAnsi"/>
        </w:rPr>
        <w:t xml:space="preserve"> </w:t>
      </w:r>
    </w:p>
    <w:p w14:paraId="77F03700" w14:textId="0CC2E277" w:rsidR="00F46943" w:rsidRPr="002C5292" w:rsidRDefault="00F46943" w:rsidP="00BC7F34">
      <w:pPr>
        <w:pStyle w:val="DPCbullet1"/>
        <w:numPr>
          <w:ilvl w:val="0"/>
          <w:numId w:val="0"/>
        </w:numPr>
      </w:pPr>
    </w:p>
    <w:p w14:paraId="557AEAF1" w14:textId="77777777" w:rsidR="00F05A62" w:rsidRPr="002C5292" w:rsidRDefault="00F05A62" w:rsidP="00BC7F34">
      <w:pPr>
        <w:pStyle w:val="Heading2"/>
      </w:pPr>
      <w:bookmarkStart w:id="13" w:name="_Toc70082339"/>
      <w:r w:rsidRPr="002C5292">
        <w:t>Nature of the problem</w:t>
      </w:r>
      <w:bookmarkEnd w:id="13"/>
    </w:p>
    <w:p w14:paraId="679407C6" w14:textId="286BE5F8" w:rsidR="00AF7922" w:rsidRPr="002C5292" w:rsidRDefault="00AC61C3" w:rsidP="00BC7F34">
      <w:pPr>
        <w:pStyle w:val="DPCbody"/>
        <w:rPr>
          <w:rFonts w:cstheme="minorHAnsi"/>
        </w:rPr>
      </w:pPr>
      <w:bookmarkStart w:id="14" w:name="_Toc410976288"/>
      <w:r w:rsidRPr="002C5292">
        <w:rPr>
          <w:rFonts w:cstheme="minorHAnsi"/>
        </w:rPr>
        <w:t>The effective operation of a representative democracy depends on the community being able to scrutinise, discuss and contribute to government decision-making</w:t>
      </w:r>
      <w:r w:rsidR="00AF7922" w:rsidRPr="002C5292">
        <w:rPr>
          <w:rFonts w:cstheme="minorHAnsi"/>
        </w:rPr>
        <w:t xml:space="preserve"> particularly where such decision</w:t>
      </w:r>
      <w:r w:rsidR="002E717A" w:rsidRPr="002C5292">
        <w:rPr>
          <w:rFonts w:cstheme="minorHAnsi"/>
        </w:rPr>
        <w:t>s</w:t>
      </w:r>
      <w:r w:rsidR="00AF7922" w:rsidRPr="002C5292">
        <w:rPr>
          <w:rFonts w:cstheme="minorHAnsi"/>
        </w:rPr>
        <w:t xml:space="preserve"> imposes a significant regulatory burden</w:t>
      </w:r>
      <w:r w:rsidRPr="002C5292">
        <w:rPr>
          <w:rFonts w:cstheme="minorHAnsi"/>
        </w:rPr>
        <w:t xml:space="preserve">. </w:t>
      </w:r>
      <w:r w:rsidR="00AF7922" w:rsidRPr="002C5292">
        <w:rPr>
          <w:rFonts w:cstheme="minorHAnsi"/>
        </w:rPr>
        <w:t>The Victorian SLA facilitates such engagement.</w:t>
      </w:r>
    </w:p>
    <w:p w14:paraId="1E80E67E" w14:textId="26DB2351" w:rsidR="008F3BF9" w:rsidRPr="002C5292" w:rsidRDefault="008F3BF9" w:rsidP="008F3BF9">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Legislative instruments, like statutory rules, must undergo a detailed process of analysis</w:t>
      </w:r>
      <w:r w:rsidR="003F20B3" w:rsidRPr="002C5292">
        <w:rPr>
          <w:rFonts w:asciiTheme="majorHAnsi" w:hAnsiTheme="majorHAnsi" w:cstheme="majorHAnsi"/>
          <w:sz w:val="22"/>
          <w:szCs w:val="22"/>
        </w:rPr>
        <w:t xml:space="preserve"> under the SLA</w:t>
      </w:r>
      <w:r w:rsidRPr="002C5292">
        <w:rPr>
          <w:rFonts w:asciiTheme="majorHAnsi" w:hAnsiTheme="majorHAnsi" w:cstheme="majorHAnsi"/>
          <w:sz w:val="22"/>
          <w:szCs w:val="22"/>
        </w:rPr>
        <w:t xml:space="preserve"> before they are made. Doing so improves government accountability and transparency and leads to better quality regulation. Key elements are the preparation of a RIS and public consultation on the RIS, which provides greater opportunities for public input on legislative instruments that significantly affect Victorians. </w:t>
      </w:r>
      <w:r w:rsidR="004D2B11" w:rsidRPr="002C5292">
        <w:rPr>
          <w:rFonts w:asciiTheme="majorHAnsi" w:hAnsiTheme="majorHAnsi" w:cstheme="majorHAnsi"/>
          <w:sz w:val="22"/>
          <w:szCs w:val="22"/>
        </w:rPr>
        <w:t>Generally, l</w:t>
      </w:r>
      <w:r w:rsidRPr="002C5292">
        <w:rPr>
          <w:rFonts w:asciiTheme="majorHAnsi" w:hAnsiTheme="majorHAnsi" w:cstheme="majorHAnsi"/>
          <w:sz w:val="22"/>
          <w:szCs w:val="22"/>
        </w:rPr>
        <w:t>egislative instruments must also be tabled in Parliament and will subsequently be reviewed by the Scrutiny of Acts and Regulations Committee (SARC).</w:t>
      </w:r>
    </w:p>
    <w:p w14:paraId="228D9B66" w14:textId="769DAC84" w:rsidR="00AF7922" w:rsidRPr="002C5292" w:rsidRDefault="00AF7922" w:rsidP="00A100FA">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A large number of legislative instruments qualify for an exemption </w:t>
      </w:r>
      <w:r w:rsidR="00996F10" w:rsidRPr="002C5292">
        <w:rPr>
          <w:rFonts w:asciiTheme="majorHAnsi" w:hAnsiTheme="majorHAnsi" w:cstheme="majorHAnsi"/>
          <w:sz w:val="22"/>
          <w:szCs w:val="22"/>
        </w:rPr>
        <w:t xml:space="preserve">from preparing a RIS </w:t>
      </w:r>
      <w:r w:rsidRPr="002C5292">
        <w:rPr>
          <w:rFonts w:asciiTheme="majorHAnsi" w:hAnsiTheme="majorHAnsi" w:cstheme="majorHAnsi"/>
          <w:sz w:val="22"/>
          <w:szCs w:val="22"/>
        </w:rPr>
        <w:t>under criteria provided in section</w:t>
      </w:r>
      <w:r w:rsidR="009A3EE4" w:rsidRPr="002C5292">
        <w:rPr>
          <w:rFonts w:asciiTheme="majorHAnsi" w:hAnsiTheme="majorHAnsi" w:cstheme="majorHAnsi"/>
          <w:sz w:val="22"/>
          <w:szCs w:val="22"/>
        </w:rPr>
        <w:t> </w:t>
      </w:r>
      <w:r w:rsidRPr="002C5292">
        <w:rPr>
          <w:rFonts w:asciiTheme="majorHAnsi" w:hAnsiTheme="majorHAnsi" w:cstheme="majorHAnsi"/>
          <w:sz w:val="22"/>
          <w:szCs w:val="22"/>
        </w:rPr>
        <w:t xml:space="preserve">12F of the SLA. In </w:t>
      </w:r>
      <w:r w:rsidR="00ED0983" w:rsidRPr="002C5292">
        <w:rPr>
          <w:rFonts w:asciiTheme="majorHAnsi" w:hAnsiTheme="majorHAnsi" w:cstheme="majorHAnsi"/>
          <w:sz w:val="22"/>
          <w:szCs w:val="22"/>
        </w:rPr>
        <w:t xml:space="preserve">these </w:t>
      </w:r>
      <w:r w:rsidRPr="002C5292">
        <w:rPr>
          <w:rFonts w:asciiTheme="majorHAnsi" w:hAnsiTheme="majorHAnsi" w:cstheme="majorHAnsi"/>
          <w:sz w:val="22"/>
          <w:szCs w:val="22"/>
        </w:rPr>
        <w:t xml:space="preserve">cases, there is considered to be a net benefit in </w:t>
      </w:r>
      <w:r w:rsidR="00996F10" w:rsidRPr="002C5292">
        <w:rPr>
          <w:rFonts w:asciiTheme="majorHAnsi" w:hAnsiTheme="majorHAnsi" w:cstheme="majorHAnsi"/>
          <w:sz w:val="22"/>
          <w:szCs w:val="22"/>
        </w:rPr>
        <w:t xml:space="preserve">automatically </w:t>
      </w:r>
      <w:r w:rsidRPr="002C5292">
        <w:rPr>
          <w:rFonts w:asciiTheme="majorHAnsi" w:hAnsiTheme="majorHAnsi" w:cstheme="majorHAnsi"/>
          <w:sz w:val="22"/>
          <w:szCs w:val="22"/>
        </w:rPr>
        <w:t>exempting legislative instruments from the RIS</w:t>
      </w:r>
      <w:r w:rsidR="00023FDE" w:rsidRPr="002C5292">
        <w:rPr>
          <w:rFonts w:asciiTheme="majorHAnsi" w:hAnsiTheme="majorHAnsi" w:cstheme="majorHAnsi"/>
          <w:sz w:val="22"/>
          <w:szCs w:val="22"/>
        </w:rPr>
        <w:t xml:space="preserve"> process</w:t>
      </w:r>
      <w:r w:rsidRPr="002C5292">
        <w:rPr>
          <w:rFonts w:asciiTheme="majorHAnsi" w:hAnsiTheme="majorHAnsi" w:cstheme="majorHAnsi"/>
          <w:sz w:val="22"/>
          <w:szCs w:val="22"/>
        </w:rPr>
        <w:t xml:space="preserve">, and associated consultation process, </w:t>
      </w:r>
      <w:r w:rsidR="00ED0983" w:rsidRPr="002C5292">
        <w:rPr>
          <w:rFonts w:asciiTheme="majorHAnsi" w:hAnsiTheme="majorHAnsi" w:cstheme="majorHAnsi"/>
          <w:sz w:val="22"/>
          <w:szCs w:val="22"/>
        </w:rPr>
        <w:t>because the costs of additional consultation and scrutiny would</w:t>
      </w:r>
      <w:r w:rsidR="00075B06" w:rsidRPr="002C5292">
        <w:rPr>
          <w:rFonts w:asciiTheme="majorHAnsi" w:hAnsiTheme="majorHAnsi" w:cstheme="majorHAnsi"/>
          <w:sz w:val="22"/>
          <w:szCs w:val="22"/>
        </w:rPr>
        <w:t xml:space="preserve"> be disproportionate</w:t>
      </w:r>
      <w:r w:rsidR="00023FDE" w:rsidRPr="002C5292">
        <w:rPr>
          <w:rFonts w:asciiTheme="majorHAnsi" w:hAnsiTheme="majorHAnsi" w:cstheme="majorHAnsi"/>
          <w:sz w:val="22"/>
          <w:szCs w:val="22"/>
        </w:rPr>
        <w:t xml:space="preserve"> and</w:t>
      </w:r>
      <w:r w:rsidR="00ED0983" w:rsidRPr="002C5292">
        <w:rPr>
          <w:rFonts w:asciiTheme="majorHAnsi" w:hAnsiTheme="majorHAnsi" w:cstheme="majorHAnsi"/>
          <w:sz w:val="22"/>
          <w:szCs w:val="22"/>
        </w:rPr>
        <w:t xml:space="preserve"> </w:t>
      </w:r>
      <w:r w:rsidR="00DA75A2" w:rsidRPr="002C5292">
        <w:rPr>
          <w:rFonts w:asciiTheme="majorHAnsi" w:hAnsiTheme="majorHAnsi" w:cstheme="majorHAnsi"/>
          <w:sz w:val="22"/>
          <w:szCs w:val="22"/>
        </w:rPr>
        <w:t>outweigh</w:t>
      </w:r>
      <w:r w:rsidR="00ED0983" w:rsidRPr="002C5292">
        <w:rPr>
          <w:rFonts w:asciiTheme="majorHAnsi" w:hAnsiTheme="majorHAnsi" w:cstheme="majorHAnsi"/>
          <w:sz w:val="22"/>
          <w:szCs w:val="22"/>
        </w:rPr>
        <w:t xml:space="preserve"> the benefits of that consultation and scrutiny</w:t>
      </w:r>
      <w:r w:rsidRPr="002C5292">
        <w:rPr>
          <w:rFonts w:asciiTheme="majorHAnsi" w:hAnsiTheme="majorHAnsi" w:cstheme="majorHAnsi"/>
          <w:sz w:val="22"/>
          <w:szCs w:val="22"/>
        </w:rPr>
        <w:t>.</w:t>
      </w:r>
      <w:r w:rsidR="00B92432" w:rsidRPr="002C5292">
        <w:rPr>
          <w:rFonts w:asciiTheme="majorHAnsi" w:hAnsiTheme="majorHAnsi" w:cstheme="majorHAnsi"/>
          <w:sz w:val="22"/>
          <w:szCs w:val="22"/>
        </w:rPr>
        <w:t xml:space="preserve"> </w:t>
      </w:r>
      <w:r w:rsidR="00023FDE" w:rsidRPr="002C5292">
        <w:rPr>
          <w:rFonts w:asciiTheme="majorHAnsi" w:hAnsiTheme="majorHAnsi" w:cstheme="majorHAnsi"/>
          <w:sz w:val="22"/>
          <w:szCs w:val="22"/>
        </w:rPr>
        <w:t>W</w:t>
      </w:r>
      <w:r w:rsidR="00B92432" w:rsidRPr="002C5292">
        <w:rPr>
          <w:rFonts w:asciiTheme="majorHAnsi" w:hAnsiTheme="majorHAnsi" w:cstheme="majorHAnsi"/>
          <w:sz w:val="22"/>
          <w:szCs w:val="22"/>
        </w:rPr>
        <w:t>ithout the Proposed Regulations, departmental resources would be required to seek an exemption each time an instrument was made, which imposes an administrative burden on Government and Parliament.</w:t>
      </w:r>
    </w:p>
    <w:p w14:paraId="36CAC0D9" w14:textId="77777777" w:rsidR="00CF1F1E" w:rsidRPr="002C5292" w:rsidRDefault="00AF7922" w:rsidP="00A100FA">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Without the </w:t>
      </w:r>
      <w:r w:rsidR="00095532" w:rsidRPr="002C5292">
        <w:rPr>
          <w:rFonts w:asciiTheme="majorHAnsi" w:hAnsiTheme="majorHAnsi" w:cstheme="majorHAnsi"/>
          <w:sz w:val="22"/>
          <w:szCs w:val="22"/>
        </w:rPr>
        <w:t>P</w:t>
      </w:r>
      <w:r w:rsidRPr="002C5292">
        <w:rPr>
          <w:rFonts w:asciiTheme="majorHAnsi" w:hAnsiTheme="majorHAnsi" w:cstheme="majorHAnsi"/>
          <w:sz w:val="22"/>
          <w:szCs w:val="22"/>
        </w:rPr>
        <w:t xml:space="preserve">roposed Regulations, </w:t>
      </w:r>
      <w:r w:rsidR="00900849" w:rsidRPr="002C5292">
        <w:rPr>
          <w:rFonts w:asciiTheme="majorHAnsi" w:hAnsiTheme="majorHAnsi" w:cstheme="majorHAnsi"/>
          <w:sz w:val="22"/>
          <w:szCs w:val="22"/>
        </w:rPr>
        <w:t xml:space="preserve">departments and agencies will spend more time in making or amending legislative instruments and </w:t>
      </w:r>
      <w:r w:rsidRPr="002C5292">
        <w:rPr>
          <w:rFonts w:asciiTheme="majorHAnsi" w:hAnsiTheme="majorHAnsi" w:cstheme="majorHAnsi"/>
          <w:sz w:val="22"/>
          <w:szCs w:val="22"/>
        </w:rPr>
        <w:t>resources would have to be allocated to these activities, which would represent a considerable opportunity cost for departments and agencies.</w:t>
      </w:r>
      <w:r w:rsidR="00900849" w:rsidRPr="002C5292">
        <w:rPr>
          <w:rFonts w:asciiTheme="majorHAnsi" w:hAnsiTheme="majorHAnsi" w:cstheme="majorHAnsi"/>
          <w:sz w:val="22"/>
          <w:szCs w:val="22"/>
        </w:rPr>
        <w:t xml:space="preserve"> </w:t>
      </w:r>
    </w:p>
    <w:p w14:paraId="2D8F617C" w14:textId="78A28995" w:rsidR="00AF7922" w:rsidRPr="002C5292" w:rsidRDefault="00900849" w:rsidP="00A100FA">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Some legislative instruments need to be made quickly to achieve their desired effect, for example when responding to an emergency. The additional time involved in preparing exemption certificates or RISs would undermine the intended effect of these legislative instruments. </w:t>
      </w:r>
      <w:r w:rsidR="00AF7922" w:rsidRPr="002C5292">
        <w:rPr>
          <w:rFonts w:asciiTheme="majorHAnsi" w:hAnsiTheme="majorHAnsi" w:cstheme="majorHAnsi"/>
          <w:sz w:val="22"/>
          <w:szCs w:val="22"/>
        </w:rPr>
        <w:t>Departments</w:t>
      </w:r>
      <w:r w:rsidR="00A37638" w:rsidRPr="002C5292">
        <w:rPr>
          <w:rFonts w:asciiTheme="majorHAnsi" w:hAnsiTheme="majorHAnsi" w:cstheme="majorHAnsi"/>
          <w:sz w:val="22"/>
          <w:szCs w:val="22"/>
        </w:rPr>
        <w:t>,</w:t>
      </w:r>
      <w:r w:rsidR="00AF7922" w:rsidRPr="002C5292">
        <w:rPr>
          <w:rFonts w:asciiTheme="majorHAnsi" w:hAnsiTheme="majorHAnsi" w:cstheme="majorHAnsi"/>
          <w:sz w:val="22"/>
          <w:szCs w:val="22"/>
        </w:rPr>
        <w:t xml:space="preserve"> agencies</w:t>
      </w:r>
      <w:r w:rsidR="00A37638" w:rsidRPr="002C5292">
        <w:rPr>
          <w:rFonts w:asciiTheme="majorHAnsi" w:hAnsiTheme="majorHAnsi" w:cstheme="majorHAnsi"/>
          <w:sz w:val="22"/>
          <w:szCs w:val="22"/>
        </w:rPr>
        <w:t xml:space="preserve"> and Parliament (including the</w:t>
      </w:r>
      <w:r w:rsidR="00A42031" w:rsidRPr="002C5292">
        <w:rPr>
          <w:rFonts w:asciiTheme="majorHAnsi" w:hAnsiTheme="majorHAnsi" w:cstheme="majorHAnsi"/>
          <w:sz w:val="22"/>
          <w:szCs w:val="22"/>
        </w:rPr>
        <w:t xml:space="preserve"> </w:t>
      </w:r>
      <w:r w:rsidR="00A37638" w:rsidRPr="002C5292">
        <w:rPr>
          <w:rFonts w:asciiTheme="majorHAnsi" w:hAnsiTheme="majorHAnsi" w:cstheme="majorHAnsi"/>
          <w:sz w:val="22"/>
          <w:szCs w:val="22"/>
        </w:rPr>
        <w:t>SARC)</w:t>
      </w:r>
      <w:r w:rsidR="00AF7922" w:rsidRPr="002C5292">
        <w:rPr>
          <w:rFonts w:asciiTheme="majorHAnsi" w:hAnsiTheme="majorHAnsi" w:cstheme="majorHAnsi"/>
          <w:sz w:val="22"/>
          <w:szCs w:val="22"/>
        </w:rPr>
        <w:t xml:space="preserve"> would have to divert resources from other, more significant, issues which could otherwise be addressed.</w:t>
      </w:r>
    </w:p>
    <w:p w14:paraId="709BAC2F" w14:textId="48BA7F07" w:rsidR="009F61D5" w:rsidRPr="002C5292" w:rsidRDefault="009F61D5" w:rsidP="0067245A">
      <w:pPr>
        <w:pStyle w:val="Heading2"/>
      </w:pPr>
      <w:bookmarkStart w:id="15" w:name="_Toc70082340"/>
      <w:r w:rsidRPr="002C5292">
        <w:t>Objective</w:t>
      </w:r>
      <w:r w:rsidR="00363420" w:rsidRPr="002C5292">
        <w:t>s</w:t>
      </w:r>
      <w:r w:rsidRPr="002C5292">
        <w:t xml:space="preserve"> of the proposed </w:t>
      </w:r>
      <w:r w:rsidR="004167F4" w:rsidRPr="002C5292">
        <w:t>regulatory measure</w:t>
      </w:r>
      <w:bookmarkEnd w:id="15"/>
    </w:p>
    <w:p w14:paraId="1F29749F" w14:textId="07B364A7" w:rsidR="009F61D5" w:rsidRPr="002C5292" w:rsidRDefault="009F61D5" w:rsidP="0067245A">
      <w:pPr>
        <w:pStyle w:val="DPCbody"/>
      </w:pPr>
      <w:r w:rsidRPr="002C5292">
        <w:t xml:space="preserve">The objectives of the </w:t>
      </w:r>
      <w:r w:rsidR="00095532" w:rsidRPr="002C5292">
        <w:t>P</w:t>
      </w:r>
      <w:r w:rsidRPr="002C5292">
        <w:t xml:space="preserve">roposed </w:t>
      </w:r>
      <w:r w:rsidR="004167F4" w:rsidRPr="002C5292">
        <w:t>Regulations</w:t>
      </w:r>
      <w:r w:rsidRPr="002C5292">
        <w:t xml:space="preserve"> are</w:t>
      </w:r>
      <w:r w:rsidR="004167F4" w:rsidRPr="002C5292">
        <w:t xml:space="preserve"> </w:t>
      </w:r>
      <w:r w:rsidR="00A63CB1" w:rsidRPr="002C5292">
        <w:t>to</w:t>
      </w:r>
      <w:r w:rsidRPr="002C5292">
        <w:t>:</w:t>
      </w:r>
    </w:p>
    <w:p w14:paraId="04D0EF97" w14:textId="77777777" w:rsidR="00AC4496" w:rsidRPr="002C5292" w:rsidRDefault="00AC4496" w:rsidP="008376ED">
      <w:pPr>
        <w:pStyle w:val="DPCbullet1"/>
        <w:numPr>
          <w:ilvl w:val="0"/>
          <w:numId w:val="60"/>
        </w:numPr>
      </w:pPr>
      <w:r w:rsidRPr="002C5292">
        <w:t>assist departments and agencies to allocate their resources efficiently and ensure they are not subject to excessive burden;</w:t>
      </w:r>
    </w:p>
    <w:p w14:paraId="5E842947" w14:textId="77777777" w:rsidR="00AC4496" w:rsidRPr="002C5292" w:rsidRDefault="00AC4496" w:rsidP="008376ED">
      <w:pPr>
        <w:pStyle w:val="DPCbullet1"/>
        <w:numPr>
          <w:ilvl w:val="0"/>
          <w:numId w:val="60"/>
        </w:numPr>
      </w:pPr>
      <w:r w:rsidRPr="002C5292">
        <w:t>minimise unnecessary delays in making or amending legislative instruments; and</w:t>
      </w:r>
    </w:p>
    <w:p w14:paraId="0F307631" w14:textId="177FADED" w:rsidR="00AC4496" w:rsidRPr="002C5292" w:rsidRDefault="004D310C" w:rsidP="008376ED">
      <w:pPr>
        <w:pStyle w:val="DPCbullet1"/>
        <w:numPr>
          <w:ilvl w:val="0"/>
          <w:numId w:val="60"/>
        </w:numPr>
      </w:pPr>
      <w:r w:rsidRPr="002C5292">
        <w:t xml:space="preserve">ensure legislative instruments are identifiable, publicly available and an appropriate level of scrutiny (parliamentary and SARC) is applied to the legislative instruments. </w:t>
      </w:r>
    </w:p>
    <w:p w14:paraId="5132F0C5" w14:textId="77777777" w:rsidR="009F61D5" w:rsidRPr="002C5292" w:rsidRDefault="00AC4496" w:rsidP="00BC7F34">
      <w:pPr>
        <w:pStyle w:val="Heading2"/>
      </w:pPr>
      <w:bookmarkStart w:id="16" w:name="_Toc70082341"/>
      <w:r w:rsidRPr="002C5292">
        <w:t>Options</w:t>
      </w:r>
      <w:bookmarkEnd w:id="16"/>
      <w:r w:rsidRPr="002C5292">
        <w:t xml:space="preserve"> </w:t>
      </w:r>
    </w:p>
    <w:p w14:paraId="54CAEA26" w14:textId="20209B6C" w:rsidR="0061449D" w:rsidRPr="002C5292" w:rsidRDefault="00243A54" w:rsidP="00BC7F34">
      <w:pPr>
        <w:pStyle w:val="Heading3"/>
        <w:rPr>
          <w:sz w:val="22"/>
          <w:szCs w:val="22"/>
        </w:rPr>
      </w:pPr>
      <w:bookmarkStart w:id="17" w:name="_Toc70082342"/>
      <w:r w:rsidRPr="002C5292">
        <w:rPr>
          <w:sz w:val="22"/>
          <w:szCs w:val="22"/>
        </w:rPr>
        <w:t>Base case - n</w:t>
      </w:r>
      <w:r w:rsidR="0061449D" w:rsidRPr="002C5292">
        <w:rPr>
          <w:sz w:val="22"/>
          <w:szCs w:val="22"/>
        </w:rPr>
        <w:t>o regulations</w:t>
      </w:r>
      <w:bookmarkEnd w:id="17"/>
    </w:p>
    <w:p w14:paraId="448E7C00" w14:textId="4D256491" w:rsidR="005259FA" w:rsidRPr="002C5292" w:rsidRDefault="00AC4496" w:rsidP="000C4A15">
      <w:pPr>
        <w:pStyle w:val="DPCbodytext"/>
      </w:pPr>
      <w:r w:rsidRPr="002C5292">
        <w:t xml:space="preserve">Without </w:t>
      </w:r>
      <w:r w:rsidR="0061449D" w:rsidRPr="002C5292">
        <w:t xml:space="preserve">the </w:t>
      </w:r>
      <w:r w:rsidR="00095532" w:rsidRPr="002C5292">
        <w:t>P</w:t>
      </w:r>
      <w:r w:rsidR="0061449D" w:rsidRPr="002C5292">
        <w:t>roposed R</w:t>
      </w:r>
      <w:r w:rsidRPr="002C5292">
        <w:t xml:space="preserve">egulations (the Base Case), each legislative instrument that is made would </w:t>
      </w:r>
      <w:r w:rsidR="00023FDE" w:rsidRPr="002C5292">
        <w:t>require a case-by-case exemption from preparing a RIS (under sections 12F or 12G of the SLA) or a RIS to be prepared</w:t>
      </w:r>
      <w:r w:rsidRPr="002C5292">
        <w:t xml:space="preserve">. The benefit of this </w:t>
      </w:r>
      <w:r w:rsidR="00B835C4" w:rsidRPr="002C5292">
        <w:t>is</w:t>
      </w:r>
      <w:r w:rsidRPr="002C5292">
        <w:t xml:space="preserve"> that all legislative instruments, including those exempt under section 12F, would be required to undergo a human rights assessment, and be published in the Victoria Government Gazette, tabled in Parliament and reviewed by SARC. These additional steps provide additional scrutiny that would not be provided for legislative instruments </w:t>
      </w:r>
      <w:r w:rsidR="00E05DA5" w:rsidRPr="002C5292">
        <w:t xml:space="preserve">prescribed </w:t>
      </w:r>
      <w:r w:rsidR="00C31EC8" w:rsidRPr="002C5292">
        <w:t>to be</w:t>
      </w:r>
      <w:r w:rsidR="00E05DA5" w:rsidRPr="002C5292">
        <w:t xml:space="preserve"> exempt legislative instruments under Schedule 3 of </w:t>
      </w:r>
      <w:r w:rsidRPr="002C5292">
        <w:t xml:space="preserve">the </w:t>
      </w:r>
      <w:r w:rsidR="00095532" w:rsidRPr="002C5292">
        <w:t>P</w:t>
      </w:r>
      <w:r w:rsidRPr="002C5292">
        <w:t>roposed Regulation</w:t>
      </w:r>
      <w:r w:rsidR="0061449D" w:rsidRPr="002C5292">
        <w:t>s</w:t>
      </w:r>
      <w:r w:rsidR="004543B2" w:rsidRPr="002C5292">
        <w:t xml:space="preserve"> or in the main body of the Proposed Regulations</w:t>
      </w:r>
      <w:r w:rsidRPr="002C5292">
        <w:t xml:space="preserve">. </w:t>
      </w:r>
    </w:p>
    <w:p w14:paraId="62CC4001" w14:textId="77777777" w:rsidR="005259FA" w:rsidRPr="002C5292" w:rsidRDefault="005259FA" w:rsidP="000C4A15">
      <w:pPr>
        <w:pStyle w:val="DPCbodytext"/>
      </w:pPr>
    </w:p>
    <w:p w14:paraId="2F817DB0" w14:textId="56FC15BB" w:rsidR="00AC4496" w:rsidRPr="002C5292" w:rsidRDefault="00AC4496" w:rsidP="000C4A15">
      <w:pPr>
        <w:pStyle w:val="DPCbodytext"/>
      </w:pPr>
      <w:r w:rsidRPr="002C5292">
        <w:t xml:space="preserve">However, there </w:t>
      </w:r>
      <w:r w:rsidR="00CB0D6E" w:rsidRPr="002C5292">
        <w:t xml:space="preserve">are </w:t>
      </w:r>
      <w:r w:rsidRPr="002C5292">
        <w:t xml:space="preserve">a number of associated costs with the Base Case. Seeking an exemption certificate </w:t>
      </w:r>
      <w:r w:rsidR="009A3EE4" w:rsidRPr="002C5292">
        <w:t xml:space="preserve">from the responsible Minister </w:t>
      </w:r>
      <w:r w:rsidRPr="002C5292">
        <w:t>each time</w:t>
      </w:r>
      <w:r w:rsidR="002C2C5F" w:rsidRPr="002C5292">
        <w:t xml:space="preserve"> </w:t>
      </w:r>
      <w:r w:rsidRPr="002C5292">
        <w:t>a</w:t>
      </w:r>
      <w:r w:rsidR="00C648B1" w:rsidRPr="002C5292">
        <w:t xml:space="preserve"> </w:t>
      </w:r>
      <w:r w:rsidRPr="002C5292">
        <w:t xml:space="preserve">legislative instrument </w:t>
      </w:r>
      <w:r w:rsidR="006E07C6" w:rsidRPr="002C5292">
        <w:t xml:space="preserve">is made </w:t>
      </w:r>
      <w:r w:rsidR="002C2C5F" w:rsidRPr="002C5292">
        <w:t xml:space="preserve">(which is </w:t>
      </w:r>
      <w:r w:rsidR="006E07C6" w:rsidRPr="002C5292">
        <w:t xml:space="preserve">proposed to be </w:t>
      </w:r>
      <w:r w:rsidR="002C2C5F" w:rsidRPr="002C5292">
        <w:t>included in the Proposed Regulations)</w:t>
      </w:r>
      <w:r w:rsidRPr="002C5292">
        <w:t xml:space="preserve"> </w:t>
      </w:r>
      <w:r w:rsidR="009A3EE4" w:rsidRPr="002C5292">
        <w:t xml:space="preserve">will </w:t>
      </w:r>
      <w:r w:rsidRPr="002C5292">
        <w:t xml:space="preserve">result in a cost to departments. There would be greater costs on departments for </w:t>
      </w:r>
      <w:r w:rsidR="006E07C6" w:rsidRPr="002C5292">
        <w:t xml:space="preserve">those </w:t>
      </w:r>
      <w:r w:rsidRPr="002C5292">
        <w:t xml:space="preserve">legislative instruments </w:t>
      </w:r>
      <w:r w:rsidR="009A3EE4" w:rsidRPr="002C5292">
        <w:t>that are not</w:t>
      </w:r>
      <w:r w:rsidRPr="002C5292">
        <w:t xml:space="preserve"> exempt under section</w:t>
      </w:r>
      <w:r w:rsidR="006E07C6" w:rsidRPr="002C5292">
        <w:t> </w:t>
      </w:r>
      <w:r w:rsidRPr="002C5292">
        <w:t xml:space="preserve">12F as </w:t>
      </w:r>
      <w:r w:rsidR="00023FDE" w:rsidRPr="002C5292">
        <w:t xml:space="preserve">some of </w:t>
      </w:r>
      <w:r w:rsidR="009A3EE4" w:rsidRPr="002C5292">
        <w:t>those legislative instruments</w:t>
      </w:r>
      <w:r w:rsidRPr="002C5292">
        <w:t xml:space="preserve"> would </w:t>
      </w:r>
      <w:r w:rsidR="009A3EE4" w:rsidRPr="002C5292">
        <w:t xml:space="preserve">require the </w:t>
      </w:r>
      <w:r w:rsidRPr="002C5292">
        <w:t>prepar</w:t>
      </w:r>
      <w:r w:rsidR="009A3EE4" w:rsidRPr="002C5292">
        <w:t>ation of</w:t>
      </w:r>
      <w:r w:rsidRPr="002C5292">
        <w:t xml:space="preserve"> a RIS and undergo the associated consultation</w:t>
      </w:r>
      <w:r w:rsidR="004D2B11" w:rsidRPr="002C5292">
        <w:rPr>
          <w:rStyle w:val="FootnoteReference"/>
        </w:rPr>
        <w:footnoteReference w:id="2"/>
      </w:r>
      <w:r w:rsidRPr="002C5292">
        <w:t xml:space="preserve">. </w:t>
      </w:r>
      <w:r w:rsidR="00755326" w:rsidRPr="002C5292">
        <w:t>Only a small number of additional RISs would need to be prepared without the Proposed Regulations</w:t>
      </w:r>
      <w:r w:rsidR="0016514C" w:rsidRPr="002C5292">
        <w:t xml:space="preserve"> (approximately 5-10 per year)</w:t>
      </w:r>
      <w:r w:rsidR="00845046" w:rsidRPr="002C5292">
        <w:t>.</w:t>
      </w:r>
      <w:r w:rsidR="00105F4B" w:rsidRPr="002C5292">
        <w:t xml:space="preserve"> </w:t>
      </w:r>
      <w:r w:rsidRPr="002C5292">
        <w:t xml:space="preserve">There would also be a greater impact on SARC, as it would be required to assess every legislative instrument to ensure the requirements of the SLA have been met. With approximately </w:t>
      </w:r>
      <w:r w:rsidR="00C50996" w:rsidRPr="002C5292">
        <w:t xml:space="preserve">up to </w:t>
      </w:r>
      <w:r w:rsidR="0016514C" w:rsidRPr="002C5292">
        <w:t>300-500</w:t>
      </w:r>
      <w:r w:rsidR="00DF46F3" w:rsidRPr="002C5292">
        <w:t xml:space="preserve"> additional</w:t>
      </w:r>
      <w:r w:rsidR="00241F61" w:rsidRPr="002C5292">
        <w:t xml:space="preserve"> </w:t>
      </w:r>
      <w:r w:rsidRPr="002C5292">
        <w:t xml:space="preserve">legislative instruments likely to be </w:t>
      </w:r>
      <w:r w:rsidR="00DF46F3" w:rsidRPr="002C5292">
        <w:t xml:space="preserve">tabled with SARC </w:t>
      </w:r>
      <w:r w:rsidRPr="002C5292">
        <w:t>each year</w:t>
      </w:r>
      <w:r w:rsidR="004A4708" w:rsidRPr="002C5292">
        <w:t xml:space="preserve"> (</w:t>
      </w:r>
      <w:r w:rsidR="00DF46F3" w:rsidRPr="002C5292">
        <w:t xml:space="preserve">in the </w:t>
      </w:r>
      <w:r w:rsidR="004A4708" w:rsidRPr="002C5292">
        <w:t>base case)</w:t>
      </w:r>
      <w:r w:rsidRPr="002C5292">
        <w:t xml:space="preserve">, SARC’s ability to effectively perform its scrutiny function may be compromised </w:t>
      </w:r>
      <w:r w:rsidR="009C54EC" w:rsidRPr="002C5292">
        <w:t>with this increased workload</w:t>
      </w:r>
      <w:r w:rsidRPr="002C5292">
        <w:t>.</w:t>
      </w:r>
    </w:p>
    <w:p w14:paraId="677AD2B1" w14:textId="4FCF41A6" w:rsidR="0061449D" w:rsidRPr="002C5292" w:rsidRDefault="0061449D" w:rsidP="00C934BF">
      <w:pPr>
        <w:pStyle w:val="Heading3"/>
        <w:rPr>
          <w:sz w:val="22"/>
          <w:szCs w:val="22"/>
        </w:rPr>
      </w:pPr>
      <w:bookmarkStart w:id="18" w:name="_Toc70082343"/>
      <w:r w:rsidRPr="002C5292">
        <w:rPr>
          <w:sz w:val="22"/>
          <w:szCs w:val="22"/>
        </w:rPr>
        <w:t xml:space="preserve">Option 1 – make the </w:t>
      </w:r>
      <w:r w:rsidR="00095532" w:rsidRPr="002C5292">
        <w:rPr>
          <w:sz w:val="22"/>
          <w:szCs w:val="22"/>
        </w:rPr>
        <w:t>P</w:t>
      </w:r>
      <w:r w:rsidRPr="002C5292">
        <w:rPr>
          <w:sz w:val="22"/>
          <w:szCs w:val="22"/>
        </w:rPr>
        <w:t>roposed Regulations</w:t>
      </w:r>
      <w:bookmarkEnd w:id="18"/>
    </w:p>
    <w:p w14:paraId="15BF9644" w14:textId="3A3CABDD" w:rsidR="00AC4496" w:rsidRPr="002C5292" w:rsidRDefault="00AC4496" w:rsidP="009C54EC">
      <w:pPr>
        <w:pStyle w:val="DPCbody"/>
      </w:pPr>
      <w:r w:rsidRPr="002C5292">
        <w:t xml:space="preserve">Option 1 proposes to </w:t>
      </w:r>
      <w:r w:rsidR="001D2794" w:rsidRPr="002C5292">
        <w:t>prescribe</w:t>
      </w:r>
      <w:r w:rsidR="00555555" w:rsidRPr="002C5292">
        <w:t xml:space="preserve"> </w:t>
      </w:r>
      <w:r w:rsidR="003B2B57" w:rsidRPr="002C5292">
        <w:t>f</w:t>
      </w:r>
      <w:r w:rsidR="000B6F2F" w:rsidRPr="002C5292">
        <w:t xml:space="preserve">ive hundred and </w:t>
      </w:r>
      <w:r w:rsidR="003B2B57" w:rsidRPr="002C5292">
        <w:t xml:space="preserve">ninety three </w:t>
      </w:r>
      <w:r w:rsidR="000B6F2F" w:rsidRPr="002C5292">
        <w:t>(</w:t>
      </w:r>
      <w:r w:rsidR="003B2B57" w:rsidRPr="002C5292">
        <w:t>593</w:t>
      </w:r>
      <w:r w:rsidR="000B6F2F" w:rsidRPr="002C5292">
        <w:t xml:space="preserve">) </w:t>
      </w:r>
      <w:r w:rsidR="00755326" w:rsidRPr="002C5292">
        <w:t xml:space="preserve">provisions </w:t>
      </w:r>
      <w:r w:rsidR="00917268" w:rsidRPr="002C5292">
        <w:t xml:space="preserve">to make </w:t>
      </w:r>
      <w:r w:rsidRPr="002C5292">
        <w:t>legislative instruments</w:t>
      </w:r>
      <w:r w:rsidR="00917268" w:rsidRPr="002C5292">
        <w:t xml:space="preserve"> as</w:t>
      </w:r>
      <w:r w:rsidRPr="002C5292">
        <w:t xml:space="preserve"> </w:t>
      </w:r>
      <w:r w:rsidR="00DC49BC" w:rsidRPr="002C5292">
        <w:t xml:space="preserve">automatically exempt </w:t>
      </w:r>
      <w:r w:rsidRPr="002C5292">
        <w:t xml:space="preserve">from </w:t>
      </w:r>
      <w:r w:rsidR="004543B2" w:rsidRPr="002C5292">
        <w:t xml:space="preserve">certain </w:t>
      </w:r>
      <w:r w:rsidRPr="002C5292">
        <w:t xml:space="preserve">requirements of the SLA. These instruments would either be eligible for an exemption under </w:t>
      </w:r>
      <w:r w:rsidR="00F666CC" w:rsidRPr="002C5292">
        <w:t>section </w:t>
      </w:r>
      <w:r w:rsidRPr="002C5292">
        <w:t xml:space="preserve">12F of the SLA, or are being proposed </w:t>
      </w:r>
      <w:r w:rsidR="001D2794" w:rsidRPr="002C5292">
        <w:t>to be exempt legislative instruments</w:t>
      </w:r>
      <w:r w:rsidRPr="002C5292">
        <w:t xml:space="preserve"> on overriding public interest grounds. The section 12F criteria include</w:t>
      </w:r>
      <w:r w:rsidR="002F6B83" w:rsidRPr="002C5292">
        <w:t>s</w:t>
      </w:r>
      <w:r w:rsidRPr="002C5292">
        <w:t xml:space="preserve"> where an instrument would not impose a significant burden, is of a fundamentally declaratory or machinery nature, or increases fees in a financial year by an amount less than the Treasurer’s annual rate. The public interest criterion recognises that a large number and diverse range of legislative instruments are now captured by the SLA. In these cases, the Department of Premier and Cabinet</w:t>
      </w:r>
      <w:r w:rsidR="004D310C" w:rsidRPr="002C5292">
        <w:t xml:space="preserve"> (DPC) </w:t>
      </w:r>
      <w:r w:rsidR="00CF36EB" w:rsidRPr="002C5292">
        <w:t>believes</w:t>
      </w:r>
      <w:r w:rsidRPr="002C5292">
        <w:t xml:space="preserve"> that the benefits of exempting </w:t>
      </w:r>
      <w:r w:rsidR="00900849" w:rsidRPr="002C5292">
        <w:t xml:space="preserve">the provisions </w:t>
      </w:r>
      <w:r w:rsidR="004C3014" w:rsidRPr="002C5292">
        <w:t>to make</w:t>
      </w:r>
      <w:r w:rsidR="00900849" w:rsidRPr="002C5292">
        <w:t xml:space="preserve"> </w:t>
      </w:r>
      <w:r w:rsidRPr="002C5292">
        <w:t>instruments outweigh the benefits of additional scrutiny before an instrument is made.</w:t>
      </w:r>
    </w:p>
    <w:p w14:paraId="71F4738F" w14:textId="229CBA1E" w:rsidR="00AC4496" w:rsidRPr="002C5292" w:rsidRDefault="00AC4496" w:rsidP="009C54EC">
      <w:pPr>
        <w:pStyle w:val="DPCbody"/>
      </w:pPr>
      <w:r w:rsidRPr="002C5292">
        <w:t xml:space="preserve">Option 1 will provide clarity and certainty to those responsible for making legislative instruments as to which instruments the requirements of the SLA apply to. There will be some opportunity cost savings, as the </w:t>
      </w:r>
      <w:r w:rsidR="0016514C" w:rsidRPr="002C5292">
        <w:t xml:space="preserve">resources </w:t>
      </w:r>
      <w:r w:rsidRPr="002C5292">
        <w:t xml:space="preserve">otherwise </w:t>
      </w:r>
      <w:r w:rsidR="0016514C" w:rsidRPr="002C5292">
        <w:t xml:space="preserve">used </w:t>
      </w:r>
      <w:r w:rsidRPr="002C5292">
        <w:t xml:space="preserve">in preparing exemptions </w:t>
      </w:r>
      <w:r w:rsidR="002F6B83" w:rsidRPr="002C5292">
        <w:t xml:space="preserve">certificates </w:t>
      </w:r>
      <w:r w:rsidRPr="002C5292">
        <w:t xml:space="preserve">or undergoing a RIS and associated consultation process </w:t>
      </w:r>
      <w:r w:rsidR="0016514C" w:rsidRPr="002C5292">
        <w:t>could be used more productively</w:t>
      </w:r>
      <w:r w:rsidRPr="002C5292">
        <w:t xml:space="preserve">. </w:t>
      </w:r>
    </w:p>
    <w:p w14:paraId="4A023261" w14:textId="265C18D6" w:rsidR="00AC4496" w:rsidRPr="002C5292" w:rsidRDefault="00AC4496" w:rsidP="009C54EC">
      <w:pPr>
        <w:pStyle w:val="DPCbody"/>
      </w:pPr>
      <w:r w:rsidRPr="002C5292">
        <w:t xml:space="preserve">There is a key difference between the Base Case and Option 1. If exemptions are sought on a case-by-case basis, a legislative instrument must still undergo a human rights assessment, </w:t>
      </w:r>
      <w:r w:rsidR="004D618E" w:rsidRPr="002C5292">
        <w:t xml:space="preserve">section 12C consultation </w:t>
      </w:r>
      <w:r w:rsidRPr="002C5292">
        <w:t xml:space="preserve">and be published in the Victoria Government Gazette, tabled in Parliament and reviewed by SARC. This part of the process will be largely foregone for legislative instruments that are </w:t>
      </w:r>
      <w:r w:rsidR="002F6B83" w:rsidRPr="002C5292">
        <w:t xml:space="preserve">prescribed to be </w:t>
      </w:r>
      <w:r w:rsidR="007109D2" w:rsidRPr="002C5292">
        <w:t>exempt</w:t>
      </w:r>
      <w:r w:rsidR="002F6B83" w:rsidRPr="002C5292">
        <w:t xml:space="preserve"> legislative instruments</w:t>
      </w:r>
      <w:r w:rsidR="007109D2" w:rsidRPr="002C5292">
        <w:t xml:space="preserve"> in the </w:t>
      </w:r>
      <w:r w:rsidR="00095532" w:rsidRPr="002C5292">
        <w:t>P</w:t>
      </w:r>
      <w:r w:rsidR="007109D2" w:rsidRPr="002C5292">
        <w:t>roposed R</w:t>
      </w:r>
      <w:r w:rsidRPr="002C5292">
        <w:t>egulation</w:t>
      </w:r>
      <w:r w:rsidR="007109D2" w:rsidRPr="002C5292">
        <w:t>s</w:t>
      </w:r>
      <w:r w:rsidRPr="002C5292">
        <w:t xml:space="preserve">. The only remaining requirement </w:t>
      </w:r>
      <w:r w:rsidR="007109D2" w:rsidRPr="002C5292">
        <w:t xml:space="preserve">for those legislative instruments </w:t>
      </w:r>
      <w:r w:rsidRPr="002C5292">
        <w:t xml:space="preserve">is that </w:t>
      </w:r>
      <w:r w:rsidR="007109D2" w:rsidRPr="002C5292">
        <w:t xml:space="preserve">they </w:t>
      </w:r>
      <w:r w:rsidRPr="002C5292">
        <w:t>are published in the Victoria Government Gazette before coming into force</w:t>
      </w:r>
      <w:r w:rsidR="007109D2" w:rsidRPr="002C5292">
        <w:t>. In some instances</w:t>
      </w:r>
      <w:r w:rsidR="0069244A" w:rsidRPr="002C5292">
        <w:t>,</w:t>
      </w:r>
      <w:r w:rsidR="007109D2" w:rsidRPr="002C5292">
        <w:t xml:space="preserve"> </w:t>
      </w:r>
      <w:r w:rsidR="0061449D" w:rsidRPr="002C5292">
        <w:t xml:space="preserve">the </w:t>
      </w:r>
      <w:r w:rsidR="00234150" w:rsidRPr="002C5292">
        <w:t>Act under which the legislative instrument is made provides a contrary intention</w:t>
      </w:r>
      <w:r w:rsidR="007109D2" w:rsidRPr="002C5292">
        <w:t xml:space="preserve"> for this publication requirement</w:t>
      </w:r>
      <w:r w:rsidR="00234150" w:rsidRPr="002C5292">
        <w:t xml:space="preserve">. For example, </w:t>
      </w:r>
      <w:r w:rsidR="007109D2" w:rsidRPr="002C5292">
        <w:t xml:space="preserve">an Order made under section 74E(1) or 74H(1) of the </w:t>
      </w:r>
      <w:r w:rsidR="007109D2" w:rsidRPr="002C5292">
        <w:rPr>
          <w:i/>
          <w:iCs/>
        </w:rPr>
        <w:t>Emergency Management Act 2013</w:t>
      </w:r>
      <w:r w:rsidR="00DE16EC" w:rsidRPr="002C5292">
        <w:rPr>
          <w:i/>
          <w:iCs/>
        </w:rPr>
        <w:t xml:space="preserve"> </w:t>
      </w:r>
      <w:r w:rsidR="00EE045F" w:rsidRPr="002C5292">
        <w:t>which</w:t>
      </w:r>
      <w:r w:rsidR="00EE045F" w:rsidRPr="002C5292">
        <w:rPr>
          <w:i/>
          <w:iCs/>
        </w:rPr>
        <w:t xml:space="preserve"> </w:t>
      </w:r>
      <w:r w:rsidR="00EE045F" w:rsidRPr="002C5292">
        <w:t>designates critical</w:t>
      </w:r>
      <w:r w:rsidR="00DE16EC" w:rsidRPr="002C5292">
        <w:t xml:space="preserve"> infras</w:t>
      </w:r>
      <w:r w:rsidR="00EE045F" w:rsidRPr="002C5292">
        <w:t>tructure and responsible entity, is</w:t>
      </w:r>
      <w:r w:rsidR="00DE16EC" w:rsidRPr="002C5292">
        <w:t xml:space="preserve"> information included on the Victorian Critical Infrastructure Register. Section 74K limits access to </w:t>
      </w:r>
      <w:r w:rsidR="00EE045F" w:rsidRPr="002C5292">
        <w:t xml:space="preserve">the </w:t>
      </w:r>
      <w:r w:rsidR="00DE16EC" w:rsidRPr="002C5292">
        <w:t>information on the Victorian Critical Infrastructure Register by certain persons or bodies</w:t>
      </w:r>
      <w:r w:rsidR="007109D2" w:rsidRPr="002C5292">
        <w:t>. Given this</w:t>
      </w:r>
      <w:r w:rsidR="00DE16EC" w:rsidRPr="002C5292">
        <w:t xml:space="preserve"> legislative intention</w:t>
      </w:r>
      <w:r w:rsidR="00B564F8" w:rsidRPr="002C5292">
        <w:t>,</w:t>
      </w:r>
      <w:r w:rsidR="007109D2" w:rsidRPr="002C5292">
        <w:t xml:space="preserve"> these instruments </w:t>
      </w:r>
      <w:r w:rsidR="004543B2" w:rsidRPr="002C5292">
        <w:t xml:space="preserve">do not need to comply with </w:t>
      </w:r>
      <w:r w:rsidR="00DE16EC" w:rsidRPr="002C5292">
        <w:t xml:space="preserve">the SLA gazettal requirement and </w:t>
      </w:r>
      <w:r w:rsidR="007109D2" w:rsidRPr="002C5292">
        <w:t>the whole of Part 2A of the SLA.</w:t>
      </w:r>
    </w:p>
    <w:p w14:paraId="51538FC6" w14:textId="3422912A" w:rsidR="00AC4496" w:rsidRPr="002C5292" w:rsidRDefault="00AC4496" w:rsidP="009C54EC">
      <w:pPr>
        <w:pStyle w:val="DPCbody"/>
      </w:pPr>
      <w:r w:rsidRPr="002C5292">
        <w:t xml:space="preserve">There is a risk that exempting a set of legislative instruments from the SLA requirements could lead to instruments being made that cause a significant economic or social burden on a sector of the public, or contravene the </w:t>
      </w:r>
      <w:r w:rsidRPr="002C5292">
        <w:rPr>
          <w:i/>
        </w:rPr>
        <w:t>Charter of Human Rights and Responsibilities Act 2006</w:t>
      </w:r>
      <w:r w:rsidRPr="002C5292">
        <w:t xml:space="preserve"> (the Charter), without adequate analysis and consultation and without the additional scrutiny otherwise afforded by parliamentary processes and SARC review. However, each of the instruments proposed for exemption has been carefully assessed to ensure that, on balance, there is a benefit in excluding the instruments from the additional scrutiny the SLA provides.</w:t>
      </w:r>
      <w:r w:rsidR="007109D2" w:rsidRPr="002C5292">
        <w:t xml:space="preserve"> The table at Attachment </w:t>
      </w:r>
      <w:r w:rsidR="00B564F8" w:rsidRPr="002C5292">
        <w:t>C</w:t>
      </w:r>
      <w:r w:rsidR="007109D2" w:rsidRPr="002C5292">
        <w:t xml:space="preserve"> sets out </w:t>
      </w:r>
      <w:r w:rsidR="006A4722" w:rsidRPr="002C5292">
        <w:t xml:space="preserve">DPC’s </w:t>
      </w:r>
      <w:r w:rsidR="007109D2" w:rsidRPr="002C5292">
        <w:t>assessment.</w:t>
      </w:r>
    </w:p>
    <w:p w14:paraId="5DAD0151" w14:textId="6C111A36" w:rsidR="00243A54" w:rsidRPr="002C5292" w:rsidRDefault="00243A54" w:rsidP="00C934BF">
      <w:pPr>
        <w:pStyle w:val="Heading3"/>
        <w:rPr>
          <w:sz w:val="22"/>
          <w:szCs w:val="22"/>
        </w:rPr>
      </w:pPr>
      <w:bookmarkStart w:id="19" w:name="_Toc70082344"/>
      <w:r w:rsidRPr="002C5292">
        <w:rPr>
          <w:sz w:val="22"/>
          <w:szCs w:val="22"/>
        </w:rPr>
        <w:t xml:space="preserve">Option 2 – make the </w:t>
      </w:r>
      <w:r w:rsidR="00095532" w:rsidRPr="002C5292">
        <w:rPr>
          <w:sz w:val="22"/>
          <w:szCs w:val="22"/>
        </w:rPr>
        <w:t>P</w:t>
      </w:r>
      <w:r w:rsidRPr="002C5292">
        <w:rPr>
          <w:sz w:val="22"/>
          <w:szCs w:val="22"/>
        </w:rPr>
        <w:t xml:space="preserve">roposed Regulations but exclude categories of </w:t>
      </w:r>
      <w:r w:rsidR="004543B2" w:rsidRPr="002C5292">
        <w:rPr>
          <w:sz w:val="22"/>
          <w:szCs w:val="22"/>
        </w:rPr>
        <w:t xml:space="preserve">legislative </w:t>
      </w:r>
      <w:r w:rsidRPr="002C5292">
        <w:rPr>
          <w:sz w:val="22"/>
          <w:szCs w:val="22"/>
        </w:rPr>
        <w:t>instruments</w:t>
      </w:r>
      <w:bookmarkEnd w:id="19"/>
    </w:p>
    <w:p w14:paraId="0DBF8549" w14:textId="7532A556" w:rsidR="00AC4496" w:rsidRPr="002C5292" w:rsidRDefault="00AC4496" w:rsidP="000C4A15">
      <w:pPr>
        <w:pStyle w:val="DPCbodytext"/>
      </w:pPr>
      <w:r w:rsidRPr="002C5292">
        <w:t xml:space="preserve">Option 2 proposes a similar </w:t>
      </w:r>
      <w:r w:rsidR="009F6485" w:rsidRPr="002C5292">
        <w:t xml:space="preserve">but narrower </w:t>
      </w:r>
      <w:r w:rsidRPr="002C5292">
        <w:t xml:space="preserve">set of </w:t>
      </w:r>
      <w:r w:rsidR="00095532" w:rsidRPr="002C5292">
        <w:t>P</w:t>
      </w:r>
      <w:r w:rsidRPr="002C5292">
        <w:t xml:space="preserve">roposed Regulations to Option 1. </w:t>
      </w:r>
      <w:r w:rsidR="009F6485" w:rsidRPr="002C5292">
        <w:t>T</w:t>
      </w:r>
      <w:r w:rsidRPr="002C5292">
        <w:t xml:space="preserve">he following categories of </w:t>
      </w:r>
      <w:r w:rsidR="004543B2" w:rsidRPr="002C5292">
        <w:t xml:space="preserve">legislative </w:t>
      </w:r>
      <w:r w:rsidRPr="002C5292">
        <w:t xml:space="preserve">instruments will </w:t>
      </w:r>
      <w:r w:rsidR="009F6485" w:rsidRPr="002C5292">
        <w:t xml:space="preserve">be exempt under Option 1 but </w:t>
      </w:r>
      <w:r w:rsidRPr="002C5292">
        <w:t>not exempt</w:t>
      </w:r>
      <w:r w:rsidR="004543B2" w:rsidRPr="002C5292">
        <w:t xml:space="preserve"> </w:t>
      </w:r>
      <w:r w:rsidR="009F6485" w:rsidRPr="002C5292">
        <w:t>under Option 2</w:t>
      </w:r>
      <w:r w:rsidRPr="002C5292">
        <w:t>:</w:t>
      </w:r>
    </w:p>
    <w:p w14:paraId="0768F9A5" w14:textId="36E04902" w:rsidR="00AC4496" w:rsidRPr="002C5292" w:rsidRDefault="004543B2" w:rsidP="000C4A15">
      <w:pPr>
        <w:pStyle w:val="DPCbodytext"/>
        <w:numPr>
          <w:ilvl w:val="0"/>
          <w:numId w:val="61"/>
        </w:numPr>
      </w:pPr>
      <w:r w:rsidRPr="002C5292">
        <w:t xml:space="preserve">legislative </w:t>
      </w:r>
      <w:r w:rsidR="00AC4496" w:rsidRPr="002C5292">
        <w:t>instruments that face a RIS-equivalent process; and</w:t>
      </w:r>
    </w:p>
    <w:p w14:paraId="613DE44A" w14:textId="2A014E7C" w:rsidR="00AC4496" w:rsidRPr="002C5292" w:rsidRDefault="004543B2" w:rsidP="000C4A15">
      <w:pPr>
        <w:pStyle w:val="DPCbodytext"/>
        <w:numPr>
          <w:ilvl w:val="0"/>
          <w:numId w:val="61"/>
        </w:numPr>
      </w:pPr>
      <w:r w:rsidRPr="002C5292">
        <w:t xml:space="preserve">legislative </w:t>
      </w:r>
      <w:r w:rsidR="00AC4496" w:rsidRPr="002C5292">
        <w:t>instruments that are part of a national uniform legislation scheme where an assessment of costs and benefits has been undertaken.</w:t>
      </w:r>
    </w:p>
    <w:p w14:paraId="4B73C522" w14:textId="36530C3E" w:rsidR="00900849" w:rsidRPr="002C5292" w:rsidRDefault="00AC4496" w:rsidP="000C4A15">
      <w:pPr>
        <w:pStyle w:val="DPCbodytext"/>
      </w:pPr>
      <w:r w:rsidRPr="002C5292">
        <w:t xml:space="preserve">These </w:t>
      </w:r>
      <w:r w:rsidR="004543B2" w:rsidRPr="002C5292">
        <w:t xml:space="preserve">legislative </w:t>
      </w:r>
      <w:r w:rsidRPr="002C5292">
        <w:t>instruments are provided closer scrutiny in this RIS, in recognition that they would often impose a significant economic or social burden on a sector of the public. However, such instruments face alternative scrutiny elsewhere, and would likely otherwise be granted an exemption on a case-by-case basis under section 12F of the SLA. Requiring that departments go through the exemption process for these particular instruments will impose a cost on them</w:t>
      </w:r>
      <w:r w:rsidR="009F6485" w:rsidRPr="002C5292">
        <w:t xml:space="preserve"> for no or limited benefits</w:t>
      </w:r>
      <w:r w:rsidRPr="002C5292">
        <w:t>. As such, this option is not preferred.</w:t>
      </w:r>
      <w:r w:rsidR="00900849" w:rsidRPr="002C5292">
        <w:t xml:space="preserve"> Option 1 is therefore the least costly to implement overall.</w:t>
      </w:r>
    </w:p>
    <w:p w14:paraId="2949A927" w14:textId="1159DD0F" w:rsidR="00AC4496" w:rsidRPr="002C5292" w:rsidRDefault="00AC4496" w:rsidP="00BC7F34">
      <w:pPr>
        <w:pStyle w:val="Heading2"/>
      </w:pPr>
      <w:bookmarkStart w:id="20" w:name="_Toc70082345"/>
      <w:r w:rsidRPr="002C5292">
        <w:t>Multi-Criteria Analysis</w:t>
      </w:r>
      <w:bookmarkEnd w:id="20"/>
    </w:p>
    <w:p w14:paraId="09EB14C3" w14:textId="719CD36F" w:rsidR="00AC4496" w:rsidRPr="002C5292" w:rsidRDefault="00AC4496" w:rsidP="000C4A15">
      <w:pPr>
        <w:pStyle w:val="DPCbodytext"/>
      </w:pPr>
      <w:r w:rsidRPr="002C5292">
        <w:t xml:space="preserve">Due to the nature of the problem, it is difficult to fully </w:t>
      </w:r>
      <w:r w:rsidR="0016514C" w:rsidRPr="002C5292">
        <w:t xml:space="preserve">quantify </w:t>
      </w:r>
      <w:r w:rsidRPr="002C5292">
        <w:t>the costs and benefits of each option, and assign a dollar value to each. Where costs are available, these have been provided; and a multi-criteria analysis has been used to provide an overall assessment of the options.</w:t>
      </w:r>
    </w:p>
    <w:p w14:paraId="1A883D48" w14:textId="77777777" w:rsidR="00AC4496" w:rsidRPr="002C5292" w:rsidRDefault="00AC4496" w:rsidP="000C4A15">
      <w:pPr>
        <w:pStyle w:val="DPCbodytext"/>
      </w:pPr>
      <w:r w:rsidRPr="002C5292">
        <w:t>Scores were assigned on three criteria:</w:t>
      </w:r>
    </w:p>
    <w:p w14:paraId="77A3AEB9" w14:textId="2C9273F7" w:rsidR="00AC4496" w:rsidRPr="002C5292" w:rsidRDefault="003D5A79" w:rsidP="001D2767">
      <w:pPr>
        <w:widowControl w:val="0"/>
        <w:numPr>
          <w:ilvl w:val="0"/>
          <w:numId w:val="95"/>
        </w:numPr>
        <w:suppressAutoHyphens/>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E</w:t>
      </w:r>
      <w:r w:rsidR="00AC4496" w:rsidRPr="002C5292">
        <w:rPr>
          <w:rFonts w:ascii="Arial" w:eastAsia="Arial" w:hAnsi="Arial"/>
          <w:sz w:val="22"/>
          <w:szCs w:val="22"/>
          <w:lang w:eastAsia="en-AU"/>
        </w:rPr>
        <w:t>fficiency and effective use of government resources.</w:t>
      </w:r>
    </w:p>
    <w:p w14:paraId="5D72D88E" w14:textId="77777777" w:rsidR="00AC4496" w:rsidRPr="002C5292" w:rsidRDefault="00AC4496" w:rsidP="001D2767">
      <w:pPr>
        <w:widowControl w:val="0"/>
        <w:numPr>
          <w:ilvl w:val="0"/>
          <w:numId w:val="95"/>
        </w:numPr>
        <w:suppressAutoHyphens/>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 xml:space="preserve">Minimise unnecessary delays in making or amending legislative instruments. </w:t>
      </w:r>
    </w:p>
    <w:p w14:paraId="19EAA86A" w14:textId="77777777" w:rsidR="00AC4496" w:rsidRPr="002C5292" w:rsidRDefault="00AC4496" w:rsidP="001D2767">
      <w:pPr>
        <w:widowControl w:val="0"/>
        <w:numPr>
          <w:ilvl w:val="0"/>
          <w:numId w:val="95"/>
        </w:numPr>
        <w:suppressAutoHyphens/>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 xml:space="preserve">Ensure an appropriate level of parliamentary and public scrutiny when making legislative instruments. </w:t>
      </w:r>
    </w:p>
    <w:p w14:paraId="07F41E16" w14:textId="77777777" w:rsidR="00436BDF" w:rsidRPr="002C5292" w:rsidRDefault="00AC4496" w:rsidP="000C4A15">
      <w:pPr>
        <w:pStyle w:val="DPCbodytext"/>
      </w:pPr>
      <w:r w:rsidRPr="002C5292">
        <w:t xml:space="preserve">The third criterion is scored negatively, </w:t>
      </w:r>
      <w:r w:rsidR="00CF36EB" w:rsidRPr="002C5292">
        <w:t xml:space="preserve">as placing provisions </w:t>
      </w:r>
      <w:r w:rsidR="00D47BF6" w:rsidRPr="002C5292">
        <w:t>in</w:t>
      </w:r>
      <w:r w:rsidR="00CF36EB" w:rsidRPr="002C5292">
        <w:t xml:space="preserve"> Schedule 3 reduces the </w:t>
      </w:r>
      <w:r w:rsidR="000F5ECC" w:rsidRPr="002C5292">
        <w:t>scrutiny of instruments made under those provisions</w:t>
      </w:r>
      <w:r w:rsidRPr="002C5292">
        <w:t>.</w:t>
      </w:r>
      <w:r w:rsidR="00683F80" w:rsidRPr="002C5292">
        <w:t xml:space="preserve"> This analysis is discussed in greater detail in Chapter </w:t>
      </w:r>
      <w:r w:rsidR="00C72EB3" w:rsidRPr="002C5292">
        <w:t>4</w:t>
      </w:r>
      <w:r w:rsidR="00683F80" w:rsidRPr="002C5292">
        <w:t>.</w:t>
      </w:r>
      <w:r w:rsidR="00436BDF" w:rsidRPr="002C5292">
        <w:t xml:space="preserve"> </w:t>
      </w:r>
    </w:p>
    <w:p w14:paraId="57355421" w14:textId="77777777" w:rsidR="00436BDF" w:rsidRPr="002C5292" w:rsidRDefault="00436BDF" w:rsidP="000C4A15">
      <w:pPr>
        <w:pStyle w:val="DPCbodytext"/>
      </w:pPr>
    </w:p>
    <w:p w14:paraId="246CB896" w14:textId="40820637" w:rsidR="00683F80" w:rsidRPr="002C5292" w:rsidRDefault="00AC4496" w:rsidP="000C4A15">
      <w:pPr>
        <w:pStyle w:val="DPCbodytext"/>
      </w:pPr>
      <w:r w:rsidRPr="002C5292">
        <w:t>As can be seen in the table below, Option 1 is the preferred option. It receives the highest score</w:t>
      </w:r>
      <w:r w:rsidR="00683F80" w:rsidRPr="002C5292">
        <w:t>.</w:t>
      </w:r>
    </w:p>
    <w:p w14:paraId="44150B48" w14:textId="77777777" w:rsidR="00AC4496" w:rsidRPr="002C5292" w:rsidRDefault="00AC4496" w:rsidP="0067245A">
      <w:pPr>
        <w:pStyle w:val="Heading2"/>
        <w:spacing w:before="0"/>
      </w:pPr>
      <w:r w:rsidRPr="002C5292">
        <w:br w:type="page"/>
      </w:r>
      <w:bookmarkStart w:id="21" w:name="_Toc70082346"/>
      <w:r w:rsidRPr="002C5292">
        <w:t>Table ES1: Multi-criteria analysis</w:t>
      </w:r>
      <w:bookmarkEnd w:id="21"/>
    </w:p>
    <w:p w14:paraId="765EAD7B" w14:textId="780E38FF" w:rsidR="00AC4496" w:rsidRPr="002C5292" w:rsidRDefault="00AC4496" w:rsidP="0067245A">
      <w:pPr>
        <w:pStyle w:val="BodyText"/>
        <w:spacing w:before="120"/>
        <w:rPr>
          <w:rFonts w:asciiTheme="minorHAnsi" w:hAnsiTheme="minorHAnsi" w:cstheme="minorHAnsi"/>
          <w:sz w:val="20"/>
          <w:szCs w:val="20"/>
        </w:rPr>
      </w:pPr>
      <w:r w:rsidRPr="002C5292">
        <w:rPr>
          <w:rFonts w:asciiTheme="minorHAnsi" w:hAnsiTheme="minorHAnsi" w:cstheme="minorHAnsi"/>
          <w:sz w:val="20"/>
          <w:szCs w:val="20"/>
        </w:rPr>
        <w:t>(Scored between -</w:t>
      </w:r>
      <w:r w:rsidR="00B52B31" w:rsidRPr="002C5292">
        <w:rPr>
          <w:rFonts w:asciiTheme="minorHAnsi" w:hAnsiTheme="minorHAnsi" w:cstheme="minorHAnsi"/>
          <w:sz w:val="20"/>
          <w:szCs w:val="20"/>
        </w:rPr>
        <w:t>10</w:t>
      </w:r>
      <w:r w:rsidRPr="002C5292">
        <w:rPr>
          <w:rFonts w:asciiTheme="minorHAnsi" w:hAnsiTheme="minorHAnsi" w:cstheme="minorHAnsi"/>
          <w:sz w:val="20"/>
          <w:szCs w:val="20"/>
        </w:rPr>
        <w:t xml:space="preserve"> and +</w:t>
      </w:r>
      <w:r w:rsidR="00B52B31" w:rsidRPr="002C5292">
        <w:rPr>
          <w:rFonts w:asciiTheme="minorHAnsi" w:hAnsiTheme="minorHAnsi" w:cstheme="minorHAnsi"/>
          <w:sz w:val="20"/>
          <w:szCs w:val="20"/>
        </w:rPr>
        <w:t>10</w:t>
      </w:r>
      <w:r w:rsidRPr="002C5292">
        <w:rPr>
          <w:rFonts w:asciiTheme="minorHAnsi" w:hAnsiTheme="minorHAnsi" w:cstheme="minorHAnsi"/>
          <w:sz w:val="20"/>
          <w:szCs w:val="20"/>
        </w:rPr>
        <w:t>)</w:t>
      </w:r>
    </w:p>
    <w:tbl>
      <w:tblPr>
        <w:tblStyle w:val="TableGrid"/>
        <w:tblW w:w="9000" w:type="dxa"/>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800"/>
        <w:gridCol w:w="1440"/>
        <w:gridCol w:w="1440"/>
        <w:gridCol w:w="1080"/>
        <w:gridCol w:w="1080"/>
        <w:gridCol w:w="1080"/>
        <w:gridCol w:w="1080"/>
      </w:tblGrid>
      <w:tr w:rsidR="00225670" w:rsidRPr="002C5292" w14:paraId="115612DF" w14:textId="77777777" w:rsidTr="004543B2">
        <w:tc>
          <w:tcPr>
            <w:tcW w:w="1800" w:type="dxa"/>
            <w:tcBorders>
              <w:top w:val="single" w:sz="4" w:space="0" w:color="auto"/>
            </w:tcBorders>
          </w:tcPr>
          <w:p w14:paraId="317CEB23" w14:textId="77777777" w:rsidR="00225670" w:rsidRPr="002C5292" w:rsidRDefault="00225670" w:rsidP="004543B2">
            <w:pPr>
              <w:spacing w:before="40" w:after="40"/>
              <w:rPr>
                <w:rFonts w:asciiTheme="minorHAnsi" w:hAnsiTheme="minorHAnsi" w:cstheme="minorHAnsi"/>
              </w:rPr>
            </w:pPr>
            <w:r w:rsidRPr="002C5292">
              <w:rPr>
                <w:rFonts w:asciiTheme="minorHAnsi" w:hAnsiTheme="minorHAnsi" w:cstheme="minorHAnsi"/>
              </w:rPr>
              <w:t>Criteria</w:t>
            </w:r>
          </w:p>
        </w:tc>
        <w:tc>
          <w:tcPr>
            <w:tcW w:w="1440" w:type="dxa"/>
            <w:tcBorders>
              <w:top w:val="single" w:sz="4" w:space="0" w:color="auto"/>
            </w:tcBorders>
          </w:tcPr>
          <w:p w14:paraId="2055668C" w14:textId="77777777" w:rsidR="00225670" w:rsidRPr="002C5292" w:rsidRDefault="00225670" w:rsidP="004543B2">
            <w:pPr>
              <w:spacing w:before="40" w:after="40"/>
              <w:jc w:val="center"/>
              <w:rPr>
                <w:rFonts w:asciiTheme="minorHAnsi" w:hAnsiTheme="minorHAnsi" w:cstheme="minorHAnsi"/>
              </w:rPr>
            </w:pPr>
            <w:r w:rsidRPr="002C5292">
              <w:rPr>
                <w:rFonts w:asciiTheme="minorHAnsi" w:hAnsiTheme="minorHAnsi" w:cstheme="minorHAnsi"/>
              </w:rPr>
              <w:t>Weighting</w:t>
            </w:r>
          </w:p>
        </w:tc>
        <w:tc>
          <w:tcPr>
            <w:tcW w:w="1440" w:type="dxa"/>
            <w:tcBorders>
              <w:top w:val="single" w:sz="4" w:space="0" w:color="auto"/>
            </w:tcBorders>
          </w:tcPr>
          <w:p w14:paraId="074BD19E" w14:textId="77777777" w:rsidR="00225670" w:rsidRPr="002C5292" w:rsidRDefault="00225670" w:rsidP="004543B2">
            <w:pPr>
              <w:spacing w:before="40" w:after="40"/>
              <w:jc w:val="center"/>
              <w:rPr>
                <w:rFonts w:asciiTheme="minorHAnsi" w:hAnsiTheme="minorHAnsi" w:cstheme="minorHAnsi"/>
              </w:rPr>
            </w:pPr>
            <w:r w:rsidRPr="002C5292">
              <w:rPr>
                <w:rFonts w:asciiTheme="minorHAnsi" w:hAnsiTheme="minorHAnsi" w:cstheme="minorHAnsi"/>
              </w:rPr>
              <w:t>Base Case</w:t>
            </w:r>
          </w:p>
        </w:tc>
        <w:tc>
          <w:tcPr>
            <w:tcW w:w="2160" w:type="dxa"/>
            <w:gridSpan w:val="2"/>
            <w:tcBorders>
              <w:top w:val="single" w:sz="4" w:space="0" w:color="auto"/>
            </w:tcBorders>
          </w:tcPr>
          <w:p w14:paraId="02B55C31" w14:textId="77777777" w:rsidR="00225670" w:rsidRPr="002C5292" w:rsidRDefault="00225670" w:rsidP="004543B2">
            <w:pPr>
              <w:spacing w:before="40" w:after="40"/>
              <w:jc w:val="center"/>
              <w:rPr>
                <w:rFonts w:asciiTheme="minorHAnsi" w:hAnsiTheme="minorHAnsi" w:cstheme="minorHAnsi"/>
              </w:rPr>
            </w:pPr>
            <w:r w:rsidRPr="002C5292">
              <w:rPr>
                <w:rFonts w:asciiTheme="minorHAnsi" w:hAnsiTheme="minorHAnsi" w:cstheme="minorHAnsi"/>
              </w:rPr>
              <w:t>Option 1</w:t>
            </w:r>
          </w:p>
        </w:tc>
        <w:tc>
          <w:tcPr>
            <w:tcW w:w="2160" w:type="dxa"/>
            <w:gridSpan w:val="2"/>
            <w:tcBorders>
              <w:top w:val="single" w:sz="4" w:space="0" w:color="auto"/>
            </w:tcBorders>
          </w:tcPr>
          <w:p w14:paraId="029E635A" w14:textId="77777777" w:rsidR="00225670" w:rsidRPr="002C5292" w:rsidRDefault="00225670" w:rsidP="004543B2">
            <w:pPr>
              <w:spacing w:before="40" w:after="40"/>
              <w:jc w:val="center"/>
              <w:rPr>
                <w:rFonts w:asciiTheme="minorHAnsi" w:hAnsiTheme="minorHAnsi" w:cstheme="minorHAnsi"/>
              </w:rPr>
            </w:pPr>
            <w:r w:rsidRPr="002C5292">
              <w:rPr>
                <w:rFonts w:asciiTheme="minorHAnsi" w:hAnsiTheme="minorHAnsi" w:cstheme="minorHAnsi"/>
              </w:rPr>
              <w:t>Option 2</w:t>
            </w:r>
          </w:p>
        </w:tc>
      </w:tr>
      <w:tr w:rsidR="00225670" w:rsidRPr="002C5292" w14:paraId="4AEE63C1" w14:textId="77777777" w:rsidTr="004543B2">
        <w:tc>
          <w:tcPr>
            <w:tcW w:w="1800" w:type="dxa"/>
            <w:tcBorders>
              <w:bottom w:val="single" w:sz="12" w:space="0" w:color="auto"/>
            </w:tcBorders>
          </w:tcPr>
          <w:p w14:paraId="2E1EAEB4" w14:textId="77777777" w:rsidR="00225670" w:rsidRPr="002C5292" w:rsidRDefault="00225670" w:rsidP="004543B2">
            <w:pPr>
              <w:rPr>
                <w:rFonts w:asciiTheme="minorHAnsi" w:hAnsiTheme="minorHAnsi" w:cstheme="minorHAnsi"/>
              </w:rPr>
            </w:pPr>
          </w:p>
        </w:tc>
        <w:tc>
          <w:tcPr>
            <w:tcW w:w="1440" w:type="dxa"/>
            <w:tcBorders>
              <w:bottom w:val="single" w:sz="12" w:space="0" w:color="auto"/>
            </w:tcBorders>
          </w:tcPr>
          <w:p w14:paraId="6A20FC5C" w14:textId="77777777" w:rsidR="00225670" w:rsidRPr="002C5292" w:rsidDel="000C4760" w:rsidRDefault="00225670" w:rsidP="004543B2">
            <w:pPr>
              <w:jc w:val="center"/>
              <w:rPr>
                <w:rFonts w:asciiTheme="minorHAnsi" w:hAnsiTheme="minorHAnsi" w:cstheme="minorHAnsi"/>
              </w:rPr>
            </w:pPr>
          </w:p>
        </w:tc>
        <w:tc>
          <w:tcPr>
            <w:tcW w:w="1440" w:type="dxa"/>
            <w:tcBorders>
              <w:bottom w:val="single" w:sz="12" w:space="0" w:color="auto"/>
            </w:tcBorders>
          </w:tcPr>
          <w:p w14:paraId="0E7E3C4D" w14:textId="77777777" w:rsidR="00225670" w:rsidRPr="002C5292" w:rsidRDefault="00225670" w:rsidP="004543B2">
            <w:pPr>
              <w:jc w:val="center"/>
              <w:rPr>
                <w:rFonts w:asciiTheme="minorHAnsi" w:hAnsiTheme="minorHAnsi" w:cstheme="minorHAnsi"/>
              </w:rPr>
            </w:pPr>
          </w:p>
        </w:tc>
        <w:tc>
          <w:tcPr>
            <w:tcW w:w="1080" w:type="dxa"/>
            <w:tcBorders>
              <w:bottom w:val="single" w:sz="12" w:space="0" w:color="auto"/>
            </w:tcBorders>
          </w:tcPr>
          <w:p w14:paraId="1BDC1883" w14:textId="77777777" w:rsidR="00225670" w:rsidRPr="002C5292" w:rsidRDefault="00225670" w:rsidP="004543B2">
            <w:pPr>
              <w:jc w:val="center"/>
              <w:rPr>
                <w:rFonts w:asciiTheme="minorHAnsi" w:hAnsiTheme="minorHAnsi" w:cstheme="minorHAnsi"/>
              </w:rPr>
            </w:pPr>
            <w:r w:rsidRPr="002C5292">
              <w:rPr>
                <w:rFonts w:asciiTheme="minorHAnsi" w:hAnsiTheme="minorHAnsi" w:cstheme="minorHAnsi"/>
              </w:rPr>
              <w:t>Assigned score</w:t>
            </w:r>
          </w:p>
        </w:tc>
        <w:tc>
          <w:tcPr>
            <w:tcW w:w="1080" w:type="dxa"/>
            <w:tcBorders>
              <w:bottom w:val="single" w:sz="12" w:space="0" w:color="auto"/>
            </w:tcBorders>
          </w:tcPr>
          <w:p w14:paraId="65A51874" w14:textId="77777777" w:rsidR="00225670" w:rsidRPr="002C5292" w:rsidRDefault="00225670" w:rsidP="004543B2">
            <w:pPr>
              <w:jc w:val="center"/>
              <w:rPr>
                <w:rFonts w:asciiTheme="minorHAnsi" w:hAnsiTheme="minorHAnsi" w:cstheme="minorHAnsi"/>
              </w:rPr>
            </w:pPr>
            <w:r w:rsidRPr="002C5292">
              <w:rPr>
                <w:rFonts w:asciiTheme="minorHAnsi" w:hAnsiTheme="minorHAnsi" w:cstheme="minorHAnsi"/>
              </w:rPr>
              <w:t>Weighted score</w:t>
            </w:r>
          </w:p>
        </w:tc>
        <w:tc>
          <w:tcPr>
            <w:tcW w:w="1080" w:type="dxa"/>
            <w:tcBorders>
              <w:bottom w:val="single" w:sz="12" w:space="0" w:color="auto"/>
            </w:tcBorders>
          </w:tcPr>
          <w:p w14:paraId="09A80332" w14:textId="77777777" w:rsidR="00225670" w:rsidRPr="002C5292" w:rsidRDefault="00225670" w:rsidP="004543B2">
            <w:pPr>
              <w:jc w:val="center"/>
              <w:rPr>
                <w:rFonts w:asciiTheme="minorHAnsi" w:hAnsiTheme="minorHAnsi" w:cstheme="minorHAnsi"/>
              </w:rPr>
            </w:pPr>
            <w:r w:rsidRPr="002C5292">
              <w:rPr>
                <w:rFonts w:asciiTheme="minorHAnsi" w:hAnsiTheme="minorHAnsi" w:cstheme="minorHAnsi"/>
              </w:rPr>
              <w:t>Assigned score</w:t>
            </w:r>
          </w:p>
        </w:tc>
        <w:tc>
          <w:tcPr>
            <w:tcW w:w="1080" w:type="dxa"/>
            <w:tcBorders>
              <w:bottom w:val="single" w:sz="12" w:space="0" w:color="auto"/>
            </w:tcBorders>
          </w:tcPr>
          <w:p w14:paraId="0D8F3B9B" w14:textId="77777777" w:rsidR="00225670" w:rsidRPr="002C5292" w:rsidRDefault="00225670" w:rsidP="004543B2">
            <w:pPr>
              <w:jc w:val="center"/>
              <w:rPr>
                <w:rFonts w:asciiTheme="minorHAnsi" w:hAnsiTheme="minorHAnsi" w:cstheme="minorHAnsi"/>
              </w:rPr>
            </w:pPr>
            <w:r w:rsidRPr="002C5292">
              <w:rPr>
                <w:rFonts w:asciiTheme="minorHAnsi" w:hAnsiTheme="minorHAnsi" w:cstheme="minorHAnsi"/>
              </w:rPr>
              <w:t>Weighted score</w:t>
            </w:r>
          </w:p>
        </w:tc>
      </w:tr>
      <w:tr w:rsidR="00225670" w:rsidRPr="002C5292" w14:paraId="5C074385" w14:textId="77777777" w:rsidTr="004543B2">
        <w:tc>
          <w:tcPr>
            <w:tcW w:w="9000" w:type="dxa"/>
            <w:gridSpan w:val="7"/>
            <w:tcBorders>
              <w:top w:val="single" w:sz="12" w:space="0" w:color="auto"/>
            </w:tcBorders>
          </w:tcPr>
          <w:p w14:paraId="3675B0AA" w14:textId="77777777" w:rsidR="00225670" w:rsidRPr="002C5292" w:rsidRDefault="00225670" w:rsidP="004543B2">
            <w:pPr>
              <w:rPr>
                <w:rFonts w:asciiTheme="minorHAnsi" w:hAnsiTheme="minorHAnsi" w:cstheme="minorHAnsi"/>
                <w:i/>
                <w:sz w:val="22"/>
                <w:szCs w:val="22"/>
              </w:rPr>
            </w:pPr>
            <w:r w:rsidRPr="002C5292">
              <w:rPr>
                <w:rFonts w:asciiTheme="minorHAnsi" w:hAnsiTheme="minorHAnsi" w:cstheme="minorHAnsi"/>
                <w:i/>
                <w:sz w:val="22"/>
                <w:szCs w:val="22"/>
              </w:rPr>
              <w:t>Benefit criteria</w:t>
            </w:r>
          </w:p>
        </w:tc>
      </w:tr>
      <w:tr w:rsidR="00225670" w:rsidRPr="002C5292" w14:paraId="651A5137" w14:textId="77777777" w:rsidTr="004543B2">
        <w:tc>
          <w:tcPr>
            <w:tcW w:w="1800" w:type="dxa"/>
          </w:tcPr>
          <w:p w14:paraId="1DB63663" w14:textId="77777777" w:rsidR="00225670" w:rsidRPr="002C5292" w:rsidRDefault="00225670" w:rsidP="004543B2">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Effective use of government resources</w:t>
            </w:r>
          </w:p>
        </w:tc>
        <w:tc>
          <w:tcPr>
            <w:tcW w:w="1440" w:type="dxa"/>
            <w:vAlign w:val="center"/>
          </w:tcPr>
          <w:p w14:paraId="72512B1C"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 xml:space="preserve">¼ </w:t>
            </w:r>
          </w:p>
        </w:tc>
        <w:tc>
          <w:tcPr>
            <w:tcW w:w="1440" w:type="dxa"/>
            <w:vAlign w:val="center"/>
          </w:tcPr>
          <w:p w14:paraId="2EEFC563"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vAlign w:val="center"/>
          </w:tcPr>
          <w:p w14:paraId="3F743650"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+10</w:t>
            </w:r>
          </w:p>
        </w:tc>
        <w:tc>
          <w:tcPr>
            <w:tcW w:w="1080" w:type="dxa"/>
            <w:vAlign w:val="center"/>
          </w:tcPr>
          <w:p w14:paraId="6854829C"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 xml:space="preserve">+2½  </w:t>
            </w:r>
          </w:p>
        </w:tc>
        <w:tc>
          <w:tcPr>
            <w:tcW w:w="1080" w:type="dxa"/>
            <w:vAlign w:val="center"/>
          </w:tcPr>
          <w:p w14:paraId="0D239BED" w14:textId="5C3CD724"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w:t>
            </w:r>
            <w:r w:rsidR="00E87980" w:rsidRPr="002C5292">
              <w:rPr>
                <w:rFonts w:asciiTheme="minorHAnsi" w:hAnsiTheme="minorHAnsi" w:cstheme="minorHAnsi"/>
                <w:sz w:val="22"/>
                <w:szCs w:val="22"/>
              </w:rPr>
              <w:t>9</w:t>
            </w:r>
          </w:p>
        </w:tc>
        <w:tc>
          <w:tcPr>
            <w:tcW w:w="1080" w:type="dxa"/>
            <w:vAlign w:val="center"/>
          </w:tcPr>
          <w:p w14:paraId="2A21933D" w14:textId="31A38CE4"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+2</w:t>
            </w:r>
            <w:r w:rsidR="00DA75A2" w:rsidRPr="002C5292">
              <w:rPr>
                <w:rFonts w:asciiTheme="minorHAnsi" w:hAnsiTheme="minorHAnsi" w:cstheme="minorHAnsi"/>
                <w:sz w:val="22"/>
                <w:szCs w:val="22"/>
              </w:rPr>
              <w:t>¼</w:t>
            </w:r>
          </w:p>
        </w:tc>
      </w:tr>
      <w:tr w:rsidR="00225670" w:rsidRPr="002C5292" w14:paraId="460F4ECC" w14:textId="77777777" w:rsidTr="004543B2">
        <w:tc>
          <w:tcPr>
            <w:tcW w:w="1800" w:type="dxa"/>
            <w:tcBorders>
              <w:bottom w:val="single" w:sz="12" w:space="0" w:color="auto"/>
            </w:tcBorders>
          </w:tcPr>
          <w:p w14:paraId="3DAAA4D0" w14:textId="77777777" w:rsidR="00225670" w:rsidRPr="002C5292" w:rsidRDefault="00225670" w:rsidP="004543B2">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 xml:space="preserve">Minimise unnecessary delays in making or amending legislative instruments </w:t>
            </w:r>
          </w:p>
        </w:tc>
        <w:tc>
          <w:tcPr>
            <w:tcW w:w="1440" w:type="dxa"/>
            <w:tcBorders>
              <w:bottom w:val="single" w:sz="12" w:space="0" w:color="auto"/>
            </w:tcBorders>
            <w:vAlign w:val="center"/>
          </w:tcPr>
          <w:p w14:paraId="5681A6BD"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¼</w:t>
            </w:r>
          </w:p>
        </w:tc>
        <w:tc>
          <w:tcPr>
            <w:tcW w:w="1440" w:type="dxa"/>
            <w:tcBorders>
              <w:bottom w:val="single" w:sz="12" w:space="0" w:color="auto"/>
            </w:tcBorders>
            <w:vAlign w:val="center"/>
          </w:tcPr>
          <w:p w14:paraId="46E67F12"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tcBorders>
              <w:bottom w:val="single" w:sz="12" w:space="0" w:color="auto"/>
            </w:tcBorders>
            <w:vAlign w:val="center"/>
          </w:tcPr>
          <w:p w14:paraId="13A5AA49"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+10</w:t>
            </w:r>
          </w:p>
        </w:tc>
        <w:tc>
          <w:tcPr>
            <w:tcW w:w="1080" w:type="dxa"/>
            <w:tcBorders>
              <w:bottom w:val="single" w:sz="12" w:space="0" w:color="auto"/>
            </w:tcBorders>
            <w:vAlign w:val="center"/>
          </w:tcPr>
          <w:p w14:paraId="558276B4"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 xml:space="preserve">+2½  </w:t>
            </w:r>
          </w:p>
        </w:tc>
        <w:tc>
          <w:tcPr>
            <w:tcW w:w="1080" w:type="dxa"/>
            <w:tcBorders>
              <w:bottom w:val="single" w:sz="12" w:space="0" w:color="auto"/>
            </w:tcBorders>
            <w:vAlign w:val="center"/>
          </w:tcPr>
          <w:p w14:paraId="0910BC79" w14:textId="66843288"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w:t>
            </w:r>
            <w:r w:rsidR="00DA75A2" w:rsidRPr="002C5292">
              <w:rPr>
                <w:rFonts w:asciiTheme="minorHAnsi" w:hAnsiTheme="minorHAnsi" w:cstheme="minorHAnsi"/>
                <w:sz w:val="22"/>
                <w:szCs w:val="22"/>
              </w:rPr>
              <w:t>7</w:t>
            </w:r>
          </w:p>
        </w:tc>
        <w:tc>
          <w:tcPr>
            <w:tcW w:w="1080" w:type="dxa"/>
            <w:tcBorders>
              <w:bottom w:val="single" w:sz="12" w:space="0" w:color="auto"/>
            </w:tcBorders>
            <w:vAlign w:val="center"/>
          </w:tcPr>
          <w:p w14:paraId="621B22B4" w14:textId="37115F5C"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+1</w:t>
            </w:r>
            <w:r w:rsidR="0016514C" w:rsidRPr="002C5292">
              <w:rPr>
                <w:rFonts w:asciiTheme="minorHAnsi" w:hAnsiTheme="minorHAnsi" w:cstheme="minorHAnsi"/>
                <w:sz w:val="22"/>
                <w:szCs w:val="22"/>
              </w:rPr>
              <w:t>¾</w:t>
            </w:r>
            <w:r w:rsidRPr="002C5292">
              <w:rPr>
                <w:rFonts w:asciiTheme="minorHAnsi" w:hAnsiTheme="minorHAnsi" w:cstheme="minorHAnsi"/>
                <w:sz w:val="22"/>
                <w:szCs w:val="22"/>
              </w:rPr>
              <w:t xml:space="preserve"> </w:t>
            </w:r>
          </w:p>
        </w:tc>
      </w:tr>
      <w:tr w:rsidR="00225670" w:rsidRPr="002C5292" w14:paraId="4CD523F5" w14:textId="77777777" w:rsidTr="004543B2">
        <w:tc>
          <w:tcPr>
            <w:tcW w:w="1800" w:type="dxa"/>
            <w:tcBorders>
              <w:top w:val="single" w:sz="12" w:space="0" w:color="auto"/>
              <w:bottom w:val="single" w:sz="12" w:space="0" w:color="auto"/>
            </w:tcBorders>
          </w:tcPr>
          <w:p w14:paraId="544EC82B" w14:textId="77777777" w:rsidR="00225670" w:rsidRPr="002C5292" w:rsidRDefault="00225670" w:rsidP="004543B2">
            <w:pPr>
              <w:snapToGrid w:val="0"/>
              <w:rPr>
                <w:rFonts w:asciiTheme="minorHAnsi" w:hAnsiTheme="minorHAnsi" w:cstheme="minorHAnsi"/>
                <w:b/>
              </w:rPr>
            </w:pPr>
            <w:r w:rsidRPr="002C5292">
              <w:rPr>
                <w:rFonts w:asciiTheme="minorHAnsi" w:hAnsiTheme="minorHAnsi" w:cstheme="minorHAnsi"/>
                <w:b/>
                <w:i/>
                <w:sz w:val="22"/>
                <w:szCs w:val="22"/>
              </w:rPr>
              <w:t>Benefit criteria</w:t>
            </w:r>
          </w:p>
        </w:tc>
        <w:tc>
          <w:tcPr>
            <w:tcW w:w="1440" w:type="dxa"/>
            <w:tcBorders>
              <w:top w:val="single" w:sz="12" w:space="0" w:color="auto"/>
              <w:bottom w:val="single" w:sz="12" w:space="0" w:color="auto"/>
            </w:tcBorders>
            <w:vAlign w:val="center"/>
          </w:tcPr>
          <w:p w14:paraId="6D61EE36" w14:textId="77777777" w:rsidR="00225670" w:rsidRPr="002C5292" w:rsidRDefault="00225670" w:rsidP="004543B2">
            <w:pPr>
              <w:jc w:val="center"/>
              <w:rPr>
                <w:rFonts w:asciiTheme="minorHAnsi" w:hAnsiTheme="minorHAnsi" w:cstheme="minorHAnsi"/>
                <w:b/>
                <w:sz w:val="22"/>
                <w:szCs w:val="22"/>
                <w:vertAlign w:val="superscript"/>
              </w:rPr>
            </w:pPr>
            <w:r w:rsidRPr="002C5292">
              <w:rPr>
                <w:rFonts w:asciiTheme="minorHAnsi" w:hAnsiTheme="minorHAnsi" w:cstheme="minorHAnsi"/>
                <w:b/>
                <w:sz w:val="22"/>
                <w:szCs w:val="22"/>
              </w:rPr>
              <w:t xml:space="preserve">½ </w:t>
            </w:r>
          </w:p>
        </w:tc>
        <w:tc>
          <w:tcPr>
            <w:tcW w:w="1440" w:type="dxa"/>
            <w:tcBorders>
              <w:top w:val="single" w:sz="12" w:space="0" w:color="auto"/>
              <w:bottom w:val="single" w:sz="12" w:space="0" w:color="auto"/>
            </w:tcBorders>
            <w:vAlign w:val="center"/>
          </w:tcPr>
          <w:p w14:paraId="60FC9097"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single" w:sz="12" w:space="0" w:color="auto"/>
              <w:bottom w:val="single" w:sz="12" w:space="0" w:color="auto"/>
            </w:tcBorders>
            <w:vAlign w:val="center"/>
          </w:tcPr>
          <w:p w14:paraId="5443DE2D" w14:textId="77777777" w:rsidR="00225670" w:rsidRPr="002C5292" w:rsidRDefault="00225670" w:rsidP="004543B2">
            <w:pPr>
              <w:jc w:val="center"/>
              <w:rPr>
                <w:rFonts w:asciiTheme="minorHAnsi" w:hAnsiTheme="minorHAnsi" w:cstheme="minorHAnsi"/>
                <w:b/>
                <w:sz w:val="22"/>
                <w:szCs w:val="22"/>
              </w:rPr>
            </w:pPr>
          </w:p>
        </w:tc>
        <w:tc>
          <w:tcPr>
            <w:tcW w:w="1080" w:type="dxa"/>
            <w:tcBorders>
              <w:top w:val="single" w:sz="12" w:space="0" w:color="auto"/>
              <w:bottom w:val="single" w:sz="12" w:space="0" w:color="auto"/>
            </w:tcBorders>
            <w:vAlign w:val="center"/>
          </w:tcPr>
          <w:p w14:paraId="4AAF3EB6"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 xml:space="preserve">+5 </w:t>
            </w:r>
          </w:p>
        </w:tc>
        <w:tc>
          <w:tcPr>
            <w:tcW w:w="1080" w:type="dxa"/>
            <w:tcBorders>
              <w:top w:val="single" w:sz="12" w:space="0" w:color="auto"/>
              <w:bottom w:val="single" w:sz="12" w:space="0" w:color="auto"/>
            </w:tcBorders>
            <w:vAlign w:val="center"/>
          </w:tcPr>
          <w:p w14:paraId="4005A834" w14:textId="77777777" w:rsidR="00225670" w:rsidRPr="002C5292" w:rsidRDefault="00225670" w:rsidP="004543B2">
            <w:pPr>
              <w:jc w:val="center"/>
              <w:rPr>
                <w:rFonts w:asciiTheme="minorHAnsi" w:hAnsiTheme="minorHAnsi" w:cstheme="minorHAnsi"/>
                <w:b/>
                <w:sz w:val="22"/>
                <w:szCs w:val="22"/>
              </w:rPr>
            </w:pPr>
          </w:p>
        </w:tc>
        <w:tc>
          <w:tcPr>
            <w:tcW w:w="1080" w:type="dxa"/>
            <w:tcBorders>
              <w:top w:val="single" w:sz="12" w:space="0" w:color="auto"/>
              <w:bottom w:val="single" w:sz="12" w:space="0" w:color="auto"/>
            </w:tcBorders>
            <w:vAlign w:val="center"/>
          </w:tcPr>
          <w:p w14:paraId="3412B5CC" w14:textId="4C15773C"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w:t>
            </w:r>
            <w:r w:rsidR="00A165E8" w:rsidRPr="002C5292">
              <w:rPr>
                <w:rFonts w:asciiTheme="minorHAnsi" w:hAnsiTheme="minorHAnsi" w:cstheme="minorHAnsi"/>
                <w:b/>
                <w:sz w:val="22"/>
                <w:szCs w:val="22"/>
              </w:rPr>
              <w:t>4</w:t>
            </w:r>
            <w:r w:rsidRPr="002C5292">
              <w:rPr>
                <w:rFonts w:asciiTheme="minorHAnsi" w:hAnsiTheme="minorHAnsi" w:cstheme="minorHAnsi"/>
                <w:b/>
                <w:sz w:val="22"/>
                <w:szCs w:val="22"/>
              </w:rPr>
              <w:t xml:space="preserve"> </w:t>
            </w:r>
          </w:p>
        </w:tc>
      </w:tr>
      <w:tr w:rsidR="00225670" w:rsidRPr="002C5292" w14:paraId="22AF9BCA" w14:textId="77777777" w:rsidTr="004543B2">
        <w:tc>
          <w:tcPr>
            <w:tcW w:w="9000" w:type="dxa"/>
            <w:gridSpan w:val="7"/>
            <w:tcBorders>
              <w:top w:val="single" w:sz="12" w:space="0" w:color="auto"/>
            </w:tcBorders>
          </w:tcPr>
          <w:p w14:paraId="27D14778" w14:textId="77777777" w:rsidR="00225670" w:rsidRPr="002C5292" w:rsidRDefault="00225670" w:rsidP="004543B2">
            <w:pPr>
              <w:rPr>
                <w:rFonts w:asciiTheme="minorHAnsi" w:hAnsiTheme="minorHAnsi" w:cstheme="minorHAnsi"/>
                <w:sz w:val="22"/>
                <w:szCs w:val="22"/>
              </w:rPr>
            </w:pPr>
            <w:r w:rsidRPr="002C5292">
              <w:rPr>
                <w:rFonts w:asciiTheme="minorHAnsi" w:hAnsiTheme="minorHAnsi" w:cstheme="minorHAnsi"/>
                <w:i/>
                <w:sz w:val="22"/>
                <w:szCs w:val="22"/>
              </w:rPr>
              <w:t>Cost criteria</w:t>
            </w:r>
          </w:p>
        </w:tc>
      </w:tr>
      <w:tr w:rsidR="00225670" w:rsidRPr="002C5292" w14:paraId="3EF3AAC5" w14:textId="77777777" w:rsidTr="004543B2">
        <w:tc>
          <w:tcPr>
            <w:tcW w:w="1800" w:type="dxa"/>
            <w:tcBorders>
              <w:bottom w:val="single" w:sz="12" w:space="0" w:color="auto"/>
            </w:tcBorders>
          </w:tcPr>
          <w:p w14:paraId="45F85C04" w14:textId="77777777" w:rsidR="00225670" w:rsidRPr="002C5292" w:rsidRDefault="00225670" w:rsidP="004543B2">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Ensure an appropriate level of parliamentary and public scrutiny when making legislative instruments.</w:t>
            </w:r>
          </w:p>
        </w:tc>
        <w:tc>
          <w:tcPr>
            <w:tcW w:w="1440" w:type="dxa"/>
            <w:tcBorders>
              <w:bottom w:val="single" w:sz="12" w:space="0" w:color="auto"/>
            </w:tcBorders>
            <w:vAlign w:val="center"/>
          </w:tcPr>
          <w:p w14:paraId="63EED1CE"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½</w:t>
            </w:r>
          </w:p>
        </w:tc>
        <w:tc>
          <w:tcPr>
            <w:tcW w:w="1440" w:type="dxa"/>
            <w:tcBorders>
              <w:bottom w:val="single" w:sz="12" w:space="0" w:color="auto"/>
            </w:tcBorders>
            <w:vAlign w:val="center"/>
          </w:tcPr>
          <w:p w14:paraId="5BF3A932"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tcBorders>
              <w:bottom w:val="single" w:sz="12" w:space="0" w:color="auto"/>
            </w:tcBorders>
            <w:vAlign w:val="center"/>
          </w:tcPr>
          <w:p w14:paraId="2DAEC971"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-4</w:t>
            </w:r>
          </w:p>
        </w:tc>
        <w:tc>
          <w:tcPr>
            <w:tcW w:w="1080" w:type="dxa"/>
            <w:tcBorders>
              <w:bottom w:val="single" w:sz="12" w:space="0" w:color="auto"/>
            </w:tcBorders>
            <w:vAlign w:val="center"/>
          </w:tcPr>
          <w:p w14:paraId="2572CB92" w14:textId="777777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-2</w:t>
            </w:r>
          </w:p>
        </w:tc>
        <w:tc>
          <w:tcPr>
            <w:tcW w:w="1080" w:type="dxa"/>
            <w:tcBorders>
              <w:bottom w:val="single" w:sz="12" w:space="0" w:color="auto"/>
            </w:tcBorders>
            <w:vAlign w:val="center"/>
          </w:tcPr>
          <w:p w14:paraId="3FF85982" w14:textId="6E8C2477"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w:t>
            </w:r>
            <w:r w:rsidR="00E87980" w:rsidRPr="002C5292">
              <w:rPr>
                <w:rFonts w:asciiTheme="minorHAnsi" w:hAnsiTheme="minorHAnsi" w:cstheme="minorHAnsi"/>
                <w:sz w:val="22"/>
                <w:szCs w:val="22"/>
              </w:rPr>
              <w:t>3</w:t>
            </w:r>
          </w:p>
        </w:tc>
        <w:tc>
          <w:tcPr>
            <w:tcW w:w="1080" w:type="dxa"/>
            <w:tcBorders>
              <w:bottom w:val="single" w:sz="12" w:space="0" w:color="auto"/>
            </w:tcBorders>
            <w:vAlign w:val="center"/>
          </w:tcPr>
          <w:p w14:paraId="358EB648" w14:textId="79B2AB0F" w:rsidR="00225670" w:rsidRPr="002C5292" w:rsidRDefault="00225670" w:rsidP="004543B2">
            <w:pPr>
              <w:jc w:val="center"/>
              <w:rPr>
                <w:rFonts w:asciiTheme="minorHAnsi" w:hAnsiTheme="minorHAnsi" w:cstheme="minorHAnsi"/>
                <w:sz w:val="22"/>
                <w:szCs w:val="22"/>
              </w:rPr>
            </w:pPr>
            <w:r w:rsidRPr="002C5292">
              <w:rPr>
                <w:rFonts w:asciiTheme="minorHAnsi" w:hAnsiTheme="minorHAnsi" w:cstheme="minorHAnsi"/>
                <w:sz w:val="22"/>
                <w:szCs w:val="22"/>
              </w:rPr>
              <w:t>-</w:t>
            </w:r>
            <w:r w:rsidR="00A165E8" w:rsidRPr="002C5292">
              <w:rPr>
                <w:rFonts w:asciiTheme="minorHAnsi" w:hAnsiTheme="minorHAnsi" w:cstheme="minorHAnsi"/>
                <w:sz w:val="22"/>
                <w:szCs w:val="22"/>
              </w:rPr>
              <w:t>1</w:t>
            </w:r>
            <w:r w:rsidR="00046507" w:rsidRPr="002C5292">
              <w:rPr>
                <w:rFonts w:asciiTheme="minorHAnsi" w:hAnsiTheme="minorHAnsi" w:cstheme="minorHAnsi"/>
                <w:sz w:val="22"/>
                <w:szCs w:val="22"/>
              </w:rPr>
              <w:t>½</w:t>
            </w:r>
          </w:p>
        </w:tc>
      </w:tr>
      <w:tr w:rsidR="00225670" w:rsidRPr="002C5292" w14:paraId="032FA879" w14:textId="77777777" w:rsidTr="004543B2">
        <w:tc>
          <w:tcPr>
            <w:tcW w:w="1800" w:type="dxa"/>
            <w:tcBorders>
              <w:top w:val="single" w:sz="12" w:space="0" w:color="auto"/>
              <w:bottom w:val="double" w:sz="12" w:space="0" w:color="auto"/>
            </w:tcBorders>
          </w:tcPr>
          <w:p w14:paraId="24EB0D67" w14:textId="77777777" w:rsidR="00225670" w:rsidRPr="002C5292" w:rsidRDefault="00225670" w:rsidP="004543B2">
            <w:pPr>
              <w:rPr>
                <w:rFonts w:asciiTheme="minorHAnsi" w:hAnsiTheme="minorHAnsi" w:cstheme="minorHAnsi"/>
                <w:b/>
              </w:rPr>
            </w:pPr>
            <w:r w:rsidRPr="002C5292">
              <w:rPr>
                <w:rFonts w:asciiTheme="minorHAnsi" w:hAnsiTheme="minorHAnsi" w:cstheme="minorHAnsi"/>
                <w:b/>
                <w:i/>
                <w:sz w:val="22"/>
                <w:szCs w:val="22"/>
              </w:rPr>
              <w:t>Cost criteria</w:t>
            </w:r>
          </w:p>
        </w:tc>
        <w:tc>
          <w:tcPr>
            <w:tcW w:w="1440" w:type="dxa"/>
            <w:tcBorders>
              <w:top w:val="single" w:sz="12" w:space="0" w:color="auto"/>
              <w:bottom w:val="double" w:sz="12" w:space="0" w:color="auto"/>
            </w:tcBorders>
            <w:vAlign w:val="center"/>
          </w:tcPr>
          <w:p w14:paraId="686DE6FB"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½</w:t>
            </w:r>
          </w:p>
        </w:tc>
        <w:tc>
          <w:tcPr>
            <w:tcW w:w="1440" w:type="dxa"/>
            <w:tcBorders>
              <w:top w:val="single" w:sz="12" w:space="0" w:color="auto"/>
              <w:bottom w:val="double" w:sz="12" w:space="0" w:color="auto"/>
            </w:tcBorders>
            <w:vAlign w:val="center"/>
          </w:tcPr>
          <w:p w14:paraId="5B431EB9"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single" w:sz="12" w:space="0" w:color="auto"/>
              <w:bottom w:val="double" w:sz="12" w:space="0" w:color="auto"/>
            </w:tcBorders>
            <w:vAlign w:val="center"/>
          </w:tcPr>
          <w:p w14:paraId="38FE7C7E"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-4</w:t>
            </w:r>
          </w:p>
        </w:tc>
        <w:tc>
          <w:tcPr>
            <w:tcW w:w="1080" w:type="dxa"/>
            <w:tcBorders>
              <w:top w:val="single" w:sz="12" w:space="0" w:color="auto"/>
              <w:bottom w:val="double" w:sz="12" w:space="0" w:color="auto"/>
            </w:tcBorders>
            <w:vAlign w:val="center"/>
          </w:tcPr>
          <w:p w14:paraId="15FACD16"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-2</w:t>
            </w:r>
          </w:p>
        </w:tc>
        <w:tc>
          <w:tcPr>
            <w:tcW w:w="1080" w:type="dxa"/>
            <w:tcBorders>
              <w:top w:val="single" w:sz="12" w:space="0" w:color="auto"/>
              <w:bottom w:val="double" w:sz="12" w:space="0" w:color="auto"/>
            </w:tcBorders>
            <w:vAlign w:val="center"/>
          </w:tcPr>
          <w:p w14:paraId="519A7A44"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-2</w:t>
            </w:r>
          </w:p>
        </w:tc>
        <w:tc>
          <w:tcPr>
            <w:tcW w:w="1080" w:type="dxa"/>
            <w:tcBorders>
              <w:top w:val="single" w:sz="12" w:space="0" w:color="auto"/>
              <w:bottom w:val="double" w:sz="12" w:space="0" w:color="auto"/>
            </w:tcBorders>
            <w:vAlign w:val="center"/>
          </w:tcPr>
          <w:p w14:paraId="2E51622A" w14:textId="7EC4810A" w:rsidR="00225670" w:rsidRPr="002C5292" w:rsidRDefault="00E11EF7" w:rsidP="004543B2">
            <w:pPr>
              <w:jc w:val="center"/>
              <w:rPr>
                <w:rFonts w:asciiTheme="minorHAnsi" w:hAnsiTheme="minorHAnsi" w:cstheme="minorHAnsi"/>
                <w:b/>
                <w:sz w:val="22"/>
                <w:szCs w:val="22"/>
              </w:rPr>
            </w:pPr>
            <w:r w:rsidRPr="002C5292">
              <w:rPr>
                <w:rFonts w:asciiTheme="minorHAnsi" w:hAnsiTheme="minorHAnsi" w:cstheme="minorHAnsi"/>
                <w:b/>
                <w:sz w:val="22"/>
                <w:szCs w:val="22"/>
              </w:rPr>
              <w:t>-1</w:t>
            </w:r>
            <w:r w:rsidRPr="002C5292">
              <w:rPr>
                <w:rFonts w:asciiTheme="minorHAnsi" w:hAnsiTheme="minorHAnsi" w:cstheme="minorHAnsi"/>
                <w:sz w:val="22"/>
                <w:szCs w:val="22"/>
              </w:rPr>
              <w:t>½</w:t>
            </w:r>
          </w:p>
        </w:tc>
      </w:tr>
      <w:tr w:rsidR="00225670" w:rsidRPr="002C5292" w14:paraId="4410F039" w14:textId="77777777" w:rsidTr="004543B2">
        <w:tc>
          <w:tcPr>
            <w:tcW w:w="1800" w:type="dxa"/>
            <w:tcBorders>
              <w:top w:val="double" w:sz="12" w:space="0" w:color="auto"/>
              <w:bottom w:val="double" w:sz="12" w:space="0" w:color="auto"/>
            </w:tcBorders>
          </w:tcPr>
          <w:p w14:paraId="565EDACF" w14:textId="77777777" w:rsidR="00225670" w:rsidRPr="002C5292" w:rsidRDefault="00225670" w:rsidP="004543B2">
            <w:pPr>
              <w:rPr>
                <w:rFonts w:asciiTheme="minorHAnsi" w:hAnsiTheme="minorHAnsi" w:cstheme="minorHAnsi"/>
                <w:b/>
              </w:rPr>
            </w:pPr>
            <w:r w:rsidRPr="002C5292">
              <w:rPr>
                <w:rFonts w:asciiTheme="minorHAnsi" w:hAnsiTheme="minorHAnsi" w:cstheme="minorHAnsi"/>
                <w:b/>
              </w:rPr>
              <w:t>Total</w:t>
            </w:r>
          </w:p>
        </w:tc>
        <w:tc>
          <w:tcPr>
            <w:tcW w:w="1440" w:type="dxa"/>
            <w:tcBorders>
              <w:top w:val="double" w:sz="12" w:space="0" w:color="auto"/>
              <w:bottom w:val="double" w:sz="12" w:space="0" w:color="auto"/>
            </w:tcBorders>
            <w:vAlign w:val="center"/>
          </w:tcPr>
          <w:p w14:paraId="0FFD2187"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1</w:t>
            </w:r>
          </w:p>
        </w:tc>
        <w:tc>
          <w:tcPr>
            <w:tcW w:w="1440" w:type="dxa"/>
            <w:tcBorders>
              <w:top w:val="double" w:sz="12" w:space="0" w:color="auto"/>
              <w:bottom w:val="double" w:sz="12" w:space="0" w:color="auto"/>
            </w:tcBorders>
            <w:vAlign w:val="center"/>
          </w:tcPr>
          <w:p w14:paraId="7CFBF8DA"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double" w:sz="12" w:space="0" w:color="auto"/>
              <w:bottom w:val="double" w:sz="12" w:space="0" w:color="auto"/>
            </w:tcBorders>
            <w:vAlign w:val="center"/>
          </w:tcPr>
          <w:p w14:paraId="6986C7F7" w14:textId="77777777" w:rsidR="00225670" w:rsidRPr="002C5292" w:rsidRDefault="00225670" w:rsidP="004543B2">
            <w:pPr>
              <w:jc w:val="center"/>
              <w:rPr>
                <w:rFonts w:asciiTheme="minorHAnsi" w:hAnsiTheme="minorHAnsi" w:cstheme="minorHAnsi"/>
                <w:b/>
                <w:sz w:val="22"/>
                <w:szCs w:val="22"/>
              </w:rPr>
            </w:pPr>
          </w:p>
        </w:tc>
        <w:tc>
          <w:tcPr>
            <w:tcW w:w="1080" w:type="dxa"/>
            <w:tcBorders>
              <w:top w:val="double" w:sz="12" w:space="0" w:color="auto"/>
              <w:bottom w:val="double" w:sz="12" w:space="0" w:color="auto"/>
            </w:tcBorders>
            <w:vAlign w:val="center"/>
          </w:tcPr>
          <w:p w14:paraId="72B249D6" w14:textId="77777777"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+3</w:t>
            </w:r>
          </w:p>
        </w:tc>
        <w:tc>
          <w:tcPr>
            <w:tcW w:w="1080" w:type="dxa"/>
            <w:tcBorders>
              <w:top w:val="double" w:sz="12" w:space="0" w:color="auto"/>
              <w:bottom w:val="double" w:sz="12" w:space="0" w:color="auto"/>
            </w:tcBorders>
          </w:tcPr>
          <w:p w14:paraId="3CC7814A" w14:textId="77777777" w:rsidR="00225670" w:rsidRPr="002C5292" w:rsidRDefault="00225670" w:rsidP="004543B2">
            <w:pPr>
              <w:jc w:val="center"/>
              <w:rPr>
                <w:rFonts w:asciiTheme="minorHAnsi" w:hAnsiTheme="minorHAnsi" w:cstheme="minorHAnsi"/>
                <w:b/>
                <w:sz w:val="22"/>
                <w:szCs w:val="22"/>
              </w:rPr>
            </w:pPr>
          </w:p>
        </w:tc>
        <w:tc>
          <w:tcPr>
            <w:tcW w:w="1080" w:type="dxa"/>
            <w:tcBorders>
              <w:top w:val="double" w:sz="12" w:space="0" w:color="auto"/>
              <w:bottom w:val="double" w:sz="12" w:space="0" w:color="auto"/>
            </w:tcBorders>
            <w:vAlign w:val="center"/>
          </w:tcPr>
          <w:p w14:paraId="4CB7D91C" w14:textId="7C2E168D" w:rsidR="00225670" w:rsidRPr="002C5292" w:rsidRDefault="00225670" w:rsidP="004543B2">
            <w:pPr>
              <w:jc w:val="center"/>
              <w:rPr>
                <w:rFonts w:asciiTheme="minorHAnsi" w:hAnsiTheme="minorHAnsi" w:cstheme="minorHAnsi"/>
                <w:b/>
                <w:sz w:val="22"/>
                <w:szCs w:val="22"/>
              </w:rPr>
            </w:pPr>
            <w:r w:rsidRPr="002C5292">
              <w:rPr>
                <w:rFonts w:asciiTheme="minorHAnsi" w:hAnsiTheme="minorHAnsi" w:cstheme="minorHAnsi"/>
                <w:b/>
                <w:sz w:val="22"/>
                <w:szCs w:val="22"/>
              </w:rPr>
              <w:t xml:space="preserve">+2½  </w:t>
            </w:r>
          </w:p>
        </w:tc>
      </w:tr>
    </w:tbl>
    <w:p w14:paraId="41CB145D" w14:textId="198E6BDF" w:rsidR="004D310C" w:rsidRPr="002C5292" w:rsidRDefault="004D310C" w:rsidP="004D310C">
      <w:pPr>
        <w:rPr>
          <w:rFonts w:asciiTheme="minorHAnsi" w:hAnsiTheme="minorHAnsi" w:cstheme="minorHAnsi"/>
        </w:rPr>
      </w:pPr>
    </w:p>
    <w:p w14:paraId="1FB67454" w14:textId="77777777" w:rsidR="003529D1" w:rsidRPr="002C5292" w:rsidRDefault="003529D1" w:rsidP="00C934BF">
      <w:pPr>
        <w:pStyle w:val="Heading2"/>
      </w:pPr>
      <w:bookmarkStart w:id="22" w:name="_Toc70082347"/>
      <w:r w:rsidRPr="002C5292">
        <w:t>Proposed measure</w:t>
      </w:r>
      <w:bookmarkEnd w:id="22"/>
    </w:p>
    <w:p w14:paraId="35998273" w14:textId="77777777" w:rsidR="003529D1" w:rsidRPr="002C5292" w:rsidRDefault="003529D1" w:rsidP="00A100FA">
      <w:pPr>
        <w:pStyle w:val="DPCbody"/>
      </w:pPr>
      <w:r w:rsidRPr="002C5292">
        <w:t>Under section 4A of the SLA, the Governor in Council may make regulations that prescribe instruments to be legislative instruments (subject to the SLA); not to be legislative instruments for the purposes of the SLA; or to be exempt from SLA requirements.</w:t>
      </w:r>
    </w:p>
    <w:p w14:paraId="5D2E37A3" w14:textId="4BCDAB08" w:rsidR="003529D1" w:rsidRPr="002C5292" w:rsidRDefault="003529D1" w:rsidP="00A100FA">
      <w:pPr>
        <w:pStyle w:val="DPCbody"/>
      </w:pPr>
      <w:r w:rsidRPr="002C5292">
        <w:t xml:space="preserve">The </w:t>
      </w:r>
      <w:r w:rsidR="00095532" w:rsidRPr="002C5292">
        <w:t>P</w:t>
      </w:r>
      <w:r w:rsidRPr="002C5292">
        <w:t xml:space="preserve">roposed Regulations have therefore been drafted to clarify which instruments are not legislative instruments, and to provide a number of exemptions to legislative instruments which have met one or more exemption criteria that were developed as part of this proposal (see Attachment </w:t>
      </w:r>
      <w:r w:rsidR="005E3BBF" w:rsidRPr="002C5292">
        <w:t>C</w:t>
      </w:r>
      <w:r w:rsidRPr="002C5292">
        <w:t xml:space="preserve"> for detail of the proposed exempt </w:t>
      </w:r>
      <w:r w:rsidR="004543B2" w:rsidRPr="002C5292">
        <w:t xml:space="preserve">legislative </w:t>
      </w:r>
      <w:r w:rsidRPr="002C5292">
        <w:t xml:space="preserve">instruments). The </w:t>
      </w:r>
      <w:r w:rsidR="00095532" w:rsidRPr="002C5292">
        <w:t>P</w:t>
      </w:r>
      <w:r w:rsidRPr="002C5292">
        <w:t xml:space="preserve">roposed Regulations reflect Option 1, thus exempting all those instruments set out in Attachment </w:t>
      </w:r>
      <w:r w:rsidR="005E3BBF" w:rsidRPr="002C5292">
        <w:t>C</w:t>
      </w:r>
      <w:r w:rsidRPr="002C5292">
        <w:t>, including those being proposed for exemption based on RIS-equivalency, or that are part of a national uniform legislation scheme where an assessment of costs and benefits has been done</w:t>
      </w:r>
      <w:r w:rsidR="00D47BF6" w:rsidRPr="002C5292">
        <w:t>, from certain requirements under the SLA</w:t>
      </w:r>
      <w:r w:rsidRPr="002C5292">
        <w:t xml:space="preserve">. </w:t>
      </w:r>
    </w:p>
    <w:p w14:paraId="7E6AC348" w14:textId="2A6585DE" w:rsidR="00EF54A7" w:rsidRPr="002C5292" w:rsidRDefault="00DC49BC" w:rsidP="00CB622A">
      <w:pPr>
        <w:pStyle w:val="DPCbody"/>
      </w:pPr>
      <w:r w:rsidRPr="002C5292">
        <w:t xml:space="preserve">Five hundred and eighty six (586) </w:t>
      </w:r>
      <w:r w:rsidR="00FB6576" w:rsidRPr="002C5292">
        <w:t xml:space="preserve">provisions </w:t>
      </w:r>
      <w:r w:rsidR="004C3014" w:rsidRPr="002C5292">
        <w:t>to make</w:t>
      </w:r>
      <w:r w:rsidR="00FB6576" w:rsidRPr="002C5292">
        <w:t xml:space="preserve"> </w:t>
      </w:r>
      <w:r w:rsidR="004543B2" w:rsidRPr="002C5292">
        <w:t xml:space="preserve">legislative </w:t>
      </w:r>
      <w:r w:rsidR="00C87D54" w:rsidRPr="002C5292">
        <w:t>instruments are proposed to be exempt from Part 2A, Part 5A, section 16B, section 16C, section 16E and section 16F of the SLA.  S</w:t>
      </w:r>
      <w:r w:rsidR="00F77DC2" w:rsidRPr="002C5292">
        <w:t>even</w:t>
      </w:r>
      <w:r w:rsidR="00C87D54" w:rsidRPr="002C5292">
        <w:t xml:space="preserve"> </w:t>
      </w:r>
      <w:r w:rsidR="004543B2" w:rsidRPr="002C5292">
        <w:t xml:space="preserve">legislative </w:t>
      </w:r>
      <w:r w:rsidR="00DE16EC" w:rsidRPr="002C5292">
        <w:t>instruments</w:t>
      </w:r>
      <w:r w:rsidR="00EF54A7" w:rsidRPr="002C5292">
        <w:t>, included in the main body of the Proposed Regulations, are exempt from the operation of Parts 2A</w:t>
      </w:r>
      <w:r w:rsidR="004D618E" w:rsidRPr="002C5292">
        <w:t>,</w:t>
      </w:r>
      <w:r w:rsidR="00EF54A7" w:rsidRPr="002C5292">
        <w:t xml:space="preserve"> 3A</w:t>
      </w:r>
      <w:r w:rsidR="004D618E" w:rsidRPr="002C5292">
        <w:rPr>
          <w:rStyle w:val="FootnoteReference"/>
        </w:rPr>
        <w:footnoteReference w:id="3"/>
      </w:r>
      <w:r w:rsidR="004D618E" w:rsidRPr="002C5292">
        <w:t>,</w:t>
      </w:r>
      <w:r w:rsidR="00EF54A7" w:rsidRPr="002C5292">
        <w:t xml:space="preserve"> and 5A of the SLA:</w:t>
      </w:r>
    </w:p>
    <w:p w14:paraId="60D29B83" w14:textId="77777777" w:rsidR="00EF54A7" w:rsidRPr="002C5292" w:rsidRDefault="00EF54A7" w:rsidP="000C4A15">
      <w:pPr>
        <w:pStyle w:val="DPCbodytext"/>
        <w:numPr>
          <w:ilvl w:val="0"/>
          <w:numId w:val="40"/>
        </w:numPr>
      </w:pPr>
      <w:r w:rsidRPr="002C5292">
        <w:t xml:space="preserve">an Order made under section 74E(1) of the </w:t>
      </w:r>
      <w:r w:rsidRPr="002C5292">
        <w:rPr>
          <w:i/>
          <w:iCs/>
        </w:rPr>
        <w:t>Emergency Management Act 2013</w:t>
      </w:r>
      <w:r w:rsidRPr="002C5292">
        <w:t>;</w:t>
      </w:r>
    </w:p>
    <w:p w14:paraId="0AA4E242" w14:textId="77777777" w:rsidR="00EF54A7" w:rsidRPr="002C5292" w:rsidRDefault="00EF54A7" w:rsidP="000C4A15">
      <w:pPr>
        <w:pStyle w:val="DPCbodytext"/>
        <w:numPr>
          <w:ilvl w:val="0"/>
          <w:numId w:val="40"/>
        </w:numPr>
      </w:pPr>
      <w:r w:rsidRPr="002C5292">
        <w:t xml:space="preserve">an Order made under section 74F of the </w:t>
      </w:r>
      <w:r w:rsidRPr="002C5292">
        <w:rPr>
          <w:i/>
          <w:iCs/>
        </w:rPr>
        <w:t>Emergency Management Act 2013;</w:t>
      </w:r>
    </w:p>
    <w:p w14:paraId="7288C681" w14:textId="77777777" w:rsidR="00EF54A7" w:rsidRPr="002C5292" w:rsidRDefault="00EF54A7" w:rsidP="000C4A15">
      <w:pPr>
        <w:pStyle w:val="DPCbodytext"/>
        <w:numPr>
          <w:ilvl w:val="0"/>
          <w:numId w:val="40"/>
        </w:numPr>
      </w:pPr>
      <w:r w:rsidRPr="002C5292">
        <w:t xml:space="preserve">an Order made under section 74H(1) of the </w:t>
      </w:r>
      <w:r w:rsidRPr="002C5292">
        <w:rPr>
          <w:i/>
          <w:iCs/>
        </w:rPr>
        <w:t>Emergency Management Act 2013;</w:t>
      </w:r>
    </w:p>
    <w:p w14:paraId="04343C7A" w14:textId="77777777" w:rsidR="00EF54A7" w:rsidRPr="002C5292" w:rsidRDefault="00EF54A7" w:rsidP="000C4A15">
      <w:pPr>
        <w:pStyle w:val="DPCbodytext"/>
        <w:numPr>
          <w:ilvl w:val="0"/>
          <w:numId w:val="40"/>
        </w:numPr>
      </w:pPr>
      <w:r w:rsidRPr="002C5292">
        <w:t xml:space="preserve">a declaration under section 23(1) of the </w:t>
      </w:r>
      <w:r w:rsidRPr="002C5292">
        <w:rPr>
          <w:i/>
          <w:iCs/>
        </w:rPr>
        <w:t>Emergency Management Act 1986</w:t>
      </w:r>
      <w:r w:rsidRPr="002C5292">
        <w:t>;</w:t>
      </w:r>
    </w:p>
    <w:p w14:paraId="6300C04D" w14:textId="77777777" w:rsidR="00EF54A7" w:rsidRPr="002C5292" w:rsidRDefault="00EF54A7" w:rsidP="000C4A15">
      <w:pPr>
        <w:pStyle w:val="DPCbodytext"/>
        <w:numPr>
          <w:ilvl w:val="0"/>
          <w:numId w:val="40"/>
        </w:numPr>
      </w:pPr>
      <w:r w:rsidRPr="002C5292">
        <w:t xml:space="preserve">a revocation or variation of a declaration under section 23(2) of the </w:t>
      </w:r>
      <w:r w:rsidRPr="002C5292">
        <w:rPr>
          <w:i/>
          <w:iCs/>
        </w:rPr>
        <w:t>Emergency Management Act 1986;</w:t>
      </w:r>
    </w:p>
    <w:p w14:paraId="2EDE3BB7" w14:textId="77777777" w:rsidR="00EF54A7" w:rsidRPr="002C5292" w:rsidRDefault="00EF54A7" w:rsidP="000C4A15">
      <w:pPr>
        <w:pStyle w:val="DPCbodytext"/>
        <w:numPr>
          <w:ilvl w:val="0"/>
          <w:numId w:val="40"/>
        </w:numPr>
      </w:pPr>
      <w:r w:rsidRPr="002C5292">
        <w:t xml:space="preserve">a direction under section 24(2)(a) of the </w:t>
      </w:r>
      <w:r w:rsidRPr="002C5292">
        <w:rPr>
          <w:i/>
          <w:iCs/>
        </w:rPr>
        <w:t>Emergency Management Act 1986</w:t>
      </w:r>
      <w:r w:rsidRPr="002C5292">
        <w:t>;</w:t>
      </w:r>
    </w:p>
    <w:p w14:paraId="1EA5AAFB" w14:textId="77777777" w:rsidR="00EF54A7" w:rsidRPr="002C5292" w:rsidRDefault="00EF54A7" w:rsidP="000C4A15">
      <w:pPr>
        <w:pStyle w:val="DPCbodytext"/>
        <w:numPr>
          <w:ilvl w:val="0"/>
          <w:numId w:val="40"/>
        </w:numPr>
      </w:pPr>
      <w:r w:rsidRPr="002C5292">
        <w:t xml:space="preserve">a declaration under section 24(2)(b) of the </w:t>
      </w:r>
      <w:r w:rsidRPr="002C5292">
        <w:rPr>
          <w:i/>
          <w:iCs/>
        </w:rPr>
        <w:t>Emergency Management Act 1986</w:t>
      </w:r>
      <w:r w:rsidRPr="002C5292">
        <w:t xml:space="preserve">; </w:t>
      </w:r>
    </w:p>
    <w:p w14:paraId="549D2E4F" w14:textId="77777777" w:rsidR="00EF54A7" w:rsidRPr="002C5292" w:rsidRDefault="00EF54A7" w:rsidP="000C4A15">
      <w:pPr>
        <w:pStyle w:val="DPCbodytext"/>
        <w:numPr>
          <w:ilvl w:val="0"/>
          <w:numId w:val="40"/>
        </w:numPr>
      </w:pPr>
      <w:r w:rsidRPr="002C5292">
        <w:t xml:space="preserve">a declaration under section 24(4) of the </w:t>
      </w:r>
      <w:r w:rsidRPr="002C5292">
        <w:rPr>
          <w:i/>
          <w:iCs/>
        </w:rPr>
        <w:t>Emergency Management Act 1986</w:t>
      </w:r>
      <w:r w:rsidRPr="002C5292">
        <w:t>.</w:t>
      </w:r>
    </w:p>
    <w:p w14:paraId="51195B74" w14:textId="5AA8195C" w:rsidR="009D690E" w:rsidRPr="002C5292" w:rsidRDefault="009D690E" w:rsidP="0067245A">
      <w:pPr>
        <w:pStyle w:val="Heading2"/>
      </w:pPr>
      <w:bookmarkStart w:id="23" w:name="_Toc70082348"/>
      <w:r w:rsidRPr="002C5292">
        <w:t>Costs and benefits of the proposed measure and groups in society who may be affected</w:t>
      </w:r>
      <w:bookmarkEnd w:id="23"/>
    </w:p>
    <w:p w14:paraId="54D658EA" w14:textId="77DAB97D" w:rsidR="009D690E" w:rsidRPr="002C5292" w:rsidRDefault="009D690E" w:rsidP="00E25FD5">
      <w:pPr>
        <w:pStyle w:val="DPCbody"/>
      </w:pPr>
      <w:r w:rsidRPr="002C5292">
        <w:t xml:space="preserve">The </w:t>
      </w:r>
      <w:r w:rsidR="00095532" w:rsidRPr="002C5292">
        <w:t>P</w:t>
      </w:r>
      <w:r w:rsidRPr="002C5292">
        <w:t xml:space="preserve">roposed Regulations affect </w:t>
      </w:r>
      <w:r w:rsidR="00AC4496" w:rsidRPr="002C5292">
        <w:t>the following</w:t>
      </w:r>
      <w:r w:rsidRPr="002C5292">
        <w:t xml:space="preserve"> groups in society</w:t>
      </w:r>
      <w:r w:rsidR="00C44874" w:rsidRPr="002C5292">
        <w:t>, namely, the</w:t>
      </w:r>
      <w:r w:rsidRPr="002C5292">
        <w:t xml:space="preserve">: </w:t>
      </w:r>
    </w:p>
    <w:p w14:paraId="3E1DF8CD" w14:textId="5B22A370" w:rsidR="009D690E" w:rsidRPr="002C5292" w:rsidRDefault="00AC4496" w:rsidP="0049112C">
      <w:pPr>
        <w:pStyle w:val="DPCbullet1"/>
        <w:numPr>
          <w:ilvl w:val="0"/>
          <w:numId w:val="56"/>
        </w:numPr>
        <w:rPr>
          <w:lang w:eastAsia="en-AU"/>
        </w:rPr>
      </w:pPr>
      <w:r w:rsidRPr="002C5292">
        <w:t>Ministers</w:t>
      </w:r>
      <w:r w:rsidR="003D5A79" w:rsidRPr="002C5292">
        <w:t xml:space="preserve"> and </w:t>
      </w:r>
      <w:r w:rsidRPr="002C5292">
        <w:t>public sector bodies</w:t>
      </w:r>
      <w:r w:rsidR="00DF4858" w:rsidRPr="002C5292">
        <w:t xml:space="preserve"> (e.g. departments)</w:t>
      </w:r>
      <w:r w:rsidR="00042674" w:rsidRPr="002C5292">
        <w:t>;</w:t>
      </w:r>
    </w:p>
    <w:p w14:paraId="5AE4EA3C" w14:textId="63442E02" w:rsidR="00BA0814" w:rsidRPr="002C5292" w:rsidRDefault="00BA0814" w:rsidP="0049112C">
      <w:pPr>
        <w:pStyle w:val="DPCbullet1"/>
        <w:numPr>
          <w:ilvl w:val="0"/>
          <w:numId w:val="56"/>
        </w:numPr>
        <w:rPr>
          <w:lang w:eastAsia="en-AU"/>
        </w:rPr>
      </w:pPr>
      <w:r w:rsidRPr="002C5292">
        <w:t>Parliament (especially SARC);</w:t>
      </w:r>
      <w:r w:rsidR="0016514C" w:rsidRPr="002C5292">
        <w:t xml:space="preserve"> and</w:t>
      </w:r>
    </w:p>
    <w:p w14:paraId="1EDEAA9D" w14:textId="449A1E78" w:rsidR="009D690E" w:rsidRPr="002C5292" w:rsidRDefault="009D690E" w:rsidP="0049112C">
      <w:pPr>
        <w:pStyle w:val="DPCbullet1"/>
        <w:numPr>
          <w:ilvl w:val="0"/>
          <w:numId w:val="56"/>
        </w:numPr>
        <w:rPr>
          <w:lang w:eastAsia="en-AU"/>
        </w:rPr>
      </w:pPr>
      <w:r w:rsidRPr="002C5292">
        <w:t xml:space="preserve">general public. </w:t>
      </w:r>
    </w:p>
    <w:p w14:paraId="2F1A908D" w14:textId="77777777" w:rsidR="00165AE1" w:rsidRPr="002C5292" w:rsidRDefault="00165AE1" w:rsidP="0049112C">
      <w:pPr>
        <w:pStyle w:val="DPCbody"/>
        <w:rPr>
          <w:b/>
          <w:lang w:eastAsia="en-AU"/>
        </w:rPr>
      </w:pPr>
      <w:r w:rsidRPr="002C5292">
        <w:rPr>
          <w:b/>
          <w:lang w:eastAsia="en-AU"/>
        </w:rPr>
        <w:t>Estimated costs</w:t>
      </w:r>
    </w:p>
    <w:p w14:paraId="0815A316" w14:textId="2C372E10" w:rsidR="00D03FA0" w:rsidRPr="002C5292" w:rsidRDefault="00D03FA0" w:rsidP="00D03FA0">
      <w:pPr>
        <w:pStyle w:val="DPCbody"/>
        <w:rPr>
          <w:lang w:eastAsia="en-AU"/>
        </w:rPr>
      </w:pPr>
      <w:r w:rsidRPr="002C5292">
        <w:rPr>
          <w:lang w:eastAsia="en-AU"/>
        </w:rPr>
        <w:t>DPC considers that the costs of the proposed measure are the foregone benefits of the Base Case, which are</w:t>
      </w:r>
      <w:r w:rsidR="00CB622A" w:rsidRPr="002C5292">
        <w:rPr>
          <w:lang w:eastAsia="en-AU"/>
        </w:rPr>
        <w:t xml:space="preserve"> slightly limiting </w:t>
      </w:r>
      <w:r w:rsidR="004D2B11" w:rsidRPr="002C5292">
        <w:rPr>
          <w:lang w:eastAsia="en-AU"/>
        </w:rPr>
        <w:t>both the</w:t>
      </w:r>
      <w:r w:rsidRPr="002C5292">
        <w:rPr>
          <w:lang w:eastAsia="en-AU"/>
        </w:rPr>
        <w:t>:</w:t>
      </w:r>
    </w:p>
    <w:p w14:paraId="411E2F46" w14:textId="5121C27A" w:rsidR="00D03FA0" w:rsidRPr="002C5292" w:rsidRDefault="00D03FA0" w:rsidP="00D03FA0">
      <w:pPr>
        <w:pStyle w:val="DPCbullet1"/>
        <w:numPr>
          <w:ilvl w:val="0"/>
          <w:numId w:val="55"/>
        </w:numPr>
      </w:pPr>
      <w:r w:rsidRPr="002C5292">
        <w:t>accountability and transparency</w:t>
      </w:r>
      <w:r w:rsidR="00CB622A" w:rsidRPr="002C5292">
        <w:t xml:space="preserve"> of the public sector</w:t>
      </w:r>
      <w:r w:rsidRPr="002C5292">
        <w:t>;</w:t>
      </w:r>
      <w:r w:rsidR="004D2B11" w:rsidRPr="002C5292">
        <w:t xml:space="preserve"> and</w:t>
      </w:r>
    </w:p>
    <w:p w14:paraId="3E0877AE" w14:textId="56ED4663" w:rsidR="00D03FA0" w:rsidRPr="002C5292" w:rsidRDefault="00D03FA0" w:rsidP="00D03FA0">
      <w:pPr>
        <w:pStyle w:val="DPCbullet1"/>
        <w:numPr>
          <w:ilvl w:val="0"/>
          <w:numId w:val="55"/>
        </w:numPr>
      </w:pPr>
      <w:r w:rsidRPr="002C5292">
        <w:t xml:space="preserve">public </w:t>
      </w:r>
      <w:r w:rsidR="00471EFA" w:rsidRPr="002C5292">
        <w:t xml:space="preserve">engagement </w:t>
      </w:r>
      <w:r w:rsidRPr="002C5292">
        <w:t xml:space="preserve">in regulation processes </w:t>
      </w:r>
      <w:r w:rsidR="00471EFA" w:rsidRPr="002C5292">
        <w:t xml:space="preserve">and </w:t>
      </w:r>
      <w:r w:rsidRPr="002C5292">
        <w:t>scrutin</w:t>
      </w:r>
      <w:r w:rsidR="00471EFA" w:rsidRPr="002C5292">
        <w:t xml:space="preserve">y of </w:t>
      </w:r>
      <w:r w:rsidRPr="002C5292">
        <w:t>government policies and decisions.</w:t>
      </w:r>
    </w:p>
    <w:p w14:paraId="5F3E6248" w14:textId="77777777" w:rsidR="00165AE1" w:rsidRPr="002C5292" w:rsidRDefault="00165AE1" w:rsidP="00BC7F34">
      <w:pPr>
        <w:pStyle w:val="DPCbody"/>
        <w:rPr>
          <w:b/>
          <w:lang w:eastAsia="en-AU"/>
        </w:rPr>
      </w:pPr>
      <w:r w:rsidRPr="002C5292">
        <w:rPr>
          <w:b/>
          <w:lang w:eastAsia="en-AU"/>
        </w:rPr>
        <w:t>Benefits</w:t>
      </w:r>
    </w:p>
    <w:p w14:paraId="62054C09" w14:textId="70D64CB3" w:rsidR="00D03FA0" w:rsidRPr="002C5292" w:rsidRDefault="00D03FA0" w:rsidP="00D03FA0">
      <w:pPr>
        <w:pStyle w:val="DPCbody"/>
        <w:rPr>
          <w:lang w:eastAsia="en-AU"/>
        </w:rPr>
      </w:pPr>
      <w:r w:rsidRPr="002C5292">
        <w:rPr>
          <w:lang w:eastAsia="en-AU"/>
        </w:rPr>
        <w:t xml:space="preserve">DPC considers that the benefits of the proposed measure are the avoided costs of the Base Case. These avoided costs are the costs borne by public sector bodies in complying with the SLA. These costs have the following two elements: </w:t>
      </w:r>
    </w:p>
    <w:p w14:paraId="0042D69B" w14:textId="6CD28391" w:rsidR="00D03FA0" w:rsidRPr="002C5292" w:rsidRDefault="00D03FA0" w:rsidP="00D03FA0">
      <w:pPr>
        <w:pStyle w:val="DPCbullet2"/>
        <w:numPr>
          <w:ilvl w:val="1"/>
          <w:numId w:val="54"/>
        </w:numPr>
        <w:rPr>
          <w:lang w:eastAsia="en-AU"/>
        </w:rPr>
      </w:pPr>
      <w:r w:rsidRPr="002C5292">
        <w:rPr>
          <w:lang w:eastAsia="en-AU"/>
        </w:rPr>
        <w:t>the preparation of RIS</w:t>
      </w:r>
      <w:r w:rsidR="00471EFA" w:rsidRPr="002C5292">
        <w:rPr>
          <w:lang w:eastAsia="en-AU"/>
        </w:rPr>
        <w:t>s</w:t>
      </w:r>
      <w:r w:rsidRPr="002C5292">
        <w:rPr>
          <w:lang w:eastAsia="en-AU"/>
        </w:rPr>
        <w:t xml:space="preserve"> or exemption certificate</w:t>
      </w:r>
      <w:r w:rsidR="00471EFA" w:rsidRPr="002C5292">
        <w:rPr>
          <w:lang w:eastAsia="en-AU"/>
        </w:rPr>
        <w:t>s;</w:t>
      </w:r>
      <w:r w:rsidRPr="002C5292">
        <w:rPr>
          <w:lang w:eastAsia="en-AU"/>
        </w:rPr>
        <w:t xml:space="preserve"> and </w:t>
      </w:r>
    </w:p>
    <w:p w14:paraId="044E158E" w14:textId="77777777" w:rsidR="00F80EAD" w:rsidRPr="002C5292" w:rsidRDefault="00D03FA0" w:rsidP="00D03FA0">
      <w:pPr>
        <w:pStyle w:val="DPCbullet2"/>
        <w:numPr>
          <w:ilvl w:val="1"/>
          <w:numId w:val="54"/>
        </w:numPr>
        <w:rPr>
          <w:lang w:eastAsia="en-AU"/>
        </w:rPr>
      </w:pPr>
      <w:r w:rsidRPr="002C5292">
        <w:rPr>
          <w:lang w:eastAsia="en-AU"/>
        </w:rPr>
        <w:t xml:space="preserve">the other processes involved in making legislative instruments (such as publication, tabling and provision of the instruments to SARC). </w:t>
      </w:r>
    </w:p>
    <w:p w14:paraId="1F2FA9EA" w14:textId="447EFC90" w:rsidR="00D03FA0" w:rsidRPr="002C5292" w:rsidRDefault="00315C1D" w:rsidP="00F80EAD">
      <w:pPr>
        <w:pStyle w:val="DPCbullet2"/>
        <w:numPr>
          <w:ilvl w:val="0"/>
          <w:numId w:val="0"/>
        </w:numPr>
        <w:rPr>
          <w:lang w:eastAsia="en-AU"/>
        </w:rPr>
      </w:pPr>
      <w:r w:rsidRPr="002C5292">
        <w:rPr>
          <w:lang w:eastAsia="en-AU"/>
        </w:rPr>
        <w:t>The b</w:t>
      </w:r>
      <w:r w:rsidR="00F80EAD" w:rsidRPr="002C5292">
        <w:rPr>
          <w:lang w:eastAsia="en-AU"/>
        </w:rPr>
        <w:t xml:space="preserve">enefits of the proposed measures are the avoided costs </w:t>
      </w:r>
      <w:r w:rsidRPr="002C5292">
        <w:rPr>
          <w:lang w:eastAsia="en-AU"/>
        </w:rPr>
        <w:t>and delays of</w:t>
      </w:r>
      <w:r w:rsidR="00F80EAD" w:rsidRPr="002C5292">
        <w:rPr>
          <w:lang w:eastAsia="en-AU"/>
        </w:rPr>
        <w:t xml:space="preserve"> not complying with SLA requirements for scrutinising legislative instruments.</w:t>
      </w:r>
    </w:p>
    <w:p w14:paraId="029632EE" w14:textId="194F8D79" w:rsidR="00D03FA0" w:rsidRPr="002C5292" w:rsidRDefault="00D03FA0" w:rsidP="00D03FA0">
      <w:pPr>
        <w:pStyle w:val="DPCbody"/>
        <w:rPr>
          <w:lang w:eastAsia="en-AU"/>
        </w:rPr>
      </w:pPr>
      <w:r w:rsidRPr="002C5292">
        <w:rPr>
          <w:lang w:eastAsia="en-AU"/>
        </w:rPr>
        <w:t xml:space="preserve">There is little </w:t>
      </w:r>
      <w:r w:rsidR="00315C1D" w:rsidRPr="002C5292">
        <w:rPr>
          <w:lang w:eastAsia="en-AU"/>
        </w:rPr>
        <w:t xml:space="preserve">precise </w:t>
      </w:r>
      <w:r w:rsidR="00DF4858" w:rsidRPr="002C5292">
        <w:rPr>
          <w:lang w:eastAsia="en-AU"/>
        </w:rPr>
        <w:t xml:space="preserve">available </w:t>
      </w:r>
      <w:r w:rsidRPr="002C5292">
        <w:rPr>
          <w:lang w:eastAsia="en-AU"/>
        </w:rPr>
        <w:t xml:space="preserve">information on the cost involved in the preparation of RISs and the process to make legislative instruments. Therefore, the costs provided in this RIS are estimates only. </w:t>
      </w:r>
      <w:r w:rsidR="00B733C2" w:rsidRPr="002C5292">
        <w:rPr>
          <w:lang w:eastAsia="en-AU"/>
        </w:rPr>
        <w:t xml:space="preserve">To give an indication of these costs, </w:t>
      </w:r>
      <w:r w:rsidR="00B733C2" w:rsidRPr="002C5292">
        <w:t>DPC estimated that the Government will save about $797,000 each year in avoided administrative burden under Option 1. Due to the difficulty in estimating this figure, sensitivity analysis was conducted giving a range of about $522,000 to $2,463,000 per year. Similarly, Option 2 is expected to save the Government about $791,000 per year, with a lower bound estimate of $516,000 and an upper bound estimate of $2,433,000 per year.</w:t>
      </w:r>
    </w:p>
    <w:p w14:paraId="618B2BFE" w14:textId="1EED539C" w:rsidR="003529D1" w:rsidRPr="002C5292" w:rsidRDefault="003529D1" w:rsidP="00BC7F34">
      <w:pPr>
        <w:pStyle w:val="DPCbody"/>
      </w:pPr>
      <w:r w:rsidRPr="002C5292">
        <w:t xml:space="preserve">The </w:t>
      </w:r>
      <w:r w:rsidR="00095532" w:rsidRPr="002C5292">
        <w:t>P</w:t>
      </w:r>
      <w:r w:rsidRPr="002C5292">
        <w:t>roposed Regulations will help clarify to instrument-makers which instruments should be subject to the full requirements under the SLA, which instruments are not legislative instruments under the SLA (mostly because they are of purely administrative character), and which are exempt</w:t>
      </w:r>
      <w:r w:rsidR="004543B2" w:rsidRPr="002C5292">
        <w:t xml:space="preserve"> legislative instruments</w:t>
      </w:r>
      <w:r w:rsidRPr="002C5292">
        <w:t>.</w:t>
      </w:r>
    </w:p>
    <w:p w14:paraId="31F849D4" w14:textId="08BF0E03" w:rsidR="00D03FA0" w:rsidRPr="002C5292" w:rsidRDefault="00D03FA0" w:rsidP="00DA75A2">
      <w:pPr>
        <w:pStyle w:val="DPCbody"/>
        <w:rPr>
          <w:b/>
          <w:lang w:eastAsia="en-AU"/>
        </w:rPr>
      </w:pPr>
      <w:r w:rsidRPr="002C5292">
        <w:rPr>
          <w:b/>
          <w:lang w:eastAsia="en-AU"/>
        </w:rPr>
        <w:t>Overall assessment</w:t>
      </w:r>
    </w:p>
    <w:p w14:paraId="2C532D6F" w14:textId="5AD2BCD1" w:rsidR="00DF4858" w:rsidRPr="002C5292" w:rsidRDefault="00DF4858" w:rsidP="000F0095">
      <w:pPr>
        <w:pStyle w:val="DPCbody"/>
        <w:rPr>
          <w:lang w:eastAsia="en-AU"/>
        </w:rPr>
      </w:pPr>
      <w:r w:rsidRPr="002C5292">
        <w:rPr>
          <w:lang w:eastAsia="en-AU"/>
        </w:rPr>
        <w:t xml:space="preserve">Both Options are similar to the Current Regulations. The benefits for each Option </w:t>
      </w:r>
      <w:r w:rsidR="002F6EAE" w:rsidRPr="002C5292">
        <w:rPr>
          <w:lang w:eastAsia="en-AU"/>
        </w:rPr>
        <w:t>are</w:t>
      </w:r>
      <w:r w:rsidRPr="002C5292">
        <w:rPr>
          <w:lang w:eastAsia="en-AU"/>
        </w:rPr>
        <w:t xml:space="preserve"> to decrease for departments, agencies, Parliament and SARC the administrative burden (ministerial exemption certificate or undertake a RIS) and delays to put in place measures. However</w:t>
      </w:r>
      <w:r w:rsidR="00471EFA" w:rsidRPr="002C5292">
        <w:rPr>
          <w:lang w:eastAsia="en-AU"/>
        </w:rPr>
        <w:t xml:space="preserve">, there are costs of </w:t>
      </w:r>
      <w:r w:rsidRPr="002C5292">
        <w:rPr>
          <w:lang w:eastAsia="en-AU"/>
        </w:rPr>
        <w:t xml:space="preserve">both Options </w:t>
      </w:r>
      <w:r w:rsidR="00471EFA" w:rsidRPr="002C5292">
        <w:rPr>
          <w:lang w:eastAsia="en-AU"/>
        </w:rPr>
        <w:t xml:space="preserve">including </w:t>
      </w:r>
      <w:r w:rsidR="00F80EAD" w:rsidRPr="002C5292">
        <w:rPr>
          <w:lang w:eastAsia="en-AU"/>
        </w:rPr>
        <w:t>a</w:t>
      </w:r>
      <w:r w:rsidRPr="002C5292">
        <w:rPr>
          <w:lang w:eastAsia="en-AU"/>
        </w:rPr>
        <w:t xml:space="preserve"> loss of scrutiny, transparency and consultation from exempting legislative instruments from certain requirements in the SLA.</w:t>
      </w:r>
    </w:p>
    <w:p w14:paraId="568CE6B8" w14:textId="310A49AD" w:rsidR="00C87D54" w:rsidRPr="002C5292" w:rsidRDefault="00165AE1" w:rsidP="000F0095">
      <w:pPr>
        <w:pStyle w:val="DPCbody"/>
        <w:rPr>
          <w:lang w:eastAsia="en-AU"/>
        </w:rPr>
      </w:pPr>
      <w:r w:rsidRPr="002C5292">
        <w:rPr>
          <w:lang w:eastAsia="en-AU"/>
        </w:rPr>
        <w:t>O</w:t>
      </w:r>
      <w:r w:rsidR="003529D1" w:rsidRPr="002C5292">
        <w:rPr>
          <w:lang w:eastAsia="en-AU"/>
        </w:rPr>
        <w:t xml:space="preserve">ption </w:t>
      </w:r>
      <w:r w:rsidRPr="002C5292">
        <w:rPr>
          <w:lang w:eastAsia="en-AU"/>
        </w:rPr>
        <w:t xml:space="preserve">1 </w:t>
      </w:r>
      <w:r w:rsidR="00DF4858" w:rsidRPr="002C5292">
        <w:rPr>
          <w:lang w:eastAsia="en-AU"/>
        </w:rPr>
        <w:t xml:space="preserve">(preferred option) </w:t>
      </w:r>
      <w:r w:rsidR="003529D1" w:rsidRPr="002C5292">
        <w:rPr>
          <w:lang w:eastAsia="en-AU"/>
        </w:rPr>
        <w:t>will maximise the efficient and effective use of government resources</w:t>
      </w:r>
      <w:r w:rsidR="00471EFA" w:rsidRPr="002C5292">
        <w:rPr>
          <w:lang w:eastAsia="en-AU"/>
        </w:rPr>
        <w:t xml:space="preserve"> relative to </w:t>
      </w:r>
      <w:r w:rsidR="003529D1" w:rsidRPr="002C5292">
        <w:rPr>
          <w:lang w:eastAsia="en-AU"/>
        </w:rPr>
        <w:t>the Base Case</w:t>
      </w:r>
      <w:r w:rsidRPr="002C5292">
        <w:rPr>
          <w:lang w:eastAsia="en-AU"/>
        </w:rPr>
        <w:t>. There will be some opportunity cost savings, as the costs otherwise faced in preparing exemption certificates or undergoing a RIS and associated consultation process will not need to be funded from departmental budgets.</w:t>
      </w:r>
      <w:r w:rsidR="00DF4858" w:rsidRPr="002C5292">
        <w:rPr>
          <w:lang w:eastAsia="en-AU"/>
        </w:rPr>
        <w:t xml:space="preserve"> </w:t>
      </w:r>
      <w:r w:rsidR="003529D1" w:rsidRPr="002C5292">
        <w:rPr>
          <w:lang w:eastAsia="en-AU"/>
        </w:rPr>
        <w:t xml:space="preserve">However, there is a small risk that an exempt </w:t>
      </w:r>
      <w:r w:rsidR="004543B2" w:rsidRPr="002C5292">
        <w:rPr>
          <w:lang w:eastAsia="en-AU"/>
        </w:rPr>
        <w:t xml:space="preserve">legislative </w:t>
      </w:r>
      <w:r w:rsidR="003529D1" w:rsidRPr="002C5292">
        <w:rPr>
          <w:lang w:eastAsia="en-AU"/>
        </w:rPr>
        <w:t xml:space="preserve">instrument could, in future, be </w:t>
      </w:r>
      <w:r w:rsidR="0027105E" w:rsidRPr="002C5292">
        <w:rPr>
          <w:lang w:eastAsia="en-AU"/>
        </w:rPr>
        <w:t xml:space="preserve">made </w:t>
      </w:r>
      <w:r w:rsidR="003529D1" w:rsidRPr="002C5292">
        <w:rPr>
          <w:lang w:eastAsia="en-AU"/>
        </w:rPr>
        <w:t xml:space="preserve">in a way that imposes a significant cost or burden on a sector of the public and that the benefits of exempting the instrument do not outweigh the costs. The </w:t>
      </w:r>
      <w:r w:rsidR="00B325FF" w:rsidRPr="002C5292">
        <w:rPr>
          <w:lang w:eastAsia="en-AU"/>
        </w:rPr>
        <w:t xml:space="preserve">preparation and public </w:t>
      </w:r>
      <w:r w:rsidR="003529D1" w:rsidRPr="002C5292">
        <w:rPr>
          <w:lang w:eastAsia="en-AU"/>
        </w:rPr>
        <w:t>release of RIS</w:t>
      </w:r>
      <w:r w:rsidR="00B325FF" w:rsidRPr="002C5292">
        <w:rPr>
          <w:lang w:eastAsia="en-AU"/>
        </w:rPr>
        <w:t>s</w:t>
      </w:r>
      <w:r w:rsidR="003529D1" w:rsidRPr="002C5292">
        <w:rPr>
          <w:lang w:eastAsia="en-AU"/>
        </w:rPr>
        <w:t xml:space="preserve"> and </w:t>
      </w:r>
      <w:r w:rsidR="00B325FF" w:rsidRPr="002C5292">
        <w:rPr>
          <w:lang w:eastAsia="en-AU"/>
        </w:rPr>
        <w:t xml:space="preserve">proposed instruments helps </w:t>
      </w:r>
      <w:r w:rsidR="0027105E" w:rsidRPr="002C5292">
        <w:rPr>
          <w:lang w:eastAsia="en-AU"/>
        </w:rPr>
        <w:t xml:space="preserve">to </w:t>
      </w:r>
      <w:r w:rsidR="00B325FF" w:rsidRPr="002C5292">
        <w:rPr>
          <w:lang w:eastAsia="en-AU"/>
        </w:rPr>
        <w:t>reduce</w:t>
      </w:r>
      <w:r w:rsidR="0027105E" w:rsidRPr="002C5292">
        <w:rPr>
          <w:lang w:eastAsia="en-AU"/>
        </w:rPr>
        <w:t xml:space="preserve"> the</w:t>
      </w:r>
      <w:r w:rsidR="00B325FF" w:rsidRPr="002C5292">
        <w:rPr>
          <w:lang w:eastAsia="en-AU"/>
        </w:rPr>
        <w:t xml:space="preserve"> </w:t>
      </w:r>
      <w:r w:rsidR="004E40ED" w:rsidRPr="002C5292">
        <w:rPr>
          <w:lang w:eastAsia="en-AU"/>
        </w:rPr>
        <w:t xml:space="preserve">burden of proposals. </w:t>
      </w:r>
    </w:p>
    <w:p w14:paraId="5CC44770" w14:textId="77777777" w:rsidR="003529D1" w:rsidRPr="002C5292" w:rsidRDefault="003529D1" w:rsidP="00C934BF">
      <w:pPr>
        <w:pStyle w:val="Heading2"/>
      </w:pPr>
      <w:bookmarkStart w:id="24" w:name="_Toc70082349"/>
      <w:r w:rsidRPr="002C5292">
        <w:t>Why other means of achieving the objectives are not appropriate</w:t>
      </w:r>
      <w:bookmarkEnd w:id="24"/>
    </w:p>
    <w:p w14:paraId="23095010" w14:textId="1E5DBFEF" w:rsidR="005E3BBF" w:rsidRPr="002C5292" w:rsidRDefault="003529D1" w:rsidP="000F0095">
      <w:pPr>
        <w:pStyle w:val="DPCbody"/>
        <w:rPr>
          <w:lang w:eastAsia="en-AU"/>
        </w:rPr>
      </w:pPr>
      <w:r w:rsidRPr="002C5292">
        <w:rPr>
          <w:lang w:eastAsia="en-AU"/>
        </w:rPr>
        <w:t xml:space="preserve">While many legislative instruments could be exempted </w:t>
      </w:r>
      <w:r w:rsidR="006E7A1B" w:rsidRPr="002C5292">
        <w:rPr>
          <w:lang w:eastAsia="en-AU"/>
        </w:rPr>
        <w:t xml:space="preserve">on a case-by-case basis </w:t>
      </w:r>
      <w:r w:rsidRPr="002C5292">
        <w:rPr>
          <w:lang w:eastAsia="en-AU"/>
        </w:rPr>
        <w:t xml:space="preserve">without the </w:t>
      </w:r>
      <w:r w:rsidR="00095532" w:rsidRPr="002C5292">
        <w:rPr>
          <w:lang w:eastAsia="en-AU"/>
        </w:rPr>
        <w:t>Proposed Regulations</w:t>
      </w:r>
      <w:r w:rsidRPr="002C5292">
        <w:rPr>
          <w:lang w:eastAsia="en-AU"/>
        </w:rPr>
        <w:t xml:space="preserve">, there would be a cost in doing so. </w:t>
      </w:r>
    </w:p>
    <w:p w14:paraId="70F57F82" w14:textId="118E4F58" w:rsidR="003529D1" w:rsidRPr="002C5292" w:rsidRDefault="003529D1" w:rsidP="000F0095">
      <w:pPr>
        <w:pStyle w:val="DPCbody"/>
        <w:rPr>
          <w:lang w:eastAsia="en-AU"/>
        </w:rPr>
      </w:pPr>
      <w:r w:rsidRPr="002C5292">
        <w:rPr>
          <w:lang w:eastAsia="en-AU"/>
        </w:rPr>
        <w:t>Departments</w:t>
      </w:r>
      <w:r w:rsidR="00FB6576" w:rsidRPr="002C5292">
        <w:rPr>
          <w:lang w:eastAsia="en-AU"/>
        </w:rPr>
        <w:t xml:space="preserve"> and agencies</w:t>
      </w:r>
      <w:r w:rsidRPr="002C5292">
        <w:rPr>
          <w:lang w:eastAsia="en-AU"/>
        </w:rPr>
        <w:t xml:space="preserve"> would have to allocate government resources to seek an exemption certificate from the responsible Minister each time an instrument is made. Other legislative instruments are proposed for exemption based on a broad ‘public interest’ criterion, which has been applied where the costs of undertaking a formal RIS and the associated consultation process are likely to exceed the benefits of doing so. </w:t>
      </w:r>
    </w:p>
    <w:p w14:paraId="1B86ADD3" w14:textId="1D91A863" w:rsidR="00E87980" w:rsidRPr="002C5292" w:rsidRDefault="00DA75A2" w:rsidP="000F0095">
      <w:pPr>
        <w:pStyle w:val="DPCbody"/>
        <w:rPr>
          <w:lang w:eastAsia="en-AU"/>
        </w:rPr>
      </w:pPr>
      <w:r w:rsidRPr="002C5292">
        <w:rPr>
          <w:lang w:eastAsia="en-AU"/>
        </w:rPr>
        <w:t xml:space="preserve">A non-regulatory option is not applicable. As discussed in the introduction the </w:t>
      </w:r>
      <w:r w:rsidR="00A83AA5" w:rsidRPr="002C5292">
        <w:rPr>
          <w:lang w:eastAsia="en-AU"/>
        </w:rPr>
        <w:t>desired</w:t>
      </w:r>
      <w:r w:rsidRPr="002C5292">
        <w:rPr>
          <w:lang w:eastAsia="en-AU"/>
        </w:rPr>
        <w:t xml:space="preserve"> objective</w:t>
      </w:r>
      <w:r w:rsidR="00A83AA5" w:rsidRPr="002C5292">
        <w:rPr>
          <w:lang w:eastAsia="en-AU"/>
        </w:rPr>
        <w:t>s</w:t>
      </w:r>
      <w:r w:rsidRPr="002C5292">
        <w:rPr>
          <w:lang w:eastAsia="en-AU"/>
        </w:rPr>
        <w:t xml:space="preserve"> of the Proposed Regulations relate to the increased efficiencies for agencies in making legislative instruments</w:t>
      </w:r>
      <w:r w:rsidR="00A83AA5" w:rsidRPr="002C5292">
        <w:rPr>
          <w:lang w:eastAsia="en-AU"/>
        </w:rPr>
        <w:t xml:space="preserve"> without unnecessary delay and an appropriate level of scrutiny</w:t>
      </w:r>
      <w:r w:rsidR="00315C1D" w:rsidRPr="002C5292">
        <w:rPr>
          <w:lang w:eastAsia="en-AU"/>
        </w:rPr>
        <w:t>, and it is impossible to achieve these objectives without making Regulations</w:t>
      </w:r>
      <w:r w:rsidRPr="002C5292">
        <w:rPr>
          <w:lang w:eastAsia="en-AU"/>
        </w:rPr>
        <w:t xml:space="preserve">.  </w:t>
      </w:r>
    </w:p>
    <w:p w14:paraId="152986AE" w14:textId="15D35D83" w:rsidR="003529D1" w:rsidRPr="002C5292" w:rsidRDefault="00095532" w:rsidP="00C934BF">
      <w:pPr>
        <w:pStyle w:val="Heading2"/>
      </w:pPr>
      <w:bookmarkStart w:id="25" w:name="_Toc70082350"/>
      <w:r w:rsidRPr="002C5292">
        <w:t>Implementation</w:t>
      </w:r>
      <w:r w:rsidR="003529D1" w:rsidRPr="002C5292">
        <w:t xml:space="preserve"> and Evaluation</w:t>
      </w:r>
      <w:bookmarkEnd w:id="25"/>
    </w:p>
    <w:p w14:paraId="79FC4B73" w14:textId="5CDC16B8" w:rsidR="00D82017" w:rsidRPr="002C5292" w:rsidRDefault="003529D1" w:rsidP="000F0095">
      <w:pPr>
        <w:pStyle w:val="DPCbody"/>
        <w:rPr>
          <w:lang w:eastAsia="en-AU"/>
        </w:rPr>
      </w:pPr>
      <w:r w:rsidRPr="002C5292">
        <w:rPr>
          <w:lang w:eastAsia="en-AU"/>
        </w:rPr>
        <w:t xml:space="preserve">Compliance issues are expected to be minimal, given that the </w:t>
      </w:r>
      <w:r w:rsidR="00095532" w:rsidRPr="002C5292">
        <w:rPr>
          <w:lang w:eastAsia="en-AU"/>
        </w:rPr>
        <w:t>Proposed Regulations</w:t>
      </w:r>
      <w:r w:rsidRPr="002C5292">
        <w:rPr>
          <w:lang w:eastAsia="en-AU"/>
        </w:rPr>
        <w:t xml:space="preserve"> will exempt a large number of legislative instruments from</w:t>
      </w:r>
      <w:r w:rsidR="00E25FD5" w:rsidRPr="002C5292">
        <w:rPr>
          <w:lang w:eastAsia="en-AU"/>
        </w:rPr>
        <w:t xml:space="preserve"> certain</w:t>
      </w:r>
      <w:r w:rsidRPr="002C5292">
        <w:rPr>
          <w:lang w:eastAsia="en-AU"/>
        </w:rPr>
        <w:t xml:space="preserve"> requirements of the SLA. Where the requirements continue to apply, Ministers will have responsibility for instruments made within their portfolios and SARC will have responsibility for reviewing legislative instruments. As part of its responsibility, SARC will ensure that legislative instruments do not exceed the power conferred by an Act, do not unduly trespass on rights and freedoms, and that the requirements of the SLA have been met.</w:t>
      </w:r>
    </w:p>
    <w:p w14:paraId="42ACE8CE" w14:textId="3197B533" w:rsidR="007D7303" w:rsidRPr="002C5292" w:rsidRDefault="007D7303" w:rsidP="000F0095">
      <w:pPr>
        <w:pStyle w:val="DPCbody"/>
        <w:rPr>
          <w:lang w:eastAsia="en-AU"/>
        </w:rPr>
      </w:pPr>
      <w:r w:rsidRPr="002C5292">
        <w:rPr>
          <w:lang w:eastAsia="en-AU"/>
        </w:rPr>
        <w:t>T</w:t>
      </w:r>
      <w:r w:rsidR="003529D1" w:rsidRPr="002C5292">
        <w:rPr>
          <w:lang w:eastAsia="en-AU"/>
        </w:rPr>
        <w:t>he Commissioner for Better Regulation</w:t>
      </w:r>
      <w:r w:rsidR="006E629E" w:rsidRPr="002C5292">
        <w:rPr>
          <w:lang w:eastAsia="en-AU"/>
        </w:rPr>
        <w:t xml:space="preserve"> </w:t>
      </w:r>
      <w:r w:rsidR="00F37B1D" w:rsidRPr="002C5292">
        <w:rPr>
          <w:lang w:eastAsia="en-AU"/>
        </w:rPr>
        <w:t xml:space="preserve">(CBR) </w:t>
      </w:r>
      <w:r w:rsidRPr="002C5292">
        <w:rPr>
          <w:lang w:eastAsia="en-AU"/>
        </w:rPr>
        <w:t xml:space="preserve">has advised DPC that it considers the Current Regulations to be essential and useful to Victoria’s regulatory system, as they support the 2011 amendments to the SLA </w:t>
      </w:r>
      <w:r w:rsidR="00436BDF" w:rsidRPr="002C5292">
        <w:rPr>
          <w:lang w:eastAsia="en-AU"/>
        </w:rPr>
        <w:t xml:space="preserve">which </w:t>
      </w:r>
      <w:r w:rsidRPr="002C5292">
        <w:rPr>
          <w:lang w:eastAsia="en-AU"/>
        </w:rPr>
        <w:t>increased the scrutiny applied to legislative instruments. This increased scrutiny includes broader consultation, preparation of a RIS, gazettal, and submission to SARC for review. The CBR advises that, overall, departments and agencies (plus SARC) agree there are benefits to the current scheme.</w:t>
      </w:r>
      <w:r w:rsidRPr="002C5292" w:rsidDel="007D7303">
        <w:rPr>
          <w:lang w:eastAsia="en-AU"/>
        </w:rPr>
        <w:t xml:space="preserve"> </w:t>
      </w:r>
    </w:p>
    <w:p w14:paraId="3DF30448" w14:textId="6020E805" w:rsidR="00D82017" w:rsidRPr="002C5292" w:rsidRDefault="00D82017" w:rsidP="000F0095">
      <w:pPr>
        <w:pStyle w:val="DPCbody"/>
        <w:rPr>
          <w:lang w:eastAsia="en-AU"/>
        </w:rPr>
      </w:pPr>
      <w:r w:rsidRPr="002C5292">
        <w:rPr>
          <w:lang w:eastAsia="en-AU"/>
        </w:rPr>
        <w:t>Implementation is likely to be relatively straight forward given the Proposed Regulations are similar to the Current Regulations. DPC’s process for reviewing and updating the Proposed Regulations will continue.</w:t>
      </w:r>
    </w:p>
    <w:p w14:paraId="477AC767" w14:textId="53E61CFD" w:rsidR="003529D1" w:rsidRPr="002C5292" w:rsidRDefault="003529D1" w:rsidP="000F0095">
      <w:pPr>
        <w:pStyle w:val="DPCbody"/>
        <w:rPr>
          <w:lang w:eastAsia="en-AU"/>
        </w:rPr>
      </w:pPr>
      <w:r w:rsidRPr="002C5292">
        <w:rPr>
          <w:lang w:eastAsia="en-AU"/>
        </w:rPr>
        <w:t xml:space="preserve">The </w:t>
      </w:r>
      <w:r w:rsidR="00095532" w:rsidRPr="002C5292">
        <w:rPr>
          <w:lang w:eastAsia="en-AU"/>
        </w:rPr>
        <w:t>Proposed Regulations</w:t>
      </w:r>
      <w:r w:rsidRPr="002C5292">
        <w:rPr>
          <w:lang w:eastAsia="en-AU"/>
        </w:rPr>
        <w:t xml:space="preserve"> will sunset in 10 years, as per the requirements of the SLA. In addition, as a result of </w:t>
      </w:r>
      <w:r w:rsidR="007D7303" w:rsidRPr="002C5292">
        <w:rPr>
          <w:lang w:eastAsia="en-AU"/>
        </w:rPr>
        <w:t xml:space="preserve">the </w:t>
      </w:r>
      <w:r w:rsidRPr="002C5292">
        <w:rPr>
          <w:lang w:eastAsia="en-AU"/>
        </w:rPr>
        <w:t xml:space="preserve">ongoing monitoring and evaluation </w:t>
      </w:r>
      <w:r w:rsidR="007D7303" w:rsidRPr="002C5292">
        <w:rPr>
          <w:lang w:eastAsia="en-AU"/>
        </w:rPr>
        <w:t>of the Current Regulations made by DPC</w:t>
      </w:r>
      <w:r w:rsidRPr="002C5292">
        <w:rPr>
          <w:lang w:eastAsia="en-AU"/>
        </w:rPr>
        <w:t xml:space="preserve">, it may become apparent that the </w:t>
      </w:r>
      <w:r w:rsidR="007D7303" w:rsidRPr="002C5292">
        <w:rPr>
          <w:lang w:eastAsia="en-AU"/>
        </w:rPr>
        <w:t xml:space="preserve">Proposed </w:t>
      </w:r>
      <w:r w:rsidRPr="002C5292">
        <w:rPr>
          <w:lang w:eastAsia="en-AU"/>
        </w:rPr>
        <w:t>Regulations should be amended</w:t>
      </w:r>
      <w:r w:rsidR="007D7303" w:rsidRPr="002C5292">
        <w:rPr>
          <w:lang w:eastAsia="en-AU"/>
        </w:rPr>
        <w:t xml:space="preserve"> on ad</w:t>
      </w:r>
      <w:r w:rsidR="001D2767" w:rsidRPr="002C5292">
        <w:rPr>
          <w:lang w:eastAsia="en-AU"/>
        </w:rPr>
        <w:t>-</w:t>
      </w:r>
      <w:r w:rsidR="007D7303" w:rsidRPr="002C5292">
        <w:rPr>
          <w:lang w:eastAsia="en-AU"/>
        </w:rPr>
        <w:t>hoc basis</w:t>
      </w:r>
      <w:r w:rsidRPr="002C5292">
        <w:rPr>
          <w:lang w:eastAsia="en-AU"/>
        </w:rPr>
        <w:t xml:space="preserve">, to ensure </w:t>
      </w:r>
      <w:r w:rsidR="007D7303" w:rsidRPr="002C5292">
        <w:rPr>
          <w:lang w:eastAsia="en-AU"/>
        </w:rPr>
        <w:t xml:space="preserve">that </w:t>
      </w:r>
      <w:r w:rsidRPr="002C5292">
        <w:rPr>
          <w:lang w:eastAsia="en-AU"/>
        </w:rPr>
        <w:t>new provisions in future Acts or amendments are captured appropriately and to remove any obsolete instruments or reassess instruments where their nature or use may have changed.</w:t>
      </w:r>
      <w:r w:rsidR="008A076E" w:rsidRPr="002C5292">
        <w:rPr>
          <w:lang w:eastAsia="en-AU"/>
        </w:rPr>
        <w:t xml:space="preserve"> DPC </w:t>
      </w:r>
      <w:r w:rsidR="004536DB" w:rsidRPr="002C5292">
        <w:rPr>
          <w:lang w:eastAsia="en-AU"/>
        </w:rPr>
        <w:t xml:space="preserve">proposes that the Proposed Regulations be </w:t>
      </w:r>
      <w:r w:rsidR="007D7303" w:rsidRPr="002C5292">
        <w:rPr>
          <w:lang w:eastAsia="en-AU"/>
        </w:rPr>
        <w:t xml:space="preserve">reviewed and </w:t>
      </w:r>
      <w:r w:rsidR="004536DB" w:rsidRPr="002C5292">
        <w:rPr>
          <w:lang w:eastAsia="en-AU"/>
        </w:rPr>
        <w:t>evaluated annually.</w:t>
      </w:r>
    </w:p>
    <w:p w14:paraId="4C4098C1" w14:textId="5D24C6EF" w:rsidR="003529D1" w:rsidRPr="002C5292" w:rsidRDefault="003529D1" w:rsidP="0067245A">
      <w:pPr>
        <w:pStyle w:val="Heading2"/>
      </w:pPr>
      <w:bookmarkStart w:id="26" w:name="_Toc70082351"/>
      <w:r w:rsidRPr="002C5292">
        <w:t>Consultation</w:t>
      </w:r>
      <w:bookmarkEnd w:id="26"/>
    </w:p>
    <w:p w14:paraId="6530F1E3" w14:textId="01D753E8" w:rsidR="003529D1" w:rsidRPr="002C5292" w:rsidRDefault="002C29C3" w:rsidP="000F0095">
      <w:pPr>
        <w:pStyle w:val="DPCbody"/>
        <w:rPr>
          <w:lang w:eastAsia="en-AU"/>
        </w:rPr>
      </w:pPr>
      <w:r w:rsidRPr="002C5292">
        <w:t>DPC</w:t>
      </w:r>
      <w:r w:rsidR="003529D1" w:rsidRPr="002C5292">
        <w:t xml:space="preserve"> consulted with the other departments responsible for administering</w:t>
      </w:r>
      <w:r w:rsidR="006E629E" w:rsidRPr="002C5292">
        <w:t xml:space="preserve"> </w:t>
      </w:r>
      <w:r w:rsidR="003529D1" w:rsidRPr="002C5292">
        <w:t xml:space="preserve">Acts </w:t>
      </w:r>
      <w:r w:rsidR="00F12912" w:rsidRPr="002C5292">
        <w:t xml:space="preserve">under which </w:t>
      </w:r>
      <w:r w:rsidR="003529D1" w:rsidRPr="002C5292">
        <w:t>legislative instruments</w:t>
      </w:r>
      <w:r w:rsidR="006E629E" w:rsidRPr="002C5292">
        <w:t xml:space="preserve"> </w:t>
      </w:r>
      <w:r w:rsidR="00F12912" w:rsidRPr="002C5292">
        <w:t xml:space="preserve">are </w:t>
      </w:r>
      <w:r w:rsidR="006E629E" w:rsidRPr="002C5292">
        <w:t xml:space="preserve">proposed to be included in the </w:t>
      </w:r>
      <w:r w:rsidR="00095532" w:rsidRPr="002C5292">
        <w:t>Proposed Regulations</w:t>
      </w:r>
      <w:r w:rsidR="003529D1" w:rsidRPr="002C5292">
        <w:t>. This consultation has resulted in the list of</w:t>
      </w:r>
      <w:r w:rsidR="00C31EC8" w:rsidRPr="002C5292">
        <w:t xml:space="preserve"> provisions as</w:t>
      </w:r>
      <w:r w:rsidR="003529D1" w:rsidRPr="002C5292">
        <w:t xml:space="preserve"> exempt </w:t>
      </w:r>
      <w:r w:rsidR="004543B2" w:rsidRPr="002C5292">
        <w:t xml:space="preserve">legislative </w:t>
      </w:r>
      <w:r w:rsidR="003529D1" w:rsidRPr="002C5292">
        <w:t>instruments</w:t>
      </w:r>
      <w:r w:rsidR="006E629E" w:rsidRPr="002C5292">
        <w:t xml:space="preserve"> at Attachment C</w:t>
      </w:r>
      <w:r w:rsidR="003529D1" w:rsidRPr="002C5292">
        <w:t>.</w:t>
      </w:r>
    </w:p>
    <w:p w14:paraId="578C7D0E" w14:textId="3CBAAE0B" w:rsidR="003529D1" w:rsidRPr="002C5292" w:rsidRDefault="003529D1" w:rsidP="000F0095">
      <w:pPr>
        <w:pStyle w:val="DPCbody"/>
        <w:rPr>
          <w:lang w:eastAsia="en-AU"/>
        </w:rPr>
      </w:pPr>
      <w:r w:rsidRPr="002C5292">
        <w:t xml:space="preserve">This RIS provides a further opportunity for consultation on the </w:t>
      </w:r>
      <w:r w:rsidR="00095532" w:rsidRPr="002C5292">
        <w:t>Proposed Regulations</w:t>
      </w:r>
      <w:r w:rsidRPr="002C5292">
        <w:t xml:space="preserve">. Public comments and submissions are invited on the </w:t>
      </w:r>
      <w:r w:rsidR="00095532" w:rsidRPr="002C5292">
        <w:t>Proposed Regulations</w:t>
      </w:r>
      <w:r w:rsidRPr="002C5292">
        <w:t>, in response to information provided in this RIS.</w:t>
      </w:r>
    </w:p>
    <w:p w14:paraId="538D6B67" w14:textId="77777777" w:rsidR="00755326" w:rsidRPr="002C5292" w:rsidRDefault="00CE6C73" w:rsidP="00755326">
      <w:pPr>
        <w:pStyle w:val="Heading1"/>
        <w:numPr>
          <w:ilvl w:val="0"/>
          <w:numId w:val="46"/>
        </w:numPr>
        <w:ind w:left="720"/>
      </w:pPr>
      <w:r w:rsidRPr="002C5292">
        <w:br w:type="column"/>
      </w:r>
      <w:bookmarkStart w:id="27" w:name="_Toc69322353"/>
      <w:bookmarkStart w:id="28" w:name="_Toc70082352"/>
      <w:r w:rsidR="00755326" w:rsidRPr="002C5292">
        <w:t>Introduction</w:t>
      </w:r>
      <w:bookmarkEnd w:id="27"/>
      <w:bookmarkEnd w:id="28"/>
    </w:p>
    <w:p w14:paraId="60D95C7E" w14:textId="5168942E" w:rsidR="00032D26" w:rsidRPr="002C5292" w:rsidRDefault="00CE6C73" w:rsidP="00BC7F34">
      <w:pPr>
        <w:pStyle w:val="DPCbody"/>
      </w:pPr>
      <w:r w:rsidRPr="002C5292">
        <w:t xml:space="preserve">The </w:t>
      </w:r>
      <w:r w:rsidR="003529D1" w:rsidRPr="002C5292">
        <w:t>Subordinate Legislation (Legislative Instruments) Regulations 2021</w:t>
      </w:r>
      <w:r w:rsidRPr="002C5292">
        <w:t xml:space="preserve"> </w:t>
      </w:r>
      <w:r w:rsidR="00683F80" w:rsidRPr="002C5292">
        <w:t xml:space="preserve">(Proposed Regulations) </w:t>
      </w:r>
      <w:r w:rsidR="00DE2645" w:rsidRPr="002C5292">
        <w:t>are proposed to</w:t>
      </w:r>
      <w:r w:rsidR="00683F80" w:rsidRPr="002C5292">
        <w:t xml:space="preserve"> be </w:t>
      </w:r>
      <w:r w:rsidRPr="002C5292">
        <w:t xml:space="preserve">the principal regulations made under the </w:t>
      </w:r>
      <w:r w:rsidR="003529D1" w:rsidRPr="002C5292">
        <w:rPr>
          <w:b/>
        </w:rPr>
        <w:t>Subordinate Legislation Act 1994</w:t>
      </w:r>
      <w:r w:rsidRPr="002C5292">
        <w:t xml:space="preserve"> (</w:t>
      </w:r>
      <w:r w:rsidR="003529D1" w:rsidRPr="002C5292">
        <w:t>SLA</w:t>
      </w:r>
      <w:r w:rsidRPr="002C5292">
        <w:t>).</w:t>
      </w:r>
      <w:r w:rsidR="001604A5" w:rsidRPr="002C5292">
        <w:t xml:space="preserve"> </w:t>
      </w:r>
      <w:r w:rsidR="00E954F7" w:rsidRPr="002C5292">
        <w:t xml:space="preserve">The </w:t>
      </w:r>
      <w:r w:rsidR="00095532" w:rsidRPr="002C5292">
        <w:t>Proposed Regulations</w:t>
      </w:r>
      <w:r w:rsidRPr="002C5292">
        <w:t xml:space="preserve"> are intended to replace the </w:t>
      </w:r>
      <w:r w:rsidR="003529D1" w:rsidRPr="002C5292">
        <w:t>Subordinate Legislation (Legislative Instruments) Regulations 2011</w:t>
      </w:r>
      <w:r w:rsidRPr="002C5292">
        <w:t>, wh</w:t>
      </w:r>
      <w:r w:rsidR="00B07D54" w:rsidRPr="002C5292">
        <w:t xml:space="preserve">ich sunset on </w:t>
      </w:r>
      <w:r w:rsidR="004536DB" w:rsidRPr="002C5292">
        <w:t>28 </w:t>
      </w:r>
      <w:r w:rsidR="003529D1" w:rsidRPr="002C5292">
        <w:t>June 2021</w:t>
      </w:r>
      <w:r w:rsidR="00B07D54" w:rsidRPr="002C5292">
        <w:t xml:space="preserve">. </w:t>
      </w:r>
    </w:p>
    <w:p w14:paraId="0DBE2BF6" w14:textId="0B9E98E2" w:rsidR="00CE6C73" w:rsidRPr="002C5292" w:rsidRDefault="00336792" w:rsidP="00C934BF">
      <w:pPr>
        <w:pStyle w:val="DPCbody"/>
      </w:pPr>
      <w:r w:rsidRPr="002C5292">
        <w:t xml:space="preserve">Section 5 of the </w:t>
      </w:r>
      <w:r w:rsidRPr="002C5292">
        <w:rPr>
          <w:bCs/>
        </w:rPr>
        <w:t>SLA</w:t>
      </w:r>
      <w:r w:rsidR="00CE6C73" w:rsidRPr="002C5292">
        <w:t xml:space="preserve"> requires that all statutory rules made in Victoria expire ten years after coming into force (with some limited exceptions</w:t>
      </w:r>
      <w:r w:rsidR="006E629E" w:rsidRPr="002C5292">
        <w:t>) unless</w:t>
      </w:r>
      <w:r w:rsidR="00CE6C73" w:rsidRPr="002C5292">
        <w:t xml:space="preserve"> they are revoked at an earlier date. This is to ensure that regulations are regularly reviewed and that any unnecessary regulations are automatically revoked.</w:t>
      </w:r>
    </w:p>
    <w:p w14:paraId="53A93C35" w14:textId="77777777" w:rsidR="00901190" w:rsidRPr="002C5292" w:rsidRDefault="003529D1" w:rsidP="00C934BF">
      <w:pPr>
        <w:pStyle w:val="DPCbody"/>
      </w:pPr>
      <w:r w:rsidRPr="002C5292">
        <w:t>Under section 4A of the SLA, the Governor in Council, on recommendation from the Minister, may make regulations to prescribe</w:t>
      </w:r>
      <w:r w:rsidR="00901190" w:rsidRPr="002C5292">
        <w:t>:</w:t>
      </w:r>
    </w:p>
    <w:p w14:paraId="1E778DCE" w14:textId="77777777" w:rsidR="00901190" w:rsidRPr="002C5292" w:rsidRDefault="00901190" w:rsidP="000C4A15">
      <w:pPr>
        <w:pStyle w:val="DPCbodytext"/>
        <w:numPr>
          <w:ilvl w:val="0"/>
          <w:numId w:val="98"/>
        </w:numPr>
      </w:pPr>
      <w:r w:rsidRPr="002C5292">
        <w:t xml:space="preserve">a non-exhaustive list of legislative instruments (which are legislative instruments for the purposes of the SLA); </w:t>
      </w:r>
    </w:p>
    <w:p w14:paraId="6B87D56D" w14:textId="5BAB3207" w:rsidR="00901190" w:rsidRPr="002C5292" w:rsidRDefault="00901190" w:rsidP="000C4A15">
      <w:pPr>
        <w:pStyle w:val="DPCbodytext"/>
        <w:numPr>
          <w:ilvl w:val="0"/>
          <w:numId w:val="98"/>
        </w:numPr>
      </w:pPr>
      <w:r w:rsidRPr="002C5292">
        <w:t>a non-exhaustive list of instruments that are not legislative instruments subject to the requirements of the SLA (mostly instruments of purely administrative character);</w:t>
      </w:r>
      <w:r w:rsidR="0036521E" w:rsidRPr="002C5292">
        <w:t xml:space="preserve"> </w:t>
      </w:r>
      <w:r w:rsidRPr="002C5292">
        <w:t>and</w:t>
      </w:r>
    </w:p>
    <w:p w14:paraId="55139C46" w14:textId="24BB2E34" w:rsidR="00901190" w:rsidRPr="002C5292" w:rsidRDefault="00901190" w:rsidP="000C4A15">
      <w:pPr>
        <w:pStyle w:val="DPCbodytext"/>
        <w:numPr>
          <w:ilvl w:val="0"/>
          <w:numId w:val="98"/>
        </w:numPr>
      </w:pPr>
      <w:r w:rsidRPr="002C5292">
        <w:t xml:space="preserve">a list of legislative instruments that are exempt from </w:t>
      </w:r>
      <w:r w:rsidR="004543B2" w:rsidRPr="002C5292">
        <w:t xml:space="preserve">certain </w:t>
      </w:r>
      <w:r w:rsidRPr="002C5292">
        <w:t>requirements of the SLA.</w:t>
      </w:r>
    </w:p>
    <w:p w14:paraId="6C5F1600" w14:textId="77777777" w:rsidR="003529D1" w:rsidRPr="002C5292" w:rsidRDefault="003529D1" w:rsidP="00BC7F34">
      <w:pPr>
        <w:pStyle w:val="DPCbody"/>
      </w:pPr>
      <w:r w:rsidRPr="002C5292">
        <w:t>Unless a legislative instrument is granted a case-by-case exemption under section 12F or 12G of the SLA, the responsible Minister must:</w:t>
      </w:r>
    </w:p>
    <w:p w14:paraId="16DBDF69" w14:textId="77777777" w:rsidR="003529D1" w:rsidRPr="002C5292" w:rsidRDefault="003529D1" w:rsidP="000C4A15">
      <w:pPr>
        <w:pStyle w:val="DPCbodytext"/>
        <w:numPr>
          <w:ilvl w:val="0"/>
          <w:numId w:val="108"/>
        </w:numPr>
      </w:pPr>
      <w:r w:rsidRPr="002C5292">
        <w:t>prepare a RIS for any proposed legislative instruments (sections 12E and 12H of the SLA);</w:t>
      </w:r>
    </w:p>
    <w:p w14:paraId="0C1677B8" w14:textId="77777777" w:rsidR="003529D1" w:rsidRPr="002C5292" w:rsidRDefault="003529D1" w:rsidP="000C4A15">
      <w:pPr>
        <w:pStyle w:val="DPCbodytext"/>
        <w:numPr>
          <w:ilvl w:val="0"/>
          <w:numId w:val="108"/>
        </w:numPr>
      </w:pPr>
      <w:r w:rsidRPr="002C5292">
        <w:t>ensure consultation in accordance with any SLA Guidelines (“Guidelines”) (section 12C);</w:t>
      </w:r>
    </w:p>
    <w:p w14:paraId="54FB86A3" w14:textId="77777777" w:rsidR="003529D1" w:rsidRPr="002C5292" w:rsidRDefault="003529D1" w:rsidP="000C4A15">
      <w:pPr>
        <w:pStyle w:val="DPCbodytext"/>
        <w:numPr>
          <w:ilvl w:val="0"/>
          <w:numId w:val="108"/>
        </w:numPr>
      </w:pPr>
      <w:r w:rsidRPr="002C5292">
        <w:t>ensure that all comments and submissions are considered before the legislative instrument is made (section 12I);</w:t>
      </w:r>
    </w:p>
    <w:p w14:paraId="50690F47" w14:textId="77777777" w:rsidR="003529D1" w:rsidRPr="002C5292" w:rsidRDefault="003529D1" w:rsidP="000C4A15">
      <w:pPr>
        <w:pStyle w:val="DPCbodytext"/>
        <w:numPr>
          <w:ilvl w:val="0"/>
          <w:numId w:val="108"/>
        </w:numPr>
      </w:pPr>
      <w:r w:rsidRPr="002C5292">
        <w:t>prepare a human rights certificate in respect of proposed legislative instruments (section 12D);</w:t>
      </w:r>
    </w:p>
    <w:p w14:paraId="697BFE7E" w14:textId="77777777" w:rsidR="003529D1" w:rsidRPr="002C5292" w:rsidRDefault="003529D1" w:rsidP="000C4A15">
      <w:pPr>
        <w:pStyle w:val="DPCbodytext"/>
        <w:numPr>
          <w:ilvl w:val="0"/>
          <w:numId w:val="108"/>
        </w:numPr>
      </w:pPr>
      <w:r w:rsidRPr="002C5292">
        <w:t>publish any new legislative instruments in the Victoria Government Gazette (section 16A);</w:t>
      </w:r>
    </w:p>
    <w:p w14:paraId="54DF1099" w14:textId="77777777" w:rsidR="003529D1" w:rsidRPr="002C5292" w:rsidRDefault="003529D1" w:rsidP="000C4A15">
      <w:pPr>
        <w:pStyle w:val="DPCbodytext"/>
        <w:numPr>
          <w:ilvl w:val="0"/>
          <w:numId w:val="108"/>
        </w:numPr>
      </w:pPr>
      <w:r w:rsidRPr="002C5292">
        <w:t>lay all legislative instruments and related documents before Parliament (section 16B); and</w:t>
      </w:r>
    </w:p>
    <w:p w14:paraId="0C8C9BD8" w14:textId="0BAABB32" w:rsidR="003529D1" w:rsidRPr="002C5292" w:rsidRDefault="003529D1" w:rsidP="000C4A15">
      <w:pPr>
        <w:pStyle w:val="DPCbodytext"/>
        <w:numPr>
          <w:ilvl w:val="0"/>
          <w:numId w:val="108"/>
        </w:numPr>
      </w:pPr>
      <w:r w:rsidRPr="002C5292">
        <w:t>submit all legislative instruments and related documents to the Scrutiny of Acts and Regulations Committee (SARC) (section 16C).</w:t>
      </w:r>
    </w:p>
    <w:p w14:paraId="2FDC12DB" w14:textId="00311DD8" w:rsidR="005C7DF2" w:rsidRPr="002C5292" w:rsidRDefault="005C7DF2" w:rsidP="00BC7F34">
      <w:pPr>
        <w:pStyle w:val="DPCbody"/>
      </w:pPr>
      <w:r w:rsidRPr="002C5292">
        <w:t xml:space="preserve">A case-by-case exemption </w:t>
      </w:r>
      <w:r w:rsidR="0016543C" w:rsidRPr="002C5292">
        <w:t>under the SLA involves the r</w:t>
      </w:r>
      <w:r w:rsidRPr="002C5292">
        <w:t xml:space="preserve">esponsible Minister </w:t>
      </w:r>
      <w:r w:rsidR="0016543C" w:rsidRPr="002C5292">
        <w:t>issuing exemption certificates (section 12F) or seeking a Premier’s exemption certificate (section 12G). When making these instruments the responsible Minister, supported by the relevant Department</w:t>
      </w:r>
      <w:r w:rsidR="00E412EA" w:rsidRPr="002C5292">
        <w:t xml:space="preserve"> or agency</w:t>
      </w:r>
      <w:r w:rsidR="003E2FDC" w:rsidRPr="002C5292">
        <w:t>,</w:t>
      </w:r>
      <w:r w:rsidR="0016543C" w:rsidRPr="002C5292">
        <w:t xml:space="preserve"> will certify that in their opinion the instrument meets one of the exemption criteria listed in section 12F.</w:t>
      </w:r>
      <w:r w:rsidR="003E2FDC" w:rsidRPr="002C5292">
        <w:t xml:space="preserve"> </w:t>
      </w:r>
      <w:r w:rsidR="0016543C" w:rsidRPr="002C5292">
        <w:t>A Premier’s exemption certificate</w:t>
      </w:r>
      <w:r w:rsidR="00E412EA" w:rsidRPr="002C5292">
        <w:t xml:space="preserve"> </w:t>
      </w:r>
      <w:r w:rsidR="007D3B6F" w:rsidRPr="002C5292">
        <w:t xml:space="preserve">(under section 12G) </w:t>
      </w:r>
      <w:r w:rsidR="00E412EA" w:rsidRPr="002C5292">
        <w:t>is issued</w:t>
      </w:r>
      <w:r w:rsidR="0016543C" w:rsidRPr="002C5292">
        <w:t xml:space="preserve"> where</w:t>
      </w:r>
      <w:r w:rsidR="00E412EA" w:rsidRPr="002C5292">
        <w:t>,</w:t>
      </w:r>
      <w:r w:rsidR="0016543C" w:rsidRPr="002C5292">
        <w:t xml:space="preserve"> in the Premier’s opinion</w:t>
      </w:r>
      <w:r w:rsidR="00E412EA" w:rsidRPr="002C5292">
        <w:t>,</w:t>
      </w:r>
      <w:r w:rsidR="0016543C" w:rsidRPr="002C5292">
        <w:t xml:space="preserve"> there are special circumstances in the public interest that the instrument be made without preparing a RIS.</w:t>
      </w:r>
      <w:r w:rsidR="003E2FDC" w:rsidRPr="002C5292">
        <w:t xml:space="preserve"> Once the certificates are issued, a RIS does not need to be prepared for the proposed instrument. </w:t>
      </w:r>
      <w:r w:rsidR="00E412EA" w:rsidRPr="002C5292">
        <w:t>O</w:t>
      </w:r>
      <w:r w:rsidR="003E2FDC" w:rsidRPr="002C5292">
        <w:t>ther</w:t>
      </w:r>
      <w:r w:rsidR="00E412EA" w:rsidRPr="002C5292">
        <w:t xml:space="preserve"> SLA</w:t>
      </w:r>
      <w:r w:rsidR="003E2FDC" w:rsidRPr="002C5292">
        <w:t xml:space="preserve"> requirements for making an instrument still apply, such as consultation and laying instruments and related documents before Parliament</w:t>
      </w:r>
      <w:r w:rsidR="0016543C" w:rsidRPr="002C5292">
        <w:t xml:space="preserve">. </w:t>
      </w:r>
    </w:p>
    <w:p w14:paraId="41178429" w14:textId="7408F41B" w:rsidR="006E629E" w:rsidRPr="002C5292" w:rsidRDefault="003529D1" w:rsidP="00BC7F34">
      <w:pPr>
        <w:pStyle w:val="DPCbody"/>
      </w:pPr>
      <w:r w:rsidRPr="002C5292">
        <w:t xml:space="preserve">Making legislative instruments </w:t>
      </w:r>
      <w:r w:rsidR="00927556" w:rsidRPr="002C5292">
        <w:t xml:space="preserve">automatically </w:t>
      </w:r>
      <w:r w:rsidRPr="002C5292">
        <w:t xml:space="preserve">exempt </w:t>
      </w:r>
      <w:r w:rsidR="004543B2" w:rsidRPr="002C5292">
        <w:t xml:space="preserve">from certain requirements of the SLA </w:t>
      </w:r>
      <w:r w:rsidRPr="002C5292">
        <w:t>by regulation allow</w:t>
      </w:r>
      <w:r w:rsidR="00901190" w:rsidRPr="002C5292">
        <w:t>s</w:t>
      </w:r>
      <w:r w:rsidRPr="002C5292">
        <w:t xml:space="preserve"> </w:t>
      </w:r>
      <w:r w:rsidR="0071220D" w:rsidRPr="002C5292">
        <w:t xml:space="preserve">for </w:t>
      </w:r>
      <w:r w:rsidRPr="002C5292">
        <w:t>set</w:t>
      </w:r>
      <w:r w:rsidR="0071220D" w:rsidRPr="002C5292">
        <w:t>s</w:t>
      </w:r>
      <w:r w:rsidRPr="002C5292">
        <w:t xml:space="preserve"> of instruments to be made without the </w:t>
      </w:r>
      <w:r w:rsidR="0071220D" w:rsidRPr="002C5292">
        <w:t xml:space="preserve">full scrutiny process that </w:t>
      </w:r>
      <w:r w:rsidRPr="002C5292">
        <w:t xml:space="preserve">the SLA requires, for example, the preparation of a RIS and public consultation on the RIS. </w:t>
      </w:r>
    </w:p>
    <w:p w14:paraId="09437448" w14:textId="66286A21" w:rsidR="003529D1" w:rsidRPr="002C5292" w:rsidRDefault="003529D1" w:rsidP="00BC7F34">
      <w:pPr>
        <w:pStyle w:val="DPCbody"/>
      </w:pPr>
      <w:r w:rsidRPr="002C5292">
        <w:t xml:space="preserve">The instruments proposed for exemption are those where </w:t>
      </w:r>
      <w:r w:rsidR="00F37B1D" w:rsidRPr="002C5292">
        <w:t>DPC</w:t>
      </w:r>
      <w:r w:rsidRPr="002C5292">
        <w:t xml:space="preserve"> consider</w:t>
      </w:r>
      <w:r w:rsidR="0036521E" w:rsidRPr="002C5292">
        <w:t>s</w:t>
      </w:r>
      <w:r w:rsidRPr="002C5292">
        <w:t xml:space="preserve"> that there is a net benefit of doing so.</w:t>
      </w:r>
      <w:r w:rsidR="009F0766" w:rsidRPr="002C5292">
        <w:t xml:space="preserve"> While the frequency an instrument may be made is a consideration, it is not, of itself, </w:t>
      </w:r>
      <w:r w:rsidR="00E412EA" w:rsidRPr="002C5292">
        <w:t xml:space="preserve">the </w:t>
      </w:r>
      <w:r w:rsidR="0054415D" w:rsidRPr="002C5292">
        <w:t xml:space="preserve">key </w:t>
      </w:r>
      <w:r w:rsidR="009F0766" w:rsidRPr="002C5292">
        <w:t>criteri</w:t>
      </w:r>
      <w:r w:rsidR="00FD655E" w:rsidRPr="002C5292">
        <w:t>on</w:t>
      </w:r>
      <w:r w:rsidR="009F0766" w:rsidRPr="002C5292">
        <w:t xml:space="preserve"> for exempting under the regulations.</w:t>
      </w:r>
      <w:r w:rsidRPr="002C5292">
        <w:t xml:space="preserve"> Specifically,</w:t>
      </w:r>
      <w:r w:rsidR="009F0766" w:rsidRPr="002C5292">
        <w:t xml:space="preserve"> DPC will consider whether</w:t>
      </w:r>
      <w:r w:rsidRPr="002C5292">
        <w:t xml:space="preserve"> th</w:t>
      </w:r>
      <w:r w:rsidR="00844A0B" w:rsidRPr="002C5292">
        <w:t>ose</w:t>
      </w:r>
      <w:r w:rsidR="009F0766" w:rsidRPr="002C5292">
        <w:t xml:space="preserve"> instrument</w:t>
      </w:r>
      <w:r w:rsidR="00844A0B" w:rsidRPr="002C5292">
        <w:t>s</w:t>
      </w:r>
      <w:r w:rsidR="009F0766" w:rsidRPr="002C5292">
        <w:t xml:space="preserve"> </w:t>
      </w:r>
      <w:r w:rsidR="007D0124" w:rsidRPr="002C5292">
        <w:t>would likely</w:t>
      </w:r>
      <w:r w:rsidRPr="002C5292">
        <w:t xml:space="preserve"> meet one or more criteria for the case-by-case exemptions allowed for in section 12F of the SLA, or the benefits of undertaking more rigorous analysis and allowing for greater scrutiny are outweighed by the costs or other implications of doing so.</w:t>
      </w:r>
      <w:r w:rsidR="003E2FDC" w:rsidRPr="002C5292">
        <w:t xml:space="preserve"> </w:t>
      </w:r>
      <w:r w:rsidRPr="002C5292">
        <w:t>However, there is a risk that instruments could be made in an unforeseen way that would impose a significant burden on business or community sectors, without having first undertaken adequate analysis or consultation.</w:t>
      </w:r>
    </w:p>
    <w:p w14:paraId="3793B9C7" w14:textId="3AADC28E" w:rsidR="00C31EC8" w:rsidRPr="002C5292" w:rsidRDefault="003529D1" w:rsidP="00C934BF">
      <w:pPr>
        <w:pStyle w:val="DPCbody"/>
      </w:pPr>
      <w:r w:rsidRPr="002C5292">
        <w:t xml:space="preserve">Therefore, the main purpose of this RIS is to ensure </w:t>
      </w:r>
      <w:r w:rsidR="002F722D" w:rsidRPr="002C5292">
        <w:t xml:space="preserve">there is analysis of which instruments should be </w:t>
      </w:r>
      <w:r w:rsidR="00F41DB4" w:rsidRPr="002C5292">
        <w:t xml:space="preserve">automatically </w:t>
      </w:r>
      <w:r w:rsidR="002F722D" w:rsidRPr="002C5292">
        <w:t>exempt</w:t>
      </w:r>
      <w:r w:rsidR="004543B2" w:rsidRPr="002C5292">
        <w:t xml:space="preserve"> legislative instruments</w:t>
      </w:r>
      <w:r w:rsidR="002F722D" w:rsidRPr="002C5292">
        <w:t xml:space="preserve"> </w:t>
      </w:r>
      <w:r w:rsidRPr="002C5292">
        <w:t xml:space="preserve">before the </w:t>
      </w:r>
      <w:r w:rsidR="00095532" w:rsidRPr="002C5292">
        <w:t>Proposed Regulations</w:t>
      </w:r>
      <w:r w:rsidRPr="002C5292">
        <w:t xml:space="preserve"> are made. A full list of </w:t>
      </w:r>
      <w:r w:rsidR="00F41DB4" w:rsidRPr="002C5292">
        <w:t>automatically</w:t>
      </w:r>
      <w:r w:rsidR="00C31EC8" w:rsidRPr="002C5292">
        <w:t xml:space="preserve"> </w:t>
      </w:r>
      <w:r w:rsidRPr="002C5292">
        <w:t xml:space="preserve">exempt </w:t>
      </w:r>
      <w:r w:rsidR="004543B2" w:rsidRPr="002C5292">
        <w:t xml:space="preserve">legislative </w:t>
      </w:r>
      <w:r w:rsidRPr="002C5292">
        <w:t>instruments</w:t>
      </w:r>
      <w:r w:rsidR="003E2FDC" w:rsidRPr="002C5292">
        <w:t xml:space="preserve"> under Schedule 3 </w:t>
      </w:r>
      <w:r w:rsidR="004543B2" w:rsidRPr="002C5292">
        <w:t xml:space="preserve">or the main body </w:t>
      </w:r>
      <w:r w:rsidR="003E2FDC" w:rsidRPr="002C5292">
        <w:t>of the Proposed Regulations</w:t>
      </w:r>
      <w:r w:rsidRPr="002C5292">
        <w:t xml:space="preserve"> and the rationale for </w:t>
      </w:r>
      <w:r w:rsidR="004543B2" w:rsidRPr="002C5292">
        <w:t xml:space="preserve">their </w:t>
      </w:r>
      <w:r w:rsidRPr="002C5292">
        <w:t>exemption is attached to this RIS</w:t>
      </w:r>
      <w:r w:rsidR="00C31EC8" w:rsidRPr="002C5292">
        <w:t xml:space="preserve"> (Attachment C)</w:t>
      </w:r>
      <w:r w:rsidR="003E2FDC" w:rsidRPr="002C5292">
        <w:t>.</w:t>
      </w:r>
      <w:r w:rsidRPr="002C5292">
        <w:t xml:space="preserve"> </w:t>
      </w:r>
      <w:r w:rsidR="00C31EC8" w:rsidRPr="002C5292">
        <w:t>A</w:t>
      </w:r>
      <w:r w:rsidRPr="002C5292">
        <w:t xml:space="preserve"> list of non-legislative</w:t>
      </w:r>
      <w:r w:rsidR="00C31EC8" w:rsidRPr="002C5292">
        <w:t>,</w:t>
      </w:r>
      <w:r w:rsidRPr="002C5292">
        <w:t xml:space="preserve"> </w:t>
      </w:r>
      <w:r w:rsidR="00C31EC8" w:rsidRPr="002C5292">
        <w:t xml:space="preserve">legislative </w:t>
      </w:r>
      <w:r w:rsidRPr="002C5292">
        <w:t xml:space="preserve">and exempt </w:t>
      </w:r>
      <w:r w:rsidR="004543B2" w:rsidRPr="002C5292">
        <w:t xml:space="preserve">legislative </w:t>
      </w:r>
      <w:r w:rsidRPr="002C5292">
        <w:t xml:space="preserve">instruments are provided in Schedules 1, 2 and 3 of the </w:t>
      </w:r>
      <w:r w:rsidR="00095532" w:rsidRPr="002C5292">
        <w:t>Proposed Regulations</w:t>
      </w:r>
      <w:r w:rsidRPr="002C5292">
        <w:t xml:space="preserve">. </w:t>
      </w:r>
    </w:p>
    <w:p w14:paraId="7BD09437" w14:textId="37DCEAF1" w:rsidR="003529D1" w:rsidRPr="002C5292" w:rsidRDefault="003E2FDC" w:rsidP="00C934BF">
      <w:pPr>
        <w:pStyle w:val="DPCbody"/>
      </w:pPr>
      <w:r w:rsidRPr="002C5292">
        <w:t>Th</w:t>
      </w:r>
      <w:r w:rsidR="00C31EC8" w:rsidRPr="002C5292">
        <w:t>is</w:t>
      </w:r>
      <w:r w:rsidR="009F0766" w:rsidRPr="002C5292">
        <w:t xml:space="preserve"> RIS</w:t>
      </w:r>
      <w:r w:rsidRPr="002C5292">
        <w:t xml:space="preserve"> focus</w:t>
      </w:r>
      <w:r w:rsidR="009F0766" w:rsidRPr="002C5292">
        <w:t xml:space="preserve">es on </w:t>
      </w:r>
      <w:r w:rsidR="004543B2" w:rsidRPr="002C5292">
        <w:t xml:space="preserve">exempt legislative </w:t>
      </w:r>
      <w:r w:rsidR="00CA038A" w:rsidRPr="002C5292">
        <w:t xml:space="preserve">instruments </w:t>
      </w:r>
      <w:r w:rsidR="004543B2" w:rsidRPr="002C5292">
        <w:t xml:space="preserve">in </w:t>
      </w:r>
      <w:r w:rsidR="009F0766" w:rsidRPr="002C5292">
        <w:t xml:space="preserve">Schedule 3 </w:t>
      </w:r>
      <w:r w:rsidR="004543B2" w:rsidRPr="002C5292">
        <w:t>or the main body of the Proposed Regulations</w:t>
      </w:r>
      <w:r w:rsidR="009F0766" w:rsidRPr="002C5292">
        <w:t xml:space="preserve"> rather than</w:t>
      </w:r>
      <w:r w:rsidR="001E25FC" w:rsidRPr="002C5292">
        <w:t xml:space="preserve"> instruments in</w:t>
      </w:r>
      <w:r w:rsidR="009F0766" w:rsidRPr="002C5292">
        <w:t xml:space="preserve"> Schedules 1 and 2</w:t>
      </w:r>
      <w:r w:rsidR="004543B2" w:rsidRPr="002C5292">
        <w:t xml:space="preserve"> of the Proposed Regulations</w:t>
      </w:r>
      <w:r w:rsidR="009F0766" w:rsidRPr="002C5292">
        <w:t xml:space="preserve">. </w:t>
      </w:r>
      <w:r w:rsidR="00BC7F34" w:rsidRPr="002C5292">
        <w:t xml:space="preserve">Instruments in </w:t>
      </w:r>
      <w:r w:rsidR="009F0766" w:rsidRPr="002C5292">
        <w:t>Schedules</w:t>
      </w:r>
      <w:r w:rsidR="00F31633" w:rsidRPr="002C5292">
        <w:t xml:space="preserve"> </w:t>
      </w:r>
      <w:r w:rsidR="00BC7F34" w:rsidRPr="002C5292">
        <w:t xml:space="preserve">1 and 2 </w:t>
      </w:r>
      <w:r w:rsidR="00F31633" w:rsidRPr="002C5292">
        <w:t>merely provide clarity as to whether the instrument is legislative or administrat</w:t>
      </w:r>
      <w:r w:rsidR="00BC7F34" w:rsidRPr="002C5292">
        <w:t>ive</w:t>
      </w:r>
      <w:r w:rsidR="00F31633" w:rsidRPr="002C5292">
        <w:t xml:space="preserve"> in nature</w:t>
      </w:r>
      <w:r w:rsidR="007A7253" w:rsidRPr="002C5292">
        <w:t>,</w:t>
      </w:r>
      <w:r w:rsidR="009F0766" w:rsidRPr="002C5292">
        <w:t xml:space="preserve"> where there may be some uncertainty as to their status. Schedule</w:t>
      </w:r>
      <w:r w:rsidR="007A7253" w:rsidRPr="002C5292">
        <w:t xml:space="preserve"> 3 instruments </w:t>
      </w:r>
      <w:r w:rsidR="004543B2" w:rsidRPr="002C5292">
        <w:t xml:space="preserve">(including the </w:t>
      </w:r>
      <w:r w:rsidR="0054415D" w:rsidRPr="002C5292">
        <w:t xml:space="preserve">seven </w:t>
      </w:r>
      <w:r w:rsidR="004543B2" w:rsidRPr="002C5292">
        <w:t xml:space="preserve">legislative instruments in the main body of the Proposed Regulations) </w:t>
      </w:r>
      <w:r w:rsidR="007A7253" w:rsidRPr="002C5292">
        <w:t>are legislative in nature</w:t>
      </w:r>
      <w:r w:rsidR="00F74539" w:rsidRPr="002C5292">
        <w:t xml:space="preserve"> and while they may affect the public, they </w:t>
      </w:r>
      <w:r w:rsidR="00FE03B0" w:rsidRPr="002C5292">
        <w:t xml:space="preserve">either do not or </w:t>
      </w:r>
      <w:r w:rsidR="00F41DB4" w:rsidRPr="002C5292">
        <w:t xml:space="preserve">should </w:t>
      </w:r>
      <w:r w:rsidR="00F74539" w:rsidRPr="002C5292">
        <w:t xml:space="preserve">not have the same level of public analysis and scrutiny, compared to </w:t>
      </w:r>
      <w:r w:rsidR="004543B2" w:rsidRPr="002C5292">
        <w:t xml:space="preserve">the </w:t>
      </w:r>
      <w:r w:rsidR="00F74539" w:rsidRPr="002C5292">
        <w:t>instruments</w:t>
      </w:r>
      <w:r w:rsidR="001D7633" w:rsidRPr="002C5292">
        <w:t xml:space="preserve"> listed in Schedule</w:t>
      </w:r>
      <w:r w:rsidR="00CA038A" w:rsidRPr="002C5292">
        <w:t xml:space="preserve"> 2</w:t>
      </w:r>
      <w:r w:rsidR="00F74539" w:rsidRPr="002C5292">
        <w:t>. Therefore, t</w:t>
      </w:r>
      <w:r w:rsidR="003529D1" w:rsidRPr="002C5292">
        <w:t>he RIS and public consultation being undertaken also ensure</w:t>
      </w:r>
      <w:r w:rsidR="00C31EC8" w:rsidRPr="002C5292">
        <w:t>s</w:t>
      </w:r>
      <w:r w:rsidR="003529D1" w:rsidRPr="002C5292">
        <w:t xml:space="preserve"> that the process of exempting </w:t>
      </w:r>
      <w:r w:rsidR="001D7633" w:rsidRPr="002C5292">
        <w:t>those</w:t>
      </w:r>
      <w:r w:rsidR="00F74539" w:rsidRPr="002C5292">
        <w:t xml:space="preserve"> </w:t>
      </w:r>
      <w:r w:rsidR="003529D1" w:rsidRPr="002C5292">
        <w:t>legislative instruments via regulation is transparent.</w:t>
      </w:r>
      <w:r w:rsidRPr="002C5292">
        <w:t xml:space="preserve"> </w:t>
      </w:r>
    </w:p>
    <w:p w14:paraId="591AA35E" w14:textId="6E35909F" w:rsidR="0054415D" w:rsidRPr="002C5292" w:rsidRDefault="0054415D" w:rsidP="00C934BF">
      <w:pPr>
        <w:pStyle w:val="DPCbody"/>
      </w:pPr>
      <w:r w:rsidRPr="002C5292">
        <w:t>The following seven legislative instruments</w:t>
      </w:r>
      <w:r w:rsidR="00A26111" w:rsidRPr="002C5292">
        <w:t>, included</w:t>
      </w:r>
      <w:r w:rsidRPr="002C5292">
        <w:t xml:space="preserve"> in the main body of the Proposed Regulations</w:t>
      </w:r>
      <w:r w:rsidR="00A26111" w:rsidRPr="002C5292">
        <w:t>,</w:t>
      </w:r>
      <w:r w:rsidRPr="002C5292">
        <w:t xml:space="preserve"> </w:t>
      </w:r>
      <w:r w:rsidR="00A83AA5" w:rsidRPr="002C5292">
        <w:t xml:space="preserve">will be </w:t>
      </w:r>
      <w:r w:rsidR="00E27EB9" w:rsidRPr="002C5292">
        <w:t xml:space="preserve">automatically </w:t>
      </w:r>
      <w:r w:rsidRPr="002C5292">
        <w:t>exempt from the operation of Parts 2A, 3A and 5A of the SLA:</w:t>
      </w:r>
    </w:p>
    <w:p w14:paraId="06F8AB47" w14:textId="4A82C7CA" w:rsidR="0054415D" w:rsidRPr="002C5292" w:rsidRDefault="0054415D" w:rsidP="000C4A15">
      <w:pPr>
        <w:pStyle w:val="DPCbodytext"/>
        <w:numPr>
          <w:ilvl w:val="0"/>
          <w:numId w:val="107"/>
        </w:numPr>
      </w:pPr>
      <w:r w:rsidRPr="002C5292">
        <w:t xml:space="preserve">an Order made under section 74E(1) of the </w:t>
      </w:r>
      <w:r w:rsidRPr="002C5292">
        <w:rPr>
          <w:i/>
          <w:iCs/>
        </w:rPr>
        <w:t>Emergency Management Act 2013</w:t>
      </w:r>
      <w:r w:rsidRPr="002C5292">
        <w:t>;</w:t>
      </w:r>
    </w:p>
    <w:p w14:paraId="105053E0" w14:textId="47CB9C10" w:rsidR="0054415D" w:rsidRPr="002C5292" w:rsidRDefault="0054415D" w:rsidP="000C4A15">
      <w:pPr>
        <w:pStyle w:val="DPCbodytext"/>
        <w:numPr>
          <w:ilvl w:val="0"/>
          <w:numId w:val="107"/>
        </w:numPr>
      </w:pPr>
      <w:r w:rsidRPr="002C5292">
        <w:t xml:space="preserve">an Order made under section 74F of the </w:t>
      </w:r>
      <w:r w:rsidRPr="002C5292">
        <w:rPr>
          <w:i/>
          <w:iCs/>
        </w:rPr>
        <w:t>Emergency Management Act 2013;</w:t>
      </w:r>
    </w:p>
    <w:p w14:paraId="1EA52358" w14:textId="747E1B8A" w:rsidR="0054415D" w:rsidRPr="002C5292" w:rsidRDefault="0054415D" w:rsidP="000C4A15">
      <w:pPr>
        <w:pStyle w:val="DPCbodytext"/>
        <w:numPr>
          <w:ilvl w:val="0"/>
          <w:numId w:val="107"/>
        </w:numPr>
      </w:pPr>
      <w:r w:rsidRPr="002C5292">
        <w:t xml:space="preserve">an Order made under section 74H(1) of the </w:t>
      </w:r>
      <w:r w:rsidRPr="002C5292">
        <w:rPr>
          <w:i/>
          <w:iCs/>
        </w:rPr>
        <w:t>Emergency Management Act 2013;</w:t>
      </w:r>
    </w:p>
    <w:p w14:paraId="74BE5897" w14:textId="7157A484" w:rsidR="0054415D" w:rsidRPr="002C5292" w:rsidRDefault="0054415D" w:rsidP="000C4A15">
      <w:pPr>
        <w:pStyle w:val="DPCbodytext"/>
        <w:numPr>
          <w:ilvl w:val="0"/>
          <w:numId w:val="107"/>
        </w:numPr>
      </w:pPr>
      <w:r w:rsidRPr="002C5292">
        <w:t xml:space="preserve">a declaration under section 23(1) of the </w:t>
      </w:r>
      <w:r w:rsidRPr="002C5292">
        <w:rPr>
          <w:i/>
          <w:iCs/>
        </w:rPr>
        <w:t>Emergency Management Act 1986</w:t>
      </w:r>
      <w:r w:rsidRPr="002C5292">
        <w:t>;</w:t>
      </w:r>
    </w:p>
    <w:p w14:paraId="45597F0F" w14:textId="692EFCF5" w:rsidR="0054415D" w:rsidRPr="002C5292" w:rsidRDefault="0054415D" w:rsidP="000C4A15">
      <w:pPr>
        <w:pStyle w:val="DPCbodytext"/>
        <w:numPr>
          <w:ilvl w:val="0"/>
          <w:numId w:val="107"/>
        </w:numPr>
      </w:pPr>
      <w:r w:rsidRPr="002C5292">
        <w:t xml:space="preserve">a revocation or variation of a declaration under section 23(2) of the </w:t>
      </w:r>
      <w:r w:rsidRPr="002C5292">
        <w:rPr>
          <w:i/>
          <w:iCs/>
        </w:rPr>
        <w:t>Emergency Management Act 1986;</w:t>
      </w:r>
    </w:p>
    <w:p w14:paraId="156C3300" w14:textId="29D5B0B1" w:rsidR="0054415D" w:rsidRPr="002C5292" w:rsidRDefault="0054415D" w:rsidP="000C4A15">
      <w:pPr>
        <w:pStyle w:val="DPCbodytext"/>
        <w:numPr>
          <w:ilvl w:val="0"/>
          <w:numId w:val="107"/>
        </w:numPr>
      </w:pPr>
      <w:r w:rsidRPr="002C5292">
        <w:t xml:space="preserve">a direction under section 24(2)(a) of the </w:t>
      </w:r>
      <w:r w:rsidRPr="002C5292">
        <w:rPr>
          <w:i/>
          <w:iCs/>
        </w:rPr>
        <w:t>Emergency Management Act 1986</w:t>
      </w:r>
      <w:r w:rsidRPr="002C5292">
        <w:t>;</w:t>
      </w:r>
    </w:p>
    <w:p w14:paraId="72ED4497" w14:textId="066BB47E" w:rsidR="0054415D" w:rsidRPr="002C5292" w:rsidRDefault="0054415D" w:rsidP="000C4A15">
      <w:pPr>
        <w:pStyle w:val="DPCbodytext"/>
        <w:numPr>
          <w:ilvl w:val="0"/>
          <w:numId w:val="107"/>
        </w:numPr>
      </w:pPr>
      <w:r w:rsidRPr="002C5292">
        <w:t xml:space="preserve">a declaration under section 24(2)(b) of the </w:t>
      </w:r>
      <w:r w:rsidRPr="002C5292">
        <w:rPr>
          <w:i/>
          <w:iCs/>
        </w:rPr>
        <w:t>Emergency Management Act 1986</w:t>
      </w:r>
      <w:r w:rsidRPr="002C5292">
        <w:t xml:space="preserve">; </w:t>
      </w:r>
    </w:p>
    <w:p w14:paraId="136D3A89" w14:textId="2F676E06" w:rsidR="0054415D" w:rsidRPr="002C5292" w:rsidRDefault="0054415D" w:rsidP="000C4A15">
      <w:pPr>
        <w:pStyle w:val="DPCbodytext"/>
        <w:numPr>
          <w:ilvl w:val="0"/>
          <w:numId w:val="107"/>
        </w:numPr>
      </w:pPr>
      <w:r w:rsidRPr="002C5292">
        <w:t xml:space="preserve">a declaration under section 24(4) of the </w:t>
      </w:r>
      <w:r w:rsidRPr="002C5292">
        <w:rPr>
          <w:i/>
          <w:iCs/>
        </w:rPr>
        <w:t>Emergency Management Act 1986</w:t>
      </w:r>
      <w:r w:rsidRPr="002C5292">
        <w:t>.</w:t>
      </w:r>
    </w:p>
    <w:p w14:paraId="2DF4B33F" w14:textId="77777777" w:rsidR="00DC49BC" w:rsidRPr="002C5292" w:rsidRDefault="00DC49BC" w:rsidP="000C4A15">
      <w:pPr>
        <w:pStyle w:val="DPCbodytext"/>
      </w:pPr>
    </w:p>
    <w:p w14:paraId="4893766F" w14:textId="49ECD9BF" w:rsidR="00DC49BC" w:rsidRPr="002C5292" w:rsidRDefault="00DC49BC" w:rsidP="000C4A15">
      <w:pPr>
        <w:pStyle w:val="DPCbodytext"/>
      </w:pPr>
      <w:r w:rsidRPr="002C5292">
        <w:t>The above instruments are likely to meet at least one of the criteria for exemption listed under section</w:t>
      </w:r>
      <w:r w:rsidR="003A67F2" w:rsidRPr="002C5292">
        <w:t> </w:t>
      </w:r>
      <w:r w:rsidRPr="002C5292">
        <w:t>12F of the SLA in all cases of future use.</w:t>
      </w:r>
    </w:p>
    <w:p w14:paraId="3A9A04B7" w14:textId="7FBC302C" w:rsidR="00901190" w:rsidRPr="002C5292" w:rsidRDefault="00901190" w:rsidP="00C934BF">
      <w:pPr>
        <w:pStyle w:val="Heading2"/>
      </w:pPr>
      <w:bookmarkStart w:id="29" w:name="_Toc70082353"/>
      <w:r w:rsidRPr="002C5292">
        <w:t xml:space="preserve">Subordinate </w:t>
      </w:r>
      <w:r w:rsidR="00B564F8" w:rsidRPr="002C5292">
        <w:t>l</w:t>
      </w:r>
      <w:r w:rsidRPr="002C5292">
        <w:t>egislation</w:t>
      </w:r>
      <w:bookmarkEnd w:id="29"/>
      <w:r w:rsidRPr="002C5292">
        <w:t xml:space="preserve"> </w:t>
      </w:r>
    </w:p>
    <w:p w14:paraId="41B3BF57" w14:textId="49DF9F8B" w:rsidR="00901190" w:rsidRPr="002C5292" w:rsidRDefault="00901190" w:rsidP="000F0095">
      <w:pPr>
        <w:pStyle w:val="DPCbody"/>
      </w:pPr>
      <w:r w:rsidRPr="002C5292">
        <w:t xml:space="preserve">Subordinate legislation can be made when Parliament, through legislation, delegates a law-making power to another person (usually a Minister) or body (such as a government department or agency). It consists of instruments made under Acts or </w:t>
      </w:r>
      <w:r w:rsidR="006E629E" w:rsidRPr="002C5292">
        <w:t>statutory rules</w:t>
      </w:r>
      <w:r w:rsidRPr="002C5292">
        <w:t xml:space="preserve"> that affect people’s rights or interests. Subordinate legislation is of general application, and does not generally include decisions made which relate only to a specific person or entity. </w:t>
      </w:r>
    </w:p>
    <w:p w14:paraId="27C044CC" w14:textId="77777777" w:rsidR="00901190" w:rsidRPr="002C5292" w:rsidRDefault="00901190" w:rsidP="000F0095">
      <w:pPr>
        <w:pStyle w:val="DPCbody"/>
      </w:pPr>
      <w:r w:rsidRPr="002C5292">
        <w:t>Subordinate legislation can impose restrictions, costs or requirements on people in the same way as primary legislation. Primary legislation undergoes scrutiny through the parliamentary process, including debate and passage through Parliament. This scrutiny can be bypassed where the power to make a subordinate instrument is delegated to a Minister or other person or body.</w:t>
      </w:r>
    </w:p>
    <w:p w14:paraId="161C17EF" w14:textId="2E4C0879" w:rsidR="00901190" w:rsidRPr="002C5292" w:rsidRDefault="00901190" w:rsidP="000F0095">
      <w:pPr>
        <w:pStyle w:val="DPCbody"/>
      </w:pPr>
      <w:r w:rsidRPr="002C5292">
        <w:t xml:space="preserve">The SLA seeks to ensure that the power to make subordinate legislation is subject to an appropriate level of public and parliamentary scrutiny, particularly where that legislation could have a significant impact on business or community sectors. As stated in section 1 of the Act, the purpose of the SLA is therefore: </w:t>
      </w:r>
    </w:p>
    <w:p w14:paraId="4ECEECC9" w14:textId="22F864E6" w:rsidR="00901190" w:rsidRPr="002C5292" w:rsidRDefault="00901190" w:rsidP="000C4A15">
      <w:pPr>
        <w:pStyle w:val="DPCbodytext"/>
        <w:numPr>
          <w:ilvl w:val="0"/>
          <w:numId w:val="42"/>
        </w:numPr>
      </w:pPr>
      <w:r w:rsidRPr="002C5292">
        <w:t>to ensure that the power to make subordinate legislation is exercised subject to Parliament's authority and control;</w:t>
      </w:r>
    </w:p>
    <w:p w14:paraId="735EC75D" w14:textId="77777777" w:rsidR="00901190" w:rsidRPr="002C5292" w:rsidRDefault="00901190" w:rsidP="000C4A15">
      <w:pPr>
        <w:pStyle w:val="DPCbodytext"/>
        <w:numPr>
          <w:ilvl w:val="0"/>
          <w:numId w:val="42"/>
        </w:numPr>
      </w:pPr>
      <w:r w:rsidRPr="002C5292">
        <w:t xml:space="preserve">to regulate the preparation, making, publication and scrutiny of subordinate legislation; </w:t>
      </w:r>
    </w:p>
    <w:p w14:paraId="16132DA7" w14:textId="77777777" w:rsidR="00901190" w:rsidRPr="002C5292" w:rsidRDefault="00901190" w:rsidP="000C4A15">
      <w:pPr>
        <w:pStyle w:val="DPCbodytext"/>
        <w:numPr>
          <w:ilvl w:val="0"/>
          <w:numId w:val="42"/>
        </w:numPr>
      </w:pPr>
      <w:r w:rsidRPr="002C5292">
        <w:t>to provide for public participation in the preparation and scrutiny of subordinate legislation; and</w:t>
      </w:r>
    </w:p>
    <w:p w14:paraId="78CB24AC" w14:textId="2E439762" w:rsidR="00901190" w:rsidRPr="002C5292" w:rsidRDefault="00901190" w:rsidP="000C4A15">
      <w:pPr>
        <w:pStyle w:val="DPCbodytext"/>
        <w:numPr>
          <w:ilvl w:val="0"/>
          <w:numId w:val="42"/>
        </w:numPr>
      </w:pPr>
      <w:r w:rsidRPr="002C5292">
        <w:t xml:space="preserve">to amend the </w:t>
      </w:r>
      <w:r w:rsidRPr="002C5292">
        <w:rPr>
          <w:i/>
        </w:rPr>
        <w:t>Interpretation of Legislation Act 1984</w:t>
      </w:r>
      <w:r w:rsidRPr="002C5292">
        <w:t xml:space="preserve"> in relation to incorporated documents, the incorporation of amendments and the admissibility of Acts and subordinate instruments.</w:t>
      </w:r>
    </w:p>
    <w:p w14:paraId="244AE5DA" w14:textId="4CE36F06" w:rsidR="00901190" w:rsidRPr="002C5292" w:rsidRDefault="00901190" w:rsidP="000F0095">
      <w:pPr>
        <w:pStyle w:val="DPCbody"/>
      </w:pPr>
      <w:r w:rsidRPr="002C5292">
        <w:t xml:space="preserve">The most </w:t>
      </w:r>
      <w:r w:rsidR="0079415F" w:rsidRPr="002C5292">
        <w:t xml:space="preserve">prominent </w:t>
      </w:r>
      <w:r w:rsidRPr="002C5292">
        <w:t xml:space="preserve">forms of subordinate legislation are statutory rules (most commonly </w:t>
      </w:r>
      <w:r w:rsidR="006E629E" w:rsidRPr="002C5292">
        <w:t>r</w:t>
      </w:r>
      <w:r w:rsidRPr="002C5292">
        <w:t>egulations) and orders in council. Some other types of subordinate legislation include:</w:t>
      </w:r>
    </w:p>
    <w:p w14:paraId="6860B056" w14:textId="3C36C8CE" w:rsidR="00901190" w:rsidRPr="002C5292" w:rsidRDefault="00901190" w:rsidP="000C4A15">
      <w:pPr>
        <w:pStyle w:val="DPCbodytext"/>
        <w:numPr>
          <w:ilvl w:val="0"/>
          <w:numId w:val="101"/>
        </w:numPr>
      </w:pPr>
      <w:r w:rsidRPr="002C5292">
        <w:rPr>
          <w:b/>
        </w:rPr>
        <w:t>ministerial directions</w:t>
      </w:r>
      <w:r w:rsidRPr="002C5292">
        <w:t xml:space="preserve">, such as those made under section 5.10.4(2) of the </w:t>
      </w:r>
      <w:r w:rsidRPr="002C5292">
        <w:rPr>
          <w:i/>
        </w:rPr>
        <w:t>Education and Training Reform Act 2006</w:t>
      </w:r>
      <w:r w:rsidRPr="002C5292">
        <w:t>, which impose binding requirements on TAFEs and other educational institutions;</w:t>
      </w:r>
    </w:p>
    <w:p w14:paraId="6059D2C5" w14:textId="17B3D078" w:rsidR="00901190" w:rsidRPr="002C5292" w:rsidRDefault="00901190" w:rsidP="000C4A15">
      <w:pPr>
        <w:pStyle w:val="DPCbodytext"/>
        <w:numPr>
          <w:ilvl w:val="0"/>
          <w:numId w:val="101"/>
        </w:numPr>
      </w:pPr>
      <w:r w:rsidRPr="002C5292">
        <w:rPr>
          <w:b/>
        </w:rPr>
        <w:t>mandatory codes of practice</w:t>
      </w:r>
      <w:r w:rsidRPr="002C5292">
        <w:t xml:space="preserve">, such as a Code of Practice for food safety in the dairy industry made under section 31 of the </w:t>
      </w:r>
      <w:r w:rsidRPr="002C5292">
        <w:rPr>
          <w:i/>
        </w:rPr>
        <w:t>Dairy Act 2000</w:t>
      </w:r>
      <w:r w:rsidRPr="002C5292">
        <w:t>;</w:t>
      </w:r>
    </w:p>
    <w:p w14:paraId="70F7AF3F" w14:textId="77777777" w:rsidR="00901190" w:rsidRPr="002C5292" w:rsidRDefault="00901190" w:rsidP="000C4A15">
      <w:pPr>
        <w:pStyle w:val="DPCbodytext"/>
        <w:numPr>
          <w:ilvl w:val="0"/>
          <w:numId w:val="101"/>
        </w:numPr>
      </w:pPr>
      <w:r w:rsidRPr="002C5292">
        <w:rPr>
          <w:b/>
        </w:rPr>
        <w:t>standards of professional practice</w:t>
      </w:r>
      <w:r w:rsidRPr="002C5292">
        <w:t xml:space="preserve">, such as the approval of qualifications appropriate for entry into teaching under section 2.6.8 of the </w:t>
      </w:r>
      <w:r w:rsidRPr="002C5292">
        <w:rPr>
          <w:i/>
        </w:rPr>
        <w:t>Education and Training Reform Act 2006</w:t>
      </w:r>
      <w:r w:rsidRPr="002C5292">
        <w:t>; and</w:t>
      </w:r>
    </w:p>
    <w:p w14:paraId="690B025D" w14:textId="77777777" w:rsidR="00901190" w:rsidRPr="002C5292" w:rsidRDefault="00901190" w:rsidP="000C4A15">
      <w:pPr>
        <w:pStyle w:val="DPCbodytext"/>
        <w:numPr>
          <w:ilvl w:val="0"/>
          <w:numId w:val="101"/>
        </w:numPr>
      </w:pPr>
      <w:r w:rsidRPr="002C5292">
        <w:rPr>
          <w:b/>
        </w:rPr>
        <w:t>declarations</w:t>
      </w:r>
      <w:r w:rsidRPr="002C5292">
        <w:t xml:space="preserve">, such as a declaration by the Governor in Council that an event is a “special event” for the purposes of Part 4A of the </w:t>
      </w:r>
      <w:r w:rsidRPr="002C5292">
        <w:rPr>
          <w:i/>
        </w:rPr>
        <w:t>Crown Land (Reserves) Act 1978</w:t>
      </w:r>
      <w:r w:rsidRPr="002C5292">
        <w:t xml:space="preserve">. </w:t>
      </w:r>
    </w:p>
    <w:p w14:paraId="66669B00" w14:textId="4B329100" w:rsidR="00901190" w:rsidRPr="002C5292" w:rsidRDefault="00901190" w:rsidP="000F0095">
      <w:pPr>
        <w:pStyle w:val="DPCbody"/>
      </w:pPr>
      <w:r w:rsidRPr="002C5292">
        <w:t>There are many other forms of subordinate legislation.</w:t>
      </w:r>
    </w:p>
    <w:p w14:paraId="0B74034B" w14:textId="43C65676" w:rsidR="00274812" w:rsidRPr="002C5292" w:rsidRDefault="00E27EB9" w:rsidP="000F0095">
      <w:pPr>
        <w:pStyle w:val="DPCbody"/>
      </w:pPr>
      <w:r w:rsidRPr="002C5292">
        <w:t xml:space="preserve">When deciding whether to make the Proposed Regulations DPC considered whether there was </w:t>
      </w:r>
      <w:r w:rsidR="00AB6732" w:rsidRPr="002C5292">
        <w:t xml:space="preserve">any other </w:t>
      </w:r>
      <w:r w:rsidRPr="002C5292">
        <w:t xml:space="preserve">appropriate </w:t>
      </w:r>
      <w:r w:rsidR="00AB6732" w:rsidRPr="002C5292">
        <w:t>alternative</w:t>
      </w:r>
      <w:r w:rsidRPr="002C5292">
        <w:t xml:space="preserve"> to achieve the </w:t>
      </w:r>
      <w:r w:rsidR="00A83AA5" w:rsidRPr="002C5292">
        <w:t xml:space="preserve">desired </w:t>
      </w:r>
      <w:r w:rsidRPr="002C5292">
        <w:t>objective</w:t>
      </w:r>
      <w:r w:rsidR="00A83AA5" w:rsidRPr="002C5292">
        <w:t xml:space="preserve">s </w:t>
      </w:r>
      <w:r w:rsidR="00AB6732" w:rsidRPr="002C5292">
        <w:t>and address the problem</w:t>
      </w:r>
      <w:r w:rsidR="00A83AA5" w:rsidRPr="002C5292">
        <w:t xml:space="preserve"> as described below</w:t>
      </w:r>
      <w:r w:rsidRPr="002C5292">
        <w:t>.</w:t>
      </w:r>
      <w:r w:rsidR="00AB6732" w:rsidRPr="002C5292">
        <w:rPr>
          <w:lang w:eastAsia="en-AU"/>
        </w:rPr>
        <w:t xml:space="preserve"> DPC found that a non-regulatory options is not applicable. The Proposed Regulations are the most appropriate way to address the problem.</w:t>
      </w:r>
    </w:p>
    <w:p w14:paraId="3F7BA127" w14:textId="4C8241E3" w:rsidR="00A50431" w:rsidRPr="002C5292" w:rsidRDefault="00F12B38" w:rsidP="000F0095">
      <w:pPr>
        <w:pStyle w:val="DPCbody"/>
      </w:pPr>
      <w:r w:rsidRPr="002C5292">
        <w:t xml:space="preserve">The amendments made to the SLA in 2011 were intended to ensure that </w:t>
      </w:r>
      <w:r w:rsidR="00901190" w:rsidRPr="002C5292">
        <w:t xml:space="preserve">all subordinate legislation </w:t>
      </w:r>
      <w:r w:rsidRPr="002C5292">
        <w:t>would face</w:t>
      </w:r>
      <w:r w:rsidR="00901190" w:rsidRPr="002C5292">
        <w:t xml:space="preserve"> rigorous analysis, public consultation and parliamentary scrutiny where it could impose a significant burden on a sector of the public. </w:t>
      </w:r>
    </w:p>
    <w:p w14:paraId="6EE48CFC" w14:textId="74BC3403" w:rsidR="00901190" w:rsidRPr="002C5292" w:rsidRDefault="00901190" w:rsidP="00A50431">
      <w:pPr>
        <w:pStyle w:val="Heading2"/>
      </w:pPr>
      <w:bookmarkStart w:id="30" w:name="_Toc70082354"/>
      <w:r w:rsidRPr="002C5292">
        <w:t>Legislative instruments</w:t>
      </w:r>
      <w:bookmarkEnd w:id="30"/>
    </w:p>
    <w:p w14:paraId="05FEC0D7" w14:textId="419B82C4" w:rsidR="006D4E01" w:rsidRPr="002C5292" w:rsidRDefault="00901190" w:rsidP="0090119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For the purposes of the SLA, the term ‘legislative instruments’ </w:t>
      </w:r>
      <w:r w:rsidR="006D4E01" w:rsidRPr="002C5292">
        <w:rPr>
          <w:rFonts w:asciiTheme="majorHAnsi" w:hAnsiTheme="majorHAnsi" w:cstheme="majorHAnsi"/>
          <w:sz w:val="22"/>
          <w:szCs w:val="22"/>
        </w:rPr>
        <w:t xml:space="preserve">is intended </w:t>
      </w:r>
      <w:r w:rsidRPr="002C5292">
        <w:rPr>
          <w:rFonts w:asciiTheme="majorHAnsi" w:hAnsiTheme="majorHAnsi" w:cstheme="majorHAnsi"/>
          <w:sz w:val="22"/>
          <w:szCs w:val="22"/>
        </w:rPr>
        <w:t>to cover the broad range of subordinate legislation that will be subject to the preparation requirements outlined in the SLA</w:t>
      </w:r>
      <w:r w:rsidR="001F4552" w:rsidRPr="002C5292">
        <w:rPr>
          <w:rFonts w:asciiTheme="majorHAnsi" w:hAnsiTheme="majorHAnsi" w:cstheme="majorHAnsi"/>
          <w:sz w:val="22"/>
          <w:szCs w:val="22"/>
        </w:rPr>
        <w:t xml:space="preserve">, other than </w:t>
      </w:r>
      <w:r w:rsidR="00C44388" w:rsidRPr="002C5292">
        <w:rPr>
          <w:rFonts w:asciiTheme="majorHAnsi" w:hAnsiTheme="majorHAnsi" w:cstheme="majorHAnsi"/>
          <w:sz w:val="22"/>
          <w:szCs w:val="22"/>
        </w:rPr>
        <w:t>s</w:t>
      </w:r>
      <w:r w:rsidR="001F4552" w:rsidRPr="002C5292">
        <w:rPr>
          <w:rFonts w:asciiTheme="majorHAnsi" w:hAnsiTheme="majorHAnsi" w:cstheme="majorHAnsi"/>
          <w:sz w:val="22"/>
          <w:szCs w:val="22"/>
        </w:rPr>
        <w:t xml:space="preserve">tatutory </w:t>
      </w:r>
      <w:r w:rsidR="00C44388" w:rsidRPr="002C5292">
        <w:rPr>
          <w:rFonts w:asciiTheme="majorHAnsi" w:hAnsiTheme="majorHAnsi" w:cstheme="majorHAnsi"/>
          <w:sz w:val="22"/>
          <w:szCs w:val="22"/>
        </w:rPr>
        <w:t>r</w:t>
      </w:r>
      <w:r w:rsidR="001F4552" w:rsidRPr="002C5292">
        <w:rPr>
          <w:rFonts w:asciiTheme="majorHAnsi" w:hAnsiTheme="majorHAnsi" w:cstheme="majorHAnsi"/>
          <w:sz w:val="22"/>
          <w:szCs w:val="22"/>
        </w:rPr>
        <w:t>ules</w:t>
      </w:r>
      <w:r w:rsidRPr="002C5292">
        <w:rPr>
          <w:rFonts w:asciiTheme="majorHAnsi" w:hAnsiTheme="majorHAnsi" w:cstheme="majorHAnsi"/>
          <w:sz w:val="22"/>
          <w:szCs w:val="22"/>
        </w:rPr>
        <w:t xml:space="preserve">. </w:t>
      </w:r>
    </w:p>
    <w:p w14:paraId="464EDB04" w14:textId="5452AA1F" w:rsidR="00901190" w:rsidRPr="002C5292" w:rsidRDefault="00F12B38" w:rsidP="00F12B3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An instrument is legislative (</w:t>
      </w:r>
      <w:r w:rsidR="00901190" w:rsidRPr="002C5292">
        <w:rPr>
          <w:rFonts w:asciiTheme="majorHAnsi" w:hAnsiTheme="majorHAnsi" w:cstheme="majorHAnsi"/>
          <w:sz w:val="22"/>
          <w:szCs w:val="22"/>
        </w:rPr>
        <w:t>section 3(1)</w:t>
      </w:r>
      <w:r w:rsidRPr="002C5292">
        <w:rPr>
          <w:rFonts w:asciiTheme="majorHAnsi" w:hAnsiTheme="majorHAnsi" w:cstheme="majorHAnsi"/>
          <w:sz w:val="22"/>
          <w:szCs w:val="22"/>
        </w:rPr>
        <w:t xml:space="preserve"> SLA</w:t>
      </w:r>
      <w:r w:rsidR="00901190" w:rsidRPr="002C5292">
        <w:rPr>
          <w:rFonts w:asciiTheme="majorHAnsi" w:hAnsiTheme="majorHAnsi" w:cstheme="majorHAnsi"/>
          <w:sz w:val="22"/>
          <w:szCs w:val="22"/>
        </w:rPr>
        <w:t xml:space="preserve">) </w:t>
      </w:r>
      <w:r w:rsidRPr="002C5292">
        <w:rPr>
          <w:rFonts w:asciiTheme="majorHAnsi" w:hAnsiTheme="majorHAnsi" w:cstheme="majorHAnsi"/>
          <w:sz w:val="22"/>
          <w:szCs w:val="22"/>
        </w:rPr>
        <w:t>if it is</w:t>
      </w:r>
      <w:r w:rsidR="00901190" w:rsidRPr="002C5292">
        <w:rPr>
          <w:rFonts w:asciiTheme="majorHAnsi" w:hAnsiTheme="majorHAnsi" w:cstheme="majorHAnsi"/>
          <w:sz w:val="22"/>
          <w:szCs w:val="22"/>
        </w:rPr>
        <w:t xml:space="preserve"> made under an Act or statutory rule </w:t>
      </w:r>
      <w:r w:rsidRPr="002C5292">
        <w:rPr>
          <w:rFonts w:asciiTheme="majorHAnsi" w:hAnsiTheme="majorHAnsi" w:cstheme="majorHAnsi"/>
          <w:sz w:val="22"/>
          <w:szCs w:val="22"/>
        </w:rPr>
        <w:t xml:space="preserve">and has </w:t>
      </w:r>
      <w:r w:rsidR="00901190" w:rsidRPr="002C5292">
        <w:rPr>
          <w:rFonts w:asciiTheme="majorHAnsi" w:hAnsiTheme="majorHAnsi" w:cstheme="majorHAnsi"/>
          <w:sz w:val="22"/>
          <w:szCs w:val="22"/>
        </w:rPr>
        <w:t>a legislative character but does not include</w:t>
      </w:r>
      <w:r w:rsidR="00A50BB0" w:rsidRPr="002C5292">
        <w:rPr>
          <w:rFonts w:asciiTheme="majorHAnsi" w:hAnsiTheme="majorHAnsi" w:cstheme="majorHAnsi"/>
          <w:sz w:val="22"/>
          <w:szCs w:val="22"/>
        </w:rPr>
        <w:t>:</w:t>
      </w:r>
    </w:p>
    <w:p w14:paraId="5A34F2EE" w14:textId="77777777" w:rsidR="00901190" w:rsidRPr="002C5292" w:rsidRDefault="00901190" w:rsidP="000C4A15">
      <w:pPr>
        <w:pStyle w:val="DPCbodytext"/>
        <w:numPr>
          <w:ilvl w:val="0"/>
          <w:numId w:val="43"/>
        </w:numPr>
      </w:pPr>
      <w:r w:rsidRPr="002C5292">
        <w:t>a statutory rule; or</w:t>
      </w:r>
    </w:p>
    <w:p w14:paraId="3C58836E" w14:textId="568FF4C3" w:rsidR="00901190" w:rsidRPr="002C5292" w:rsidRDefault="00027CF0" w:rsidP="000C4A15">
      <w:pPr>
        <w:pStyle w:val="DPCbodytext"/>
        <w:numPr>
          <w:ilvl w:val="0"/>
          <w:numId w:val="43"/>
        </w:numPr>
      </w:pPr>
      <w:r w:rsidRPr="002C5292">
        <w:t xml:space="preserve">a local law made under Division 3 of Part 3 of the </w:t>
      </w:r>
      <w:r w:rsidRPr="002C5292">
        <w:rPr>
          <w:bCs/>
          <w:i/>
          <w:iCs/>
        </w:rPr>
        <w:t>Local Government Act 2020</w:t>
      </w:r>
      <w:r w:rsidRPr="002C5292">
        <w:t xml:space="preserve"> and any other instrument made by a council under that Act or any other Act</w:t>
      </w:r>
      <w:r w:rsidR="00901190" w:rsidRPr="002C5292">
        <w:t>; or</w:t>
      </w:r>
    </w:p>
    <w:p w14:paraId="2AB6ED2D" w14:textId="77777777" w:rsidR="00901190" w:rsidRPr="002C5292" w:rsidRDefault="00901190" w:rsidP="000C4A15">
      <w:pPr>
        <w:pStyle w:val="DPCbodytext"/>
        <w:numPr>
          <w:ilvl w:val="0"/>
          <w:numId w:val="43"/>
        </w:numPr>
      </w:pPr>
      <w:r w:rsidRPr="002C5292">
        <w:t>a proclamation of commencement of an Act or any provision of an Act; or</w:t>
      </w:r>
    </w:p>
    <w:p w14:paraId="46B5A57F" w14:textId="77777777" w:rsidR="00901190" w:rsidRPr="002C5292" w:rsidRDefault="00901190" w:rsidP="000C4A15">
      <w:pPr>
        <w:pStyle w:val="DPCbodytext"/>
        <w:numPr>
          <w:ilvl w:val="0"/>
          <w:numId w:val="43"/>
        </w:numPr>
      </w:pPr>
      <w:r w:rsidRPr="002C5292">
        <w:t xml:space="preserve">a planning scheme or an amendment to a planning scheme under the </w:t>
      </w:r>
      <w:r w:rsidRPr="002C5292">
        <w:rPr>
          <w:i/>
        </w:rPr>
        <w:t>Planning and Environment Act 1987</w:t>
      </w:r>
      <w:r w:rsidRPr="002C5292">
        <w:t>; or</w:t>
      </w:r>
    </w:p>
    <w:p w14:paraId="419AE449" w14:textId="09E5E5E5" w:rsidR="00901190" w:rsidRPr="002C5292" w:rsidRDefault="00901190" w:rsidP="000C4A15">
      <w:pPr>
        <w:pStyle w:val="DPCbodytext"/>
        <w:numPr>
          <w:ilvl w:val="0"/>
          <w:numId w:val="43"/>
        </w:numPr>
      </w:pPr>
      <w:r w:rsidRPr="002C5292">
        <w:t xml:space="preserve">the Victoria Planning Provisions within the meaning of the </w:t>
      </w:r>
      <w:r w:rsidRPr="002C5292">
        <w:rPr>
          <w:i/>
        </w:rPr>
        <w:t xml:space="preserve">Planning and </w:t>
      </w:r>
      <w:r w:rsidR="00A50BB0" w:rsidRPr="002C5292">
        <w:rPr>
          <w:i/>
        </w:rPr>
        <w:t>Environment </w:t>
      </w:r>
      <w:r w:rsidRPr="002C5292">
        <w:rPr>
          <w:i/>
        </w:rPr>
        <w:t>Act</w:t>
      </w:r>
      <w:r w:rsidR="00027CF0" w:rsidRPr="002C5292">
        <w:rPr>
          <w:i/>
        </w:rPr>
        <w:t> </w:t>
      </w:r>
      <w:r w:rsidRPr="002C5292">
        <w:rPr>
          <w:i/>
        </w:rPr>
        <w:t>1987</w:t>
      </w:r>
      <w:r w:rsidRPr="002C5292">
        <w:t>; or</w:t>
      </w:r>
    </w:p>
    <w:p w14:paraId="6E34949E" w14:textId="77777777" w:rsidR="00901190" w:rsidRPr="002C5292" w:rsidRDefault="00901190" w:rsidP="000C4A15">
      <w:pPr>
        <w:pStyle w:val="DPCbodytext"/>
        <w:numPr>
          <w:ilvl w:val="0"/>
          <w:numId w:val="43"/>
        </w:numPr>
      </w:pPr>
      <w:r w:rsidRPr="002C5292">
        <w:t>a practice note or practice direction issued by or on behalf of a court or tribunal or an instrument which related only to a court or tribunal or the procedure, practice or costs of a court or tribunal; or</w:t>
      </w:r>
    </w:p>
    <w:p w14:paraId="723651E7" w14:textId="77777777" w:rsidR="00901190" w:rsidRPr="002C5292" w:rsidRDefault="00901190" w:rsidP="000C4A15">
      <w:pPr>
        <w:pStyle w:val="DPCbodytext"/>
        <w:numPr>
          <w:ilvl w:val="0"/>
          <w:numId w:val="43"/>
        </w:numPr>
      </w:pPr>
      <w:r w:rsidRPr="002C5292">
        <w:t>an instrument of purely administrative character; or</w:t>
      </w:r>
    </w:p>
    <w:p w14:paraId="28F10953" w14:textId="001E9F03" w:rsidR="00901190" w:rsidRPr="002C5292" w:rsidRDefault="00901190" w:rsidP="000C4A15">
      <w:pPr>
        <w:pStyle w:val="DPCbodytext"/>
        <w:numPr>
          <w:ilvl w:val="0"/>
          <w:numId w:val="43"/>
        </w:numPr>
      </w:pPr>
      <w:r w:rsidRPr="002C5292">
        <w:t>a prescribed instrument or a prescribed class of instrument.</w:t>
      </w:r>
    </w:p>
    <w:p w14:paraId="32A4275F" w14:textId="5791A112" w:rsidR="0067245A" w:rsidRPr="002C5292" w:rsidRDefault="0067245A"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An instrument will generally be considered to have ‘legislative character’ if it contains mandatory requirements with general application to undertake certain action(s), often accompanied by penalties or sanctions for non-compliance. See Part 1, Division 2 of the SLA Guidelines for further explanation and criteria that may apply. See </w:t>
      </w:r>
      <w:r w:rsidR="00556D2C" w:rsidRPr="002C5292">
        <w:rPr>
          <w:rFonts w:asciiTheme="majorHAnsi" w:hAnsiTheme="majorHAnsi" w:cstheme="majorHAnsi"/>
          <w:sz w:val="22"/>
          <w:szCs w:val="22"/>
        </w:rPr>
        <w:t>Table 1</w:t>
      </w:r>
      <w:r w:rsidRPr="002C5292">
        <w:rPr>
          <w:rFonts w:asciiTheme="majorHAnsi" w:hAnsiTheme="majorHAnsi" w:cstheme="majorHAnsi"/>
          <w:sz w:val="22"/>
          <w:szCs w:val="22"/>
        </w:rPr>
        <w:t xml:space="preserve"> below for further assistance on establishing whether an instrument is a ‘legislative instrument’ for the purposes of the SLA. </w:t>
      </w:r>
    </w:p>
    <w:p w14:paraId="6AA26F91" w14:textId="245BB84E" w:rsidR="0067245A" w:rsidRPr="002C5292" w:rsidRDefault="0067245A"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The definition of ‘legislative instrument’ expressly excludes certain types of instruments, including instruments of a purely administrative character. See section 3(2) of the SLA for a non-exhaustive list of instruments that are of a purely administrative character.</w:t>
      </w:r>
    </w:p>
    <w:p w14:paraId="6CBCE640" w14:textId="4E553D4B" w:rsidR="002E6F7C" w:rsidRPr="002C5292" w:rsidRDefault="0079415F"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 SLA Guidelines </w:t>
      </w:r>
      <w:r w:rsidR="0067245A" w:rsidRPr="002C5292">
        <w:rPr>
          <w:rFonts w:asciiTheme="majorHAnsi" w:hAnsiTheme="majorHAnsi" w:cstheme="majorHAnsi"/>
          <w:sz w:val="22"/>
          <w:szCs w:val="22"/>
        </w:rPr>
        <w:t>identify</w:t>
      </w:r>
      <w:r w:rsidRPr="002C5292">
        <w:rPr>
          <w:rFonts w:asciiTheme="majorHAnsi" w:hAnsiTheme="majorHAnsi" w:cstheme="majorHAnsi"/>
          <w:sz w:val="22"/>
          <w:szCs w:val="22"/>
        </w:rPr>
        <w:t xml:space="preserve"> </w:t>
      </w:r>
      <w:r w:rsidR="0000646F" w:rsidRPr="002C5292">
        <w:rPr>
          <w:rFonts w:asciiTheme="majorHAnsi" w:hAnsiTheme="majorHAnsi" w:cstheme="majorHAnsi"/>
          <w:sz w:val="22"/>
          <w:szCs w:val="22"/>
        </w:rPr>
        <w:t xml:space="preserve">non-exhaustive </w:t>
      </w:r>
      <w:r w:rsidRPr="002C5292">
        <w:rPr>
          <w:rFonts w:asciiTheme="majorHAnsi" w:hAnsiTheme="majorHAnsi" w:cstheme="majorHAnsi"/>
          <w:sz w:val="22"/>
          <w:szCs w:val="22"/>
        </w:rPr>
        <w:t xml:space="preserve">factors to consider </w:t>
      </w:r>
      <w:r w:rsidR="00684B4F" w:rsidRPr="002C5292">
        <w:rPr>
          <w:rFonts w:asciiTheme="majorHAnsi" w:hAnsiTheme="majorHAnsi" w:cstheme="majorHAnsi"/>
          <w:sz w:val="22"/>
          <w:szCs w:val="22"/>
        </w:rPr>
        <w:t xml:space="preserve">when assessing </w:t>
      </w:r>
      <w:r w:rsidR="001A1796" w:rsidRPr="002C5292">
        <w:rPr>
          <w:rFonts w:asciiTheme="majorHAnsi" w:hAnsiTheme="majorHAnsi" w:cstheme="majorHAnsi"/>
          <w:sz w:val="22"/>
          <w:szCs w:val="22"/>
        </w:rPr>
        <w:t>an instrument and encourages a holistic and global approach</w:t>
      </w:r>
      <w:r w:rsidRPr="002C5292">
        <w:rPr>
          <w:rFonts w:asciiTheme="majorHAnsi" w:hAnsiTheme="majorHAnsi" w:cstheme="majorHAnsi"/>
          <w:sz w:val="22"/>
          <w:szCs w:val="22"/>
        </w:rPr>
        <w:t xml:space="preserve"> </w:t>
      </w:r>
      <w:r w:rsidR="001A1796" w:rsidRPr="002C5292">
        <w:rPr>
          <w:rFonts w:asciiTheme="majorHAnsi" w:hAnsiTheme="majorHAnsi" w:cstheme="majorHAnsi"/>
          <w:sz w:val="22"/>
          <w:szCs w:val="22"/>
        </w:rPr>
        <w:t>as to whether it is</w:t>
      </w:r>
      <w:r w:rsidR="0000646F" w:rsidRPr="002C5292">
        <w:rPr>
          <w:rFonts w:asciiTheme="majorHAnsi" w:hAnsiTheme="majorHAnsi" w:cstheme="majorHAnsi"/>
          <w:sz w:val="22"/>
          <w:szCs w:val="22"/>
        </w:rPr>
        <w:t xml:space="preserve"> of a legislative </w:t>
      </w:r>
      <w:r w:rsidR="001A1796" w:rsidRPr="002C5292">
        <w:rPr>
          <w:rFonts w:asciiTheme="majorHAnsi" w:hAnsiTheme="majorHAnsi" w:cstheme="majorHAnsi"/>
          <w:sz w:val="22"/>
          <w:szCs w:val="22"/>
        </w:rPr>
        <w:t>character</w:t>
      </w:r>
      <w:r w:rsidR="0000646F" w:rsidRPr="002C5292">
        <w:rPr>
          <w:rFonts w:asciiTheme="majorHAnsi" w:hAnsiTheme="majorHAnsi" w:cstheme="majorHAnsi"/>
          <w:sz w:val="22"/>
          <w:szCs w:val="22"/>
        </w:rPr>
        <w:t xml:space="preserve">. Generally, </w:t>
      </w:r>
      <w:r w:rsidR="0067245A" w:rsidRPr="002C5292">
        <w:rPr>
          <w:rFonts w:asciiTheme="majorHAnsi" w:hAnsiTheme="majorHAnsi" w:cstheme="majorHAnsi"/>
          <w:sz w:val="22"/>
          <w:szCs w:val="22"/>
        </w:rPr>
        <w:t>the assessment</w:t>
      </w:r>
      <w:r w:rsidR="0000646F" w:rsidRPr="002C5292">
        <w:rPr>
          <w:rFonts w:asciiTheme="majorHAnsi" w:hAnsiTheme="majorHAnsi" w:cstheme="majorHAnsi"/>
          <w:sz w:val="22"/>
          <w:szCs w:val="22"/>
        </w:rPr>
        <w:t xml:space="preserve"> involves </w:t>
      </w:r>
      <w:r w:rsidR="001A1796" w:rsidRPr="002C5292">
        <w:rPr>
          <w:rFonts w:asciiTheme="majorHAnsi" w:hAnsiTheme="majorHAnsi" w:cstheme="majorHAnsi"/>
          <w:sz w:val="22"/>
          <w:szCs w:val="22"/>
        </w:rPr>
        <w:t xml:space="preserve">considering </w:t>
      </w:r>
      <w:r w:rsidR="00F51FBD" w:rsidRPr="002C5292">
        <w:rPr>
          <w:rFonts w:asciiTheme="majorHAnsi" w:hAnsiTheme="majorHAnsi" w:cstheme="majorHAnsi"/>
          <w:sz w:val="22"/>
          <w:szCs w:val="22"/>
        </w:rPr>
        <w:t xml:space="preserve">if </w:t>
      </w:r>
      <w:r w:rsidR="0000646F" w:rsidRPr="002C5292">
        <w:rPr>
          <w:rFonts w:asciiTheme="majorHAnsi" w:hAnsiTheme="majorHAnsi" w:cstheme="majorHAnsi"/>
          <w:sz w:val="22"/>
          <w:szCs w:val="22"/>
        </w:rPr>
        <w:t xml:space="preserve">the instrument settles or determines rights, </w:t>
      </w:r>
      <w:r w:rsidR="001A1796" w:rsidRPr="002C5292">
        <w:rPr>
          <w:rFonts w:asciiTheme="majorHAnsi" w:hAnsiTheme="majorHAnsi" w:cstheme="majorHAnsi"/>
          <w:sz w:val="22"/>
          <w:szCs w:val="22"/>
        </w:rPr>
        <w:t>entitlements,</w:t>
      </w:r>
      <w:r w:rsidR="0000646F" w:rsidRPr="002C5292">
        <w:rPr>
          <w:rFonts w:asciiTheme="majorHAnsi" w:hAnsiTheme="majorHAnsi" w:cstheme="majorHAnsi"/>
          <w:sz w:val="22"/>
          <w:szCs w:val="22"/>
        </w:rPr>
        <w:t xml:space="preserve"> and obligations. The non-exhaustive factors </w:t>
      </w:r>
      <w:r w:rsidR="00684B4F" w:rsidRPr="002C5292">
        <w:rPr>
          <w:rFonts w:asciiTheme="majorHAnsi" w:hAnsiTheme="majorHAnsi" w:cstheme="majorHAnsi"/>
          <w:sz w:val="22"/>
          <w:szCs w:val="22"/>
        </w:rPr>
        <w:t xml:space="preserve">include </w:t>
      </w:r>
      <w:r w:rsidR="0000646F" w:rsidRPr="002C5292">
        <w:rPr>
          <w:rFonts w:asciiTheme="majorHAnsi" w:hAnsiTheme="majorHAnsi" w:cstheme="majorHAnsi"/>
          <w:sz w:val="22"/>
          <w:szCs w:val="22"/>
        </w:rPr>
        <w:t xml:space="preserve">whether the instrument is of general or limited application, if compliance </w:t>
      </w:r>
      <w:r w:rsidR="001A1796" w:rsidRPr="002C5292">
        <w:rPr>
          <w:rFonts w:asciiTheme="majorHAnsi" w:hAnsiTheme="majorHAnsi" w:cstheme="majorHAnsi"/>
          <w:sz w:val="22"/>
          <w:szCs w:val="22"/>
        </w:rPr>
        <w:t xml:space="preserve">with the instrument </w:t>
      </w:r>
      <w:r w:rsidR="0000646F" w:rsidRPr="002C5292">
        <w:rPr>
          <w:rFonts w:asciiTheme="majorHAnsi" w:hAnsiTheme="majorHAnsi" w:cstheme="majorHAnsi"/>
          <w:sz w:val="22"/>
          <w:szCs w:val="22"/>
        </w:rPr>
        <w:t xml:space="preserve">is mandatory, and if the instrument </w:t>
      </w:r>
      <w:r w:rsidR="00A05928" w:rsidRPr="002C5292">
        <w:rPr>
          <w:rFonts w:asciiTheme="majorHAnsi" w:hAnsiTheme="majorHAnsi" w:cstheme="majorHAnsi"/>
          <w:sz w:val="22"/>
          <w:szCs w:val="22"/>
        </w:rPr>
        <w:t>is</w:t>
      </w:r>
      <w:r w:rsidR="0000646F" w:rsidRPr="002C5292">
        <w:rPr>
          <w:rFonts w:asciiTheme="majorHAnsi" w:hAnsiTheme="majorHAnsi" w:cstheme="majorHAnsi"/>
          <w:sz w:val="22"/>
          <w:szCs w:val="22"/>
        </w:rPr>
        <w:t xml:space="preserve"> disallow</w:t>
      </w:r>
      <w:r w:rsidR="00A05928" w:rsidRPr="002C5292">
        <w:rPr>
          <w:rFonts w:asciiTheme="majorHAnsi" w:hAnsiTheme="majorHAnsi" w:cstheme="majorHAnsi"/>
          <w:sz w:val="22"/>
          <w:szCs w:val="22"/>
        </w:rPr>
        <w:t>able</w:t>
      </w:r>
      <w:r w:rsidR="0000646F" w:rsidRPr="002C5292">
        <w:rPr>
          <w:rFonts w:asciiTheme="majorHAnsi" w:hAnsiTheme="majorHAnsi" w:cstheme="majorHAnsi"/>
          <w:sz w:val="22"/>
          <w:szCs w:val="22"/>
        </w:rPr>
        <w:t xml:space="preserve"> by Parliament. </w:t>
      </w:r>
    </w:p>
    <w:p w14:paraId="2D39352B" w14:textId="77777777" w:rsidR="003F3BDF" w:rsidRPr="002C5292" w:rsidRDefault="003F3BDF">
      <w:pPr>
        <w:rPr>
          <w:rFonts w:asciiTheme="majorHAnsi" w:hAnsiTheme="majorHAnsi" w:cstheme="majorHAnsi"/>
          <w:lang w:eastAsia="en-AU"/>
        </w:rPr>
      </w:pPr>
    </w:p>
    <w:p w14:paraId="4BB1DA0C" w14:textId="77777777" w:rsidR="009603A5" w:rsidRPr="002C5292" w:rsidRDefault="009603A5">
      <w:pPr>
        <w:rPr>
          <w:rFonts w:asciiTheme="majorHAnsi" w:eastAsia="MS Gothic" w:hAnsiTheme="majorHAnsi"/>
          <w:b/>
          <w:bCs/>
          <w:color w:val="53565A"/>
        </w:rPr>
      </w:pPr>
      <w:r w:rsidRPr="002C5292">
        <w:rPr>
          <w:rFonts w:asciiTheme="majorHAnsi" w:eastAsia="MS Gothic" w:hAnsiTheme="majorHAnsi"/>
          <w:b/>
          <w:bCs/>
          <w:color w:val="53565A"/>
        </w:rPr>
        <w:br w:type="page"/>
      </w:r>
    </w:p>
    <w:p w14:paraId="5E458163" w14:textId="4BAD2002" w:rsidR="004536DB" w:rsidRPr="002C5292" w:rsidRDefault="004536DB" w:rsidP="00933A64">
      <w:pPr>
        <w:rPr>
          <w:rFonts w:asciiTheme="majorHAnsi" w:eastAsia="MS Gothic" w:hAnsiTheme="majorHAnsi"/>
          <w:b/>
          <w:bCs/>
          <w:color w:val="53565A"/>
        </w:rPr>
      </w:pPr>
      <w:r w:rsidRPr="002C5292">
        <w:rPr>
          <w:rFonts w:asciiTheme="majorHAnsi" w:eastAsia="MS Gothic" w:hAnsiTheme="majorHAnsi"/>
          <w:b/>
          <w:bCs/>
          <w:color w:val="53565A"/>
        </w:rPr>
        <w:t>Table</w:t>
      </w:r>
      <w:r w:rsidR="00556D2C" w:rsidRPr="002C5292">
        <w:rPr>
          <w:rFonts w:asciiTheme="majorHAnsi" w:eastAsia="MS Gothic" w:hAnsiTheme="majorHAnsi"/>
          <w:b/>
          <w:bCs/>
          <w:color w:val="53565A"/>
        </w:rPr>
        <w:t xml:space="preserve"> 1 – Factors relevant to legislative instrument consideration</w:t>
      </w:r>
    </w:p>
    <w:p w14:paraId="24C34F6A" w14:textId="355A24E0" w:rsidR="003F3BDF" w:rsidRPr="002C5292" w:rsidRDefault="003F3BDF">
      <w:pPr>
        <w:rPr>
          <w:rFonts w:asciiTheme="majorHAnsi" w:hAnsiTheme="majorHAnsi" w:cstheme="majorHAnsi"/>
          <w:lang w:eastAsia="en-AU"/>
        </w:rPr>
      </w:pPr>
      <w:r w:rsidRPr="002C5292">
        <w:rPr>
          <w:rFonts w:asciiTheme="majorHAnsi" w:hAnsiTheme="majorHAnsi" w:cstheme="majorHAnsi"/>
          <w:noProof/>
          <w:lang w:eastAsia="en-AU"/>
        </w:rPr>
        <w:drawing>
          <wp:inline distT="0" distB="0" distL="0" distR="0" wp14:anchorId="596B839F" wp14:editId="1B528317">
            <wp:extent cx="5962015" cy="663888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5990462" cy="6670563"/>
                    </a:xfrm>
                    <a:prstGeom prst="rect">
                      <a:avLst/>
                    </a:prstGeom>
                  </pic:spPr>
                </pic:pic>
              </a:graphicData>
            </a:graphic>
          </wp:inline>
        </w:drawing>
      </w:r>
      <w:r w:rsidRPr="002C5292">
        <w:rPr>
          <w:rFonts w:asciiTheme="majorHAnsi" w:hAnsiTheme="majorHAnsi" w:cstheme="majorHAnsi"/>
          <w:lang w:eastAsia="en-AU"/>
        </w:rPr>
        <w:br w:type="page"/>
      </w:r>
    </w:p>
    <w:p w14:paraId="6EC30366" w14:textId="77777777" w:rsidR="0079415F" w:rsidRPr="002C5292" w:rsidRDefault="0079415F" w:rsidP="00901190">
      <w:pPr>
        <w:rPr>
          <w:rFonts w:asciiTheme="majorHAnsi" w:hAnsiTheme="majorHAnsi" w:cstheme="majorHAnsi"/>
          <w:lang w:eastAsia="en-AU"/>
        </w:rPr>
      </w:pPr>
    </w:p>
    <w:p w14:paraId="00D61DB6" w14:textId="1AFBA539" w:rsidR="00901190" w:rsidRPr="002C5292" w:rsidRDefault="00A50431" w:rsidP="00901190">
      <w:pPr>
        <w:rPr>
          <w:rFonts w:asciiTheme="majorHAnsi" w:hAnsiTheme="majorHAnsi" w:cstheme="majorHAnsi"/>
          <w:i/>
          <w:lang w:eastAsia="en-AU"/>
        </w:rPr>
      </w:pPr>
      <w:r w:rsidRPr="002C5292">
        <w:rPr>
          <w:rFonts w:asciiTheme="majorHAnsi" w:hAnsiTheme="majorHAnsi" w:cstheme="majorHAnsi"/>
          <w:i/>
          <w:lang w:eastAsia="en-AU"/>
        </w:rPr>
        <w:t xml:space="preserve">SLA </w:t>
      </w:r>
      <w:r w:rsidR="00901190" w:rsidRPr="002C5292">
        <w:rPr>
          <w:rFonts w:asciiTheme="majorHAnsi" w:hAnsiTheme="majorHAnsi" w:cstheme="majorHAnsi"/>
          <w:i/>
          <w:lang w:eastAsia="en-AU"/>
        </w:rPr>
        <w:t>requirements</w:t>
      </w:r>
    </w:p>
    <w:p w14:paraId="4836C37C" w14:textId="5560BEA3" w:rsidR="00F12B38" w:rsidRPr="002C5292" w:rsidRDefault="00F12B38" w:rsidP="00F12B3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Legislative instruments, like statutory rules, must undergo </w:t>
      </w:r>
      <w:r w:rsidR="00901190" w:rsidRPr="002C5292">
        <w:rPr>
          <w:rFonts w:asciiTheme="majorHAnsi" w:hAnsiTheme="majorHAnsi" w:cstheme="majorHAnsi"/>
          <w:sz w:val="22"/>
          <w:szCs w:val="22"/>
        </w:rPr>
        <w:t xml:space="preserve">a detailed process of analysis before </w:t>
      </w:r>
      <w:r w:rsidR="00030FE0" w:rsidRPr="002C5292">
        <w:rPr>
          <w:rFonts w:asciiTheme="majorHAnsi" w:hAnsiTheme="majorHAnsi" w:cstheme="majorHAnsi"/>
          <w:sz w:val="22"/>
          <w:szCs w:val="22"/>
        </w:rPr>
        <w:t>they are</w:t>
      </w:r>
      <w:r w:rsidRPr="002C5292">
        <w:rPr>
          <w:rFonts w:asciiTheme="majorHAnsi" w:hAnsiTheme="majorHAnsi" w:cstheme="majorHAnsi"/>
          <w:sz w:val="22"/>
          <w:szCs w:val="22"/>
        </w:rPr>
        <w:t xml:space="preserve"> made</w:t>
      </w:r>
      <w:r w:rsidR="00901190" w:rsidRPr="002C5292">
        <w:rPr>
          <w:rFonts w:asciiTheme="majorHAnsi" w:hAnsiTheme="majorHAnsi" w:cstheme="majorHAnsi"/>
          <w:sz w:val="22"/>
          <w:szCs w:val="22"/>
        </w:rPr>
        <w:t xml:space="preserve">. </w:t>
      </w:r>
      <w:r w:rsidRPr="002C5292">
        <w:rPr>
          <w:rFonts w:asciiTheme="majorHAnsi" w:hAnsiTheme="majorHAnsi" w:cstheme="majorHAnsi"/>
          <w:sz w:val="22"/>
          <w:szCs w:val="22"/>
        </w:rPr>
        <w:t>Doing so improves government accountability and transparency and leads to better quality regulation.</w:t>
      </w:r>
    </w:p>
    <w:p w14:paraId="313E903B" w14:textId="38D492F2" w:rsidR="00901190" w:rsidRPr="002C5292" w:rsidRDefault="00901190" w:rsidP="0090119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Key elements are the preparation of a RIS and public consultation on the RIS, which provides greater opportunities for public input on legislative instruments that significantly affect Victorians. </w:t>
      </w:r>
      <w:r w:rsidR="00C934BF" w:rsidRPr="002C5292">
        <w:rPr>
          <w:rFonts w:asciiTheme="majorHAnsi" w:hAnsiTheme="majorHAnsi" w:cstheme="majorHAnsi"/>
          <w:sz w:val="22"/>
          <w:szCs w:val="22"/>
        </w:rPr>
        <w:t>L</w:t>
      </w:r>
      <w:r w:rsidRPr="002C5292">
        <w:rPr>
          <w:rFonts w:asciiTheme="majorHAnsi" w:hAnsiTheme="majorHAnsi" w:cstheme="majorHAnsi"/>
          <w:sz w:val="22"/>
          <w:szCs w:val="22"/>
        </w:rPr>
        <w:t>egislative instruments must also be tabled in Parliament and will subsequently be reviewed by the SARC.</w:t>
      </w:r>
    </w:p>
    <w:p w14:paraId="52CF5855" w14:textId="327B0E25" w:rsidR="003F3BDF" w:rsidRPr="002C5292" w:rsidRDefault="001B4139">
      <w:pPr>
        <w:rPr>
          <w:rFonts w:asciiTheme="majorHAnsi" w:hAnsiTheme="majorHAnsi" w:cstheme="majorHAnsi"/>
        </w:rPr>
      </w:pPr>
      <w:r w:rsidRPr="002C5292">
        <w:rPr>
          <w:rFonts w:asciiTheme="majorHAnsi" w:hAnsiTheme="majorHAnsi" w:cstheme="majorHAnsi"/>
          <w:sz w:val="22"/>
          <w:szCs w:val="22"/>
        </w:rPr>
        <w:t xml:space="preserve">The flowchart below identifies the usual steps involved in the making of </w:t>
      </w:r>
      <w:r w:rsidR="0067245A" w:rsidRPr="002C5292">
        <w:rPr>
          <w:rFonts w:asciiTheme="majorHAnsi" w:hAnsiTheme="majorHAnsi" w:cstheme="majorHAnsi"/>
          <w:sz w:val="22"/>
          <w:szCs w:val="22"/>
        </w:rPr>
        <w:t>legislative instruments</w:t>
      </w:r>
      <w:r w:rsidRPr="002C5292">
        <w:rPr>
          <w:rFonts w:asciiTheme="majorHAnsi" w:hAnsiTheme="majorHAnsi" w:cstheme="majorHAnsi"/>
          <w:sz w:val="22"/>
          <w:szCs w:val="22"/>
        </w:rPr>
        <w:t xml:space="preserve">. </w:t>
      </w:r>
      <w:r w:rsidR="003F3BDF" w:rsidRPr="002C5292">
        <w:rPr>
          <w:rFonts w:asciiTheme="majorHAnsi" w:hAnsiTheme="majorHAnsi" w:cstheme="majorHAnsi"/>
          <w:noProof/>
          <w:lang w:eastAsia="en-AU"/>
        </w:rPr>
        <w:drawing>
          <wp:inline distT="0" distB="0" distL="0" distR="0" wp14:anchorId="7F5107F6" wp14:editId="477BBB42">
            <wp:extent cx="6524625" cy="5857875"/>
            <wp:effectExtent l="0" t="0" r="9525" b="952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4"/>
                    <a:stretch>
                      <a:fillRect/>
                    </a:stretch>
                  </pic:blipFill>
                  <pic:spPr>
                    <a:xfrm>
                      <a:off x="0" y="0"/>
                      <a:ext cx="6533197" cy="5865571"/>
                    </a:xfrm>
                    <a:prstGeom prst="rect">
                      <a:avLst/>
                    </a:prstGeom>
                  </pic:spPr>
                </pic:pic>
              </a:graphicData>
            </a:graphic>
          </wp:inline>
        </w:drawing>
      </w:r>
    </w:p>
    <w:p w14:paraId="576CF47C" w14:textId="5E444A1F" w:rsidR="00111B80" w:rsidRPr="002C5292" w:rsidRDefault="00111B80" w:rsidP="00111B8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Departments and </w:t>
      </w:r>
      <w:r w:rsidR="00EF54A7" w:rsidRPr="002C5292">
        <w:rPr>
          <w:rFonts w:asciiTheme="majorHAnsi" w:hAnsiTheme="majorHAnsi" w:cstheme="majorHAnsi"/>
          <w:sz w:val="22"/>
          <w:szCs w:val="22"/>
        </w:rPr>
        <w:t>a</w:t>
      </w:r>
      <w:r w:rsidRPr="002C5292">
        <w:rPr>
          <w:rFonts w:asciiTheme="majorHAnsi" w:hAnsiTheme="majorHAnsi" w:cstheme="majorHAnsi"/>
          <w:sz w:val="22"/>
          <w:szCs w:val="22"/>
        </w:rPr>
        <w:t xml:space="preserve">gencies must also comply with the legislative instrument making process set out in the </w:t>
      </w:r>
      <w:r w:rsidR="00B00FAD" w:rsidRPr="002C5292">
        <w:rPr>
          <w:rFonts w:asciiTheme="majorHAnsi" w:hAnsiTheme="majorHAnsi" w:cstheme="majorHAnsi"/>
          <w:sz w:val="22"/>
          <w:szCs w:val="22"/>
        </w:rPr>
        <w:t xml:space="preserve">instrument’s </w:t>
      </w:r>
      <w:r w:rsidRPr="002C5292">
        <w:rPr>
          <w:rFonts w:asciiTheme="majorHAnsi" w:hAnsiTheme="majorHAnsi" w:cstheme="majorHAnsi"/>
          <w:sz w:val="22"/>
          <w:szCs w:val="22"/>
        </w:rPr>
        <w:t>authorising Act.</w:t>
      </w:r>
    </w:p>
    <w:p w14:paraId="482FFB5B" w14:textId="1957EC50"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Prior to the amendments to the SLA</w:t>
      </w:r>
      <w:r w:rsidR="00451675" w:rsidRPr="002C5292">
        <w:rPr>
          <w:rFonts w:asciiTheme="majorHAnsi" w:hAnsiTheme="majorHAnsi" w:cstheme="majorHAnsi"/>
          <w:sz w:val="22"/>
          <w:szCs w:val="22"/>
        </w:rPr>
        <w:t xml:space="preserve"> in 2011</w:t>
      </w:r>
      <w:r w:rsidRPr="002C5292">
        <w:rPr>
          <w:rFonts w:asciiTheme="majorHAnsi" w:hAnsiTheme="majorHAnsi" w:cstheme="majorHAnsi"/>
          <w:sz w:val="22"/>
          <w:szCs w:val="22"/>
        </w:rPr>
        <w:t xml:space="preserve">, legislative instruments were not always readily accessible once made, even by those directly affected by them. </w:t>
      </w:r>
      <w:r w:rsidR="00F12B38" w:rsidRPr="002C5292">
        <w:rPr>
          <w:rFonts w:asciiTheme="majorHAnsi" w:hAnsiTheme="majorHAnsi" w:cstheme="majorHAnsi"/>
          <w:sz w:val="22"/>
          <w:szCs w:val="22"/>
        </w:rPr>
        <w:t>The SLA</w:t>
      </w:r>
      <w:r w:rsidR="00451675" w:rsidRPr="002C5292">
        <w:rPr>
          <w:rFonts w:asciiTheme="majorHAnsi" w:hAnsiTheme="majorHAnsi" w:cstheme="majorHAnsi"/>
          <w:sz w:val="22"/>
          <w:szCs w:val="22"/>
        </w:rPr>
        <w:t xml:space="preserve"> now</w:t>
      </w:r>
      <w:r w:rsidR="00F12B38" w:rsidRPr="002C5292">
        <w:rPr>
          <w:rFonts w:asciiTheme="majorHAnsi" w:hAnsiTheme="majorHAnsi" w:cstheme="majorHAnsi"/>
          <w:sz w:val="22"/>
          <w:szCs w:val="22"/>
        </w:rPr>
        <w:t xml:space="preserve"> requires that they b</w:t>
      </w:r>
      <w:r w:rsidRPr="002C5292">
        <w:rPr>
          <w:rFonts w:asciiTheme="majorHAnsi" w:hAnsiTheme="majorHAnsi" w:cstheme="majorHAnsi"/>
          <w:sz w:val="22"/>
          <w:szCs w:val="22"/>
        </w:rPr>
        <w:t xml:space="preserve">e published in the Victoria Government Gazette once they are made. This </w:t>
      </w:r>
      <w:r w:rsidR="00F12B38" w:rsidRPr="002C5292">
        <w:rPr>
          <w:rFonts w:asciiTheme="majorHAnsi" w:hAnsiTheme="majorHAnsi" w:cstheme="majorHAnsi"/>
          <w:sz w:val="22"/>
          <w:szCs w:val="22"/>
        </w:rPr>
        <w:t>applies</w:t>
      </w:r>
      <w:r w:rsidRPr="002C5292">
        <w:rPr>
          <w:rFonts w:asciiTheme="majorHAnsi" w:hAnsiTheme="majorHAnsi" w:cstheme="majorHAnsi"/>
          <w:sz w:val="22"/>
          <w:szCs w:val="22"/>
        </w:rPr>
        <w:t xml:space="preserve"> </w:t>
      </w:r>
      <w:r w:rsidR="00030FE0" w:rsidRPr="002C5292">
        <w:rPr>
          <w:rFonts w:asciiTheme="majorHAnsi" w:hAnsiTheme="majorHAnsi" w:cstheme="majorHAnsi"/>
          <w:sz w:val="22"/>
          <w:szCs w:val="22"/>
        </w:rPr>
        <w:t xml:space="preserve">to </w:t>
      </w:r>
      <w:r w:rsidRPr="002C5292">
        <w:rPr>
          <w:rFonts w:asciiTheme="majorHAnsi" w:hAnsiTheme="majorHAnsi" w:cstheme="majorHAnsi"/>
          <w:sz w:val="22"/>
          <w:szCs w:val="22"/>
        </w:rPr>
        <w:t>all legislative instruments, including any</w:t>
      </w:r>
      <w:r w:rsidR="008F3BF9" w:rsidRPr="002C5292" w:rsidDel="00BF347F">
        <w:rPr>
          <w:rFonts w:asciiTheme="majorHAnsi" w:hAnsiTheme="majorHAnsi" w:cstheme="majorHAnsi"/>
          <w:sz w:val="22"/>
          <w:szCs w:val="22"/>
        </w:rPr>
        <w:t xml:space="preserve"> </w:t>
      </w:r>
      <w:r w:rsidRPr="002C5292">
        <w:rPr>
          <w:rFonts w:asciiTheme="majorHAnsi" w:hAnsiTheme="majorHAnsi" w:cstheme="majorHAnsi"/>
          <w:sz w:val="22"/>
          <w:szCs w:val="22"/>
        </w:rPr>
        <w:t xml:space="preserve">instruments </w:t>
      </w:r>
      <w:r w:rsidR="00BF347F" w:rsidRPr="002C5292">
        <w:rPr>
          <w:rFonts w:asciiTheme="majorHAnsi" w:hAnsiTheme="majorHAnsi" w:cstheme="majorHAnsi"/>
          <w:sz w:val="22"/>
          <w:szCs w:val="22"/>
        </w:rPr>
        <w:t xml:space="preserve">automatically </w:t>
      </w:r>
      <w:r w:rsidRPr="002C5292">
        <w:rPr>
          <w:rFonts w:asciiTheme="majorHAnsi" w:hAnsiTheme="majorHAnsi" w:cstheme="majorHAnsi"/>
          <w:sz w:val="22"/>
          <w:szCs w:val="22"/>
        </w:rPr>
        <w:t xml:space="preserve">exempted from the SLA requirements by regulations made under section 4A or any instruments exempted on a case-by-case basis under section 12F </w:t>
      </w:r>
      <w:r w:rsidR="00EF54A7" w:rsidRPr="002C5292">
        <w:rPr>
          <w:rFonts w:asciiTheme="majorHAnsi" w:hAnsiTheme="majorHAnsi" w:cstheme="majorHAnsi"/>
          <w:sz w:val="22"/>
          <w:szCs w:val="22"/>
        </w:rPr>
        <w:t xml:space="preserve">(Ministerial exemption) </w:t>
      </w:r>
      <w:r w:rsidRPr="002C5292">
        <w:rPr>
          <w:rFonts w:asciiTheme="majorHAnsi" w:hAnsiTheme="majorHAnsi" w:cstheme="majorHAnsi"/>
          <w:sz w:val="22"/>
          <w:szCs w:val="22"/>
        </w:rPr>
        <w:t>or 12G</w:t>
      </w:r>
      <w:r w:rsidR="00EF54A7" w:rsidRPr="002C5292">
        <w:rPr>
          <w:rFonts w:asciiTheme="majorHAnsi" w:hAnsiTheme="majorHAnsi" w:cstheme="majorHAnsi"/>
          <w:sz w:val="22"/>
          <w:szCs w:val="22"/>
        </w:rPr>
        <w:t xml:space="preserve"> (Premier’s exemption)</w:t>
      </w:r>
      <w:r w:rsidRPr="002C5292">
        <w:rPr>
          <w:rFonts w:asciiTheme="majorHAnsi" w:hAnsiTheme="majorHAnsi" w:cstheme="majorHAnsi"/>
          <w:sz w:val="22"/>
          <w:szCs w:val="22"/>
        </w:rPr>
        <w:t>. This requirement ensures that legislative instruments will be on public record and, as a result, will be more accessible.</w:t>
      </w:r>
      <w:r w:rsidR="002642B9" w:rsidRPr="002C5292">
        <w:rPr>
          <w:rFonts w:asciiTheme="majorHAnsi" w:hAnsiTheme="majorHAnsi" w:cstheme="majorHAnsi"/>
          <w:sz w:val="22"/>
          <w:szCs w:val="22"/>
        </w:rPr>
        <w:t xml:space="preserve"> As discussed above, the main body of the Proposed Regulations include seven provisions </w:t>
      </w:r>
      <w:r w:rsidR="00917268" w:rsidRPr="002C5292">
        <w:rPr>
          <w:rFonts w:asciiTheme="majorHAnsi" w:hAnsiTheme="majorHAnsi" w:cstheme="majorHAnsi"/>
          <w:sz w:val="22"/>
          <w:szCs w:val="22"/>
        </w:rPr>
        <w:t>to make</w:t>
      </w:r>
      <w:r w:rsidR="002642B9" w:rsidRPr="002C5292">
        <w:rPr>
          <w:rFonts w:asciiTheme="majorHAnsi" w:hAnsiTheme="majorHAnsi" w:cstheme="majorHAnsi"/>
          <w:sz w:val="22"/>
          <w:szCs w:val="22"/>
        </w:rPr>
        <w:t xml:space="preserve"> legislative instruments that do not require publication of those instruments in the Government Gazette. This is because the Act under which the legislative instrument is made provides a contrary intention for this publication requirement. For example, an Order made under section 74E(1) or 74H(1) of the </w:t>
      </w:r>
      <w:r w:rsidR="002642B9" w:rsidRPr="002C5292">
        <w:rPr>
          <w:rFonts w:asciiTheme="majorHAnsi" w:hAnsiTheme="majorHAnsi" w:cstheme="majorHAnsi"/>
          <w:i/>
          <w:iCs/>
          <w:sz w:val="22"/>
          <w:szCs w:val="22"/>
        </w:rPr>
        <w:t>Emergency Management Act 2013</w:t>
      </w:r>
      <w:r w:rsidR="002642B9" w:rsidRPr="002C5292">
        <w:rPr>
          <w:rFonts w:asciiTheme="majorHAnsi" w:hAnsiTheme="majorHAnsi" w:cstheme="majorHAnsi"/>
          <w:sz w:val="22"/>
          <w:szCs w:val="22"/>
        </w:rPr>
        <w:t xml:space="preserve"> which designates critical infrastructure and responsible entity, is information included on the Victorian Critical Infrastructure Register. Section 74K limits access to the information on the Victorian Critical Infrastructure Register by certain persons or bodies. Given this legislative intention, these instruments do not need to comply with the SLA gazettal requirement and the whole of Part 2A of the SLA.</w:t>
      </w:r>
    </w:p>
    <w:p w14:paraId="3FAEC9A9" w14:textId="77777777" w:rsidR="00901190" w:rsidRPr="002C5292" w:rsidRDefault="00901190" w:rsidP="00901190">
      <w:pPr>
        <w:rPr>
          <w:rFonts w:asciiTheme="majorHAnsi" w:hAnsiTheme="majorHAnsi" w:cstheme="majorHAnsi"/>
          <w:i/>
          <w:lang w:eastAsia="en-AU"/>
        </w:rPr>
      </w:pPr>
      <w:r w:rsidRPr="002C5292">
        <w:rPr>
          <w:rFonts w:asciiTheme="majorHAnsi" w:hAnsiTheme="majorHAnsi" w:cstheme="majorHAnsi"/>
          <w:i/>
          <w:lang w:eastAsia="en-AU"/>
        </w:rPr>
        <w:t>Provision for regulations to be made</w:t>
      </w:r>
    </w:p>
    <w:p w14:paraId="2F7B2041" w14:textId="3E4A39B9"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The SLA recognise</w:t>
      </w:r>
      <w:r w:rsidR="00A50431" w:rsidRPr="002C5292">
        <w:rPr>
          <w:rFonts w:asciiTheme="majorHAnsi" w:hAnsiTheme="majorHAnsi" w:cstheme="majorHAnsi"/>
          <w:sz w:val="22"/>
          <w:szCs w:val="22"/>
        </w:rPr>
        <w:t>s</w:t>
      </w:r>
      <w:r w:rsidRPr="002C5292">
        <w:rPr>
          <w:rFonts w:asciiTheme="majorHAnsi" w:hAnsiTheme="majorHAnsi" w:cstheme="majorHAnsi"/>
          <w:sz w:val="22"/>
          <w:szCs w:val="22"/>
        </w:rPr>
        <w:t xml:space="preserve"> that some legislative instruments </w:t>
      </w:r>
      <w:r w:rsidR="006E629E" w:rsidRPr="002C5292">
        <w:rPr>
          <w:rFonts w:asciiTheme="majorHAnsi" w:hAnsiTheme="majorHAnsi" w:cstheme="majorHAnsi"/>
          <w:sz w:val="22"/>
          <w:szCs w:val="22"/>
        </w:rPr>
        <w:t>could</w:t>
      </w:r>
      <w:r w:rsidRPr="002C5292">
        <w:rPr>
          <w:rFonts w:asciiTheme="majorHAnsi" w:hAnsiTheme="majorHAnsi" w:cstheme="majorHAnsi"/>
          <w:sz w:val="22"/>
          <w:szCs w:val="22"/>
        </w:rPr>
        <w:t xml:space="preserve"> impose significant costs or a significant burden on people or organisations. However, other legislative instruments do not impose a </w:t>
      </w:r>
      <w:r w:rsidR="00193A33" w:rsidRPr="002C5292">
        <w:rPr>
          <w:rFonts w:asciiTheme="majorHAnsi" w:hAnsiTheme="majorHAnsi" w:cstheme="majorHAnsi"/>
          <w:sz w:val="22"/>
          <w:szCs w:val="22"/>
        </w:rPr>
        <w:t xml:space="preserve">significant </w:t>
      </w:r>
      <w:r w:rsidRPr="002C5292">
        <w:rPr>
          <w:rFonts w:asciiTheme="majorHAnsi" w:hAnsiTheme="majorHAnsi" w:cstheme="majorHAnsi"/>
          <w:sz w:val="22"/>
          <w:szCs w:val="22"/>
        </w:rPr>
        <w:t>burden; for example, some instruments are fundamentally declaratory or machinery in nature.</w:t>
      </w:r>
    </w:p>
    <w:p w14:paraId="21911882" w14:textId="27D02AAD"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Because not all legislative instruments require a level of analysis and scrutiny on par with statutory rules, section 4A of the SLA allows for </w:t>
      </w:r>
      <w:r w:rsidR="00A50431" w:rsidRPr="002C5292">
        <w:rPr>
          <w:rFonts w:asciiTheme="majorHAnsi" w:hAnsiTheme="majorHAnsi" w:cstheme="majorHAnsi"/>
          <w:sz w:val="22"/>
          <w:szCs w:val="22"/>
        </w:rPr>
        <w:t xml:space="preserve">the </w:t>
      </w:r>
      <w:r w:rsidR="00095532" w:rsidRPr="002C5292">
        <w:rPr>
          <w:rFonts w:asciiTheme="majorHAnsi" w:hAnsiTheme="majorHAnsi" w:cstheme="majorHAnsi"/>
          <w:sz w:val="22"/>
          <w:szCs w:val="22"/>
        </w:rPr>
        <w:t>Proposed Regulations</w:t>
      </w:r>
      <w:r w:rsidRPr="002C5292">
        <w:rPr>
          <w:rFonts w:asciiTheme="majorHAnsi" w:hAnsiTheme="majorHAnsi" w:cstheme="majorHAnsi"/>
          <w:sz w:val="22"/>
          <w:szCs w:val="22"/>
        </w:rPr>
        <w:t xml:space="preserve"> to be made that prescribe an instrument to be: legislative (subject to </w:t>
      </w:r>
      <w:r w:rsidR="002642B9" w:rsidRPr="002C5292">
        <w:rPr>
          <w:rFonts w:asciiTheme="majorHAnsi" w:hAnsiTheme="majorHAnsi" w:cstheme="majorHAnsi"/>
          <w:sz w:val="22"/>
          <w:szCs w:val="22"/>
        </w:rPr>
        <w:t xml:space="preserve">all of </w:t>
      </w:r>
      <w:r w:rsidRPr="002C5292">
        <w:rPr>
          <w:rFonts w:asciiTheme="majorHAnsi" w:hAnsiTheme="majorHAnsi" w:cstheme="majorHAnsi"/>
          <w:sz w:val="22"/>
          <w:szCs w:val="22"/>
        </w:rPr>
        <w:t>the requirements of the SLA); not legislative (usually, where the instrument is of purely administrative character) and therefore not subject to the SLA; or legislative but exempt</w:t>
      </w:r>
      <w:r w:rsidR="001D7633" w:rsidRPr="002C5292">
        <w:rPr>
          <w:rFonts w:asciiTheme="majorHAnsi" w:hAnsiTheme="majorHAnsi" w:cstheme="majorHAnsi"/>
          <w:sz w:val="22"/>
          <w:szCs w:val="22"/>
        </w:rPr>
        <w:t xml:space="preserve"> </w:t>
      </w:r>
      <w:r w:rsidR="00DA0C49" w:rsidRPr="002C5292">
        <w:rPr>
          <w:rFonts w:asciiTheme="majorHAnsi" w:hAnsiTheme="majorHAnsi" w:cstheme="majorHAnsi"/>
          <w:sz w:val="22"/>
          <w:szCs w:val="22"/>
        </w:rPr>
        <w:t xml:space="preserve">from certain </w:t>
      </w:r>
      <w:r w:rsidR="00A26111" w:rsidRPr="002C5292">
        <w:rPr>
          <w:rFonts w:asciiTheme="majorHAnsi" w:hAnsiTheme="majorHAnsi" w:cstheme="majorHAnsi"/>
          <w:sz w:val="22"/>
          <w:szCs w:val="22"/>
        </w:rPr>
        <w:t>requirements</w:t>
      </w:r>
      <w:r w:rsidR="00DA0C49" w:rsidRPr="002C5292">
        <w:rPr>
          <w:rFonts w:asciiTheme="majorHAnsi" w:hAnsiTheme="majorHAnsi" w:cstheme="majorHAnsi"/>
          <w:sz w:val="22"/>
          <w:szCs w:val="22"/>
        </w:rPr>
        <w:t xml:space="preserve"> of the SLA</w:t>
      </w:r>
      <w:r w:rsidRPr="002C5292">
        <w:rPr>
          <w:rFonts w:asciiTheme="majorHAnsi" w:hAnsiTheme="majorHAnsi" w:cstheme="majorHAnsi"/>
          <w:sz w:val="22"/>
          <w:szCs w:val="22"/>
        </w:rPr>
        <w:t xml:space="preserve">. </w:t>
      </w:r>
    </w:p>
    <w:p w14:paraId="56660439" w14:textId="0966C439"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Therefore, to further ensure that limited government resources are appropriately targeted at those legislative instruments that will impose a significant burden on a sector of the public, a number of </w:t>
      </w:r>
      <w:r w:rsidR="00FE03B0" w:rsidRPr="002C5292">
        <w:rPr>
          <w:rFonts w:asciiTheme="majorHAnsi" w:hAnsiTheme="majorHAnsi" w:cstheme="majorHAnsi"/>
          <w:sz w:val="22"/>
          <w:szCs w:val="22"/>
        </w:rPr>
        <w:t xml:space="preserve">automatic </w:t>
      </w:r>
      <w:r w:rsidRPr="002C5292">
        <w:rPr>
          <w:rFonts w:asciiTheme="majorHAnsi" w:hAnsiTheme="majorHAnsi" w:cstheme="majorHAnsi"/>
          <w:sz w:val="22"/>
          <w:szCs w:val="22"/>
        </w:rPr>
        <w:t xml:space="preserve">exemptions to the process are being proposed. All exempt </w:t>
      </w:r>
      <w:r w:rsidR="001D7633" w:rsidRPr="002C5292">
        <w:rPr>
          <w:rFonts w:asciiTheme="majorHAnsi" w:hAnsiTheme="majorHAnsi" w:cstheme="majorHAnsi"/>
          <w:sz w:val="22"/>
          <w:szCs w:val="22"/>
        </w:rPr>
        <w:t xml:space="preserve">legislative </w:t>
      </w:r>
      <w:r w:rsidRPr="002C5292">
        <w:rPr>
          <w:rFonts w:asciiTheme="majorHAnsi" w:hAnsiTheme="majorHAnsi" w:cstheme="majorHAnsi"/>
          <w:sz w:val="22"/>
          <w:szCs w:val="22"/>
        </w:rPr>
        <w:t>instruments would still be subject to the requirement to publish new instruments in the Victoria Government Gazette, to ensure they are accessible</w:t>
      </w:r>
      <w:r w:rsidR="00A50431" w:rsidRPr="002C5292">
        <w:rPr>
          <w:rFonts w:asciiTheme="majorHAnsi" w:hAnsiTheme="majorHAnsi" w:cstheme="majorHAnsi"/>
          <w:sz w:val="22"/>
          <w:szCs w:val="22"/>
        </w:rPr>
        <w:t xml:space="preserve"> (unless the authorising Act provides otherwise)</w:t>
      </w:r>
      <w:r w:rsidRPr="002C5292">
        <w:rPr>
          <w:rFonts w:asciiTheme="majorHAnsi" w:hAnsiTheme="majorHAnsi" w:cstheme="majorHAnsi"/>
          <w:sz w:val="22"/>
          <w:szCs w:val="22"/>
        </w:rPr>
        <w:t>.</w:t>
      </w:r>
    </w:p>
    <w:p w14:paraId="22BCE61C" w14:textId="243A7D60"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One of the intentions of allowing for </w:t>
      </w:r>
      <w:r w:rsidR="00A50431" w:rsidRPr="002C5292">
        <w:rPr>
          <w:rFonts w:asciiTheme="majorHAnsi" w:hAnsiTheme="majorHAnsi" w:cstheme="majorHAnsi"/>
          <w:sz w:val="22"/>
          <w:szCs w:val="22"/>
        </w:rPr>
        <w:t xml:space="preserve">the </w:t>
      </w:r>
      <w:r w:rsidR="00095532" w:rsidRPr="002C5292">
        <w:rPr>
          <w:rFonts w:asciiTheme="majorHAnsi" w:hAnsiTheme="majorHAnsi" w:cstheme="majorHAnsi"/>
          <w:sz w:val="22"/>
          <w:szCs w:val="22"/>
        </w:rPr>
        <w:t>Proposed Regulations</w:t>
      </w:r>
      <w:r w:rsidRPr="002C5292">
        <w:rPr>
          <w:rFonts w:asciiTheme="majorHAnsi" w:hAnsiTheme="majorHAnsi" w:cstheme="majorHAnsi"/>
          <w:sz w:val="22"/>
          <w:szCs w:val="22"/>
        </w:rPr>
        <w:t xml:space="preserve"> </w:t>
      </w:r>
      <w:r w:rsidR="00A50431" w:rsidRPr="002C5292">
        <w:rPr>
          <w:rFonts w:asciiTheme="majorHAnsi" w:hAnsiTheme="majorHAnsi" w:cstheme="majorHAnsi"/>
          <w:sz w:val="22"/>
          <w:szCs w:val="22"/>
        </w:rPr>
        <w:t>to</w:t>
      </w:r>
      <w:r w:rsidRPr="002C5292">
        <w:rPr>
          <w:rFonts w:asciiTheme="majorHAnsi" w:hAnsiTheme="majorHAnsi" w:cstheme="majorHAnsi"/>
          <w:sz w:val="22"/>
          <w:szCs w:val="22"/>
        </w:rPr>
        <w:t xml:space="preserve"> exempt </w:t>
      </w:r>
      <w:r w:rsidR="001D7633" w:rsidRPr="002C5292">
        <w:rPr>
          <w:rFonts w:asciiTheme="majorHAnsi" w:hAnsiTheme="majorHAnsi" w:cstheme="majorHAnsi"/>
          <w:sz w:val="22"/>
          <w:szCs w:val="22"/>
        </w:rPr>
        <w:t xml:space="preserve">legislative </w:t>
      </w:r>
      <w:r w:rsidRPr="002C5292">
        <w:rPr>
          <w:rFonts w:asciiTheme="majorHAnsi" w:hAnsiTheme="majorHAnsi" w:cstheme="majorHAnsi"/>
          <w:sz w:val="22"/>
          <w:szCs w:val="22"/>
        </w:rPr>
        <w:t xml:space="preserve">instruments from </w:t>
      </w:r>
      <w:r w:rsidR="00A50431" w:rsidRPr="002C5292">
        <w:rPr>
          <w:rFonts w:asciiTheme="majorHAnsi" w:hAnsiTheme="majorHAnsi" w:cstheme="majorHAnsi"/>
          <w:sz w:val="22"/>
          <w:szCs w:val="22"/>
        </w:rPr>
        <w:t xml:space="preserve">provisions in </w:t>
      </w:r>
      <w:r w:rsidRPr="002C5292">
        <w:rPr>
          <w:rFonts w:asciiTheme="majorHAnsi" w:hAnsiTheme="majorHAnsi" w:cstheme="majorHAnsi"/>
          <w:sz w:val="22"/>
          <w:szCs w:val="22"/>
        </w:rPr>
        <w:t xml:space="preserve">the SLA is to avoid the need for agencies to apply for an exemption (under section 12F or, in special circumstances, section 12G) each time an instrument is made that </w:t>
      </w:r>
      <w:r w:rsidR="005D7EA1" w:rsidRPr="002C5292">
        <w:rPr>
          <w:rFonts w:asciiTheme="majorHAnsi" w:hAnsiTheme="majorHAnsi" w:cstheme="majorHAnsi"/>
          <w:sz w:val="22"/>
          <w:szCs w:val="22"/>
        </w:rPr>
        <w:t xml:space="preserve">is expected to </w:t>
      </w:r>
      <w:r w:rsidR="009306E3" w:rsidRPr="002C5292">
        <w:rPr>
          <w:rFonts w:asciiTheme="majorHAnsi" w:hAnsiTheme="majorHAnsi" w:cstheme="majorHAnsi"/>
          <w:sz w:val="22"/>
          <w:szCs w:val="22"/>
        </w:rPr>
        <w:t xml:space="preserve">always </w:t>
      </w:r>
      <w:r w:rsidRPr="002C5292">
        <w:rPr>
          <w:rFonts w:asciiTheme="majorHAnsi" w:hAnsiTheme="majorHAnsi" w:cstheme="majorHAnsi"/>
          <w:sz w:val="22"/>
          <w:szCs w:val="22"/>
        </w:rPr>
        <w:t>meet one or more exemption criteria.</w:t>
      </w:r>
    </w:p>
    <w:p w14:paraId="43D48D20" w14:textId="1E6A4F0D"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Secondly, the </w:t>
      </w:r>
      <w:r w:rsidR="00095532" w:rsidRPr="002C5292">
        <w:rPr>
          <w:rFonts w:asciiTheme="majorHAnsi" w:hAnsiTheme="majorHAnsi" w:cstheme="majorHAnsi"/>
          <w:sz w:val="22"/>
          <w:szCs w:val="22"/>
        </w:rPr>
        <w:t>Proposed Regulations</w:t>
      </w:r>
      <w:r w:rsidRPr="002C5292">
        <w:rPr>
          <w:rFonts w:asciiTheme="majorHAnsi" w:hAnsiTheme="majorHAnsi" w:cstheme="majorHAnsi"/>
          <w:sz w:val="22"/>
          <w:szCs w:val="22"/>
        </w:rPr>
        <w:t xml:space="preserve"> seek to </w:t>
      </w:r>
      <w:r w:rsidR="00890352" w:rsidRPr="002C5292">
        <w:rPr>
          <w:rFonts w:asciiTheme="majorHAnsi" w:hAnsiTheme="majorHAnsi" w:cstheme="majorHAnsi"/>
          <w:sz w:val="22"/>
          <w:szCs w:val="22"/>
        </w:rPr>
        <w:t xml:space="preserve">automatically </w:t>
      </w:r>
      <w:r w:rsidRPr="002C5292">
        <w:rPr>
          <w:rFonts w:asciiTheme="majorHAnsi" w:hAnsiTheme="majorHAnsi" w:cstheme="majorHAnsi"/>
          <w:sz w:val="22"/>
          <w:szCs w:val="22"/>
        </w:rPr>
        <w:t xml:space="preserve">exempt </w:t>
      </w:r>
      <w:r w:rsidR="001D7633" w:rsidRPr="002C5292">
        <w:rPr>
          <w:rFonts w:asciiTheme="majorHAnsi" w:hAnsiTheme="majorHAnsi" w:cstheme="majorHAnsi"/>
          <w:sz w:val="22"/>
          <w:szCs w:val="22"/>
        </w:rPr>
        <w:t xml:space="preserve">legislative </w:t>
      </w:r>
      <w:r w:rsidRPr="002C5292">
        <w:rPr>
          <w:rFonts w:asciiTheme="majorHAnsi" w:hAnsiTheme="majorHAnsi" w:cstheme="majorHAnsi"/>
          <w:sz w:val="22"/>
          <w:szCs w:val="22"/>
        </w:rPr>
        <w:t>instruments where, on balance, it is in the public interest that an exemption is made. In some cases where a legislative instrument has been proposed for exemption, the instrument might not meet one section 12F criterion alone, but meets significant elements of two or more criteria and, when considered together, it is judged that there is a net benefit from exempting the instruments on overall public interest grounds having regard to the policy intent and balance reflected in the SLA and the amendments to it</w:t>
      </w:r>
      <w:r w:rsidR="00451675" w:rsidRPr="002C5292">
        <w:rPr>
          <w:rFonts w:asciiTheme="majorHAnsi" w:hAnsiTheme="majorHAnsi" w:cstheme="majorHAnsi"/>
          <w:sz w:val="22"/>
          <w:szCs w:val="22"/>
        </w:rPr>
        <w:t xml:space="preserve"> in 2011</w:t>
      </w:r>
      <w:r w:rsidRPr="002C5292">
        <w:rPr>
          <w:rFonts w:asciiTheme="majorHAnsi" w:hAnsiTheme="majorHAnsi" w:cstheme="majorHAnsi"/>
          <w:sz w:val="22"/>
          <w:szCs w:val="22"/>
        </w:rPr>
        <w:t>.</w:t>
      </w:r>
      <w:r w:rsidR="00BE106A" w:rsidRPr="002C5292">
        <w:rPr>
          <w:rFonts w:asciiTheme="majorHAnsi" w:hAnsiTheme="majorHAnsi" w:cstheme="majorHAnsi"/>
          <w:sz w:val="22"/>
          <w:szCs w:val="22"/>
        </w:rPr>
        <w:t xml:space="preserve"> In other cases, it is in the public interest to automatically exempt instruments for reasons </w:t>
      </w:r>
      <w:r w:rsidR="00B825D9" w:rsidRPr="002C5292">
        <w:rPr>
          <w:rFonts w:asciiTheme="majorHAnsi" w:hAnsiTheme="majorHAnsi" w:cstheme="majorHAnsi"/>
          <w:sz w:val="22"/>
          <w:szCs w:val="22"/>
        </w:rPr>
        <w:t xml:space="preserve">other than those </w:t>
      </w:r>
      <w:r w:rsidR="00810979" w:rsidRPr="002C5292">
        <w:rPr>
          <w:rFonts w:asciiTheme="majorHAnsi" w:hAnsiTheme="majorHAnsi" w:cstheme="majorHAnsi"/>
          <w:sz w:val="22"/>
          <w:szCs w:val="22"/>
        </w:rPr>
        <w:t xml:space="preserve">listed in section 12F of the SLA </w:t>
      </w:r>
      <w:r w:rsidR="00BE106A" w:rsidRPr="002C5292">
        <w:rPr>
          <w:rFonts w:asciiTheme="majorHAnsi" w:hAnsiTheme="majorHAnsi" w:cstheme="majorHAnsi"/>
          <w:sz w:val="22"/>
          <w:szCs w:val="22"/>
        </w:rPr>
        <w:t xml:space="preserve">(discussed below at </w:t>
      </w:r>
      <w:r w:rsidR="00D8492F" w:rsidRPr="002C5292">
        <w:rPr>
          <w:rFonts w:asciiTheme="majorHAnsi" w:hAnsiTheme="majorHAnsi" w:cstheme="majorHAnsi"/>
          <w:sz w:val="22"/>
          <w:szCs w:val="22"/>
        </w:rPr>
        <w:t>page 33</w:t>
      </w:r>
      <w:r w:rsidR="00BE106A" w:rsidRPr="002C5292">
        <w:rPr>
          <w:rFonts w:asciiTheme="majorHAnsi" w:hAnsiTheme="majorHAnsi" w:cstheme="majorHAnsi"/>
          <w:sz w:val="22"/>
          <w:szCs w:val="22"/>
        </w:rPr>
        <w:t>).</w:t>
      </w:r>
    </w:p>
    <w:p w14:paraId="4C36CD01" w14:textId="77777777"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While the requirements of the SLA promote accountability and transparency in the process of developing subordinate legislation, sometimes this comes at a greater cost in terms of flexibility, efficiency and/or timeliness.</w:t>
      </w:r>
    </w:p>
    <w:p w14:paraId="6D638B08" w14:textId="77777777"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Flexibility allows instrument-makers to make legislative instruments that best suit the purposes of both their authorising Act and the instrument itself. As a matter of good policy practice, a range of options should be analysed in the development of an instrument to ensure the best outcomes are found. However, instruments are proposed for exemption that should not require the formal RIS and associated consultation process, as further benefits would not be realised beyond the standard policy development process.</w:t>
      </w:r>
    </w:p>
    <w:p w14:paraId="1ED9B2C9" w14:textId="49A4C247"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Efficiency considerations have also been made in determining those legislative instruments for exemption. It is important that resources used for the SLA processes are not allocated unnecessarily, and to the detriment of other, more significant, policy issues that could otherwise be addressed. In some cases, there is a need to make legislative instruments urgently, or within a timeframe that would not allow for preparation of a RIS and consultation on the RIS. The RIS process can add upwards of six months to the policy-making process. Examples of such instruments include where a</w:t>
      </w:r>
      <w:r w:rsidR="00E5238B" w:rsidRPr="002C5292">
        <w:rPr>
          <w:rFonts w:asciiTheme="majorHAnsi" w:hAnsiTheme="majorHAnsi" w:cstheme="majorHAnsi"/>
          <w:sz w:val="22"/>
          <w:szCs w:val="22"/>
        </w:rPr>
        <w:t>n immediate</w:t>
      </w:r>
      <w:r w:rsidRPr="002C5292">
        <w:rPr>
          <w:rFonts w:asciiTheme="majorHAnsi" w:hAnsiTheme="majorHAnsi" w:cstheme="majorHAnsi"/>
          <w:sz w:val="22"/>
          <w:szCs w:val="22"/>
        </w:rPr>
        <w:t xml:space="preserve"> </w:t>
      </w:r>
      <w:r w:rsidR="00E5238B" w:rsidRPr="002C5292">
        <w:rPr>
          <w:rFonts w:asciiTheme="majorHAnsi" w:hAnsiTheme="majorHAnsi" w:cstheme="majorHAnsi"/>
          <w:sz w:val="22"/>
          <w:szCs w:val="22"/>
        </w:rPr>
        <w:t xml:space="preserve">short term </w:t>
      </w:r>
      <w:r w:rsidRPr="002C5292">
        <w:rPr>
          <w:rFonts w:asciiTheme="majorHAnsi" w:hAnsiTheme="majorHAnsi" w:cstheme="majorHAnsi"/>
          <w:sz w:val="22"/>
          <w:szCs w:val="22"/>
        </w:rPr>
        <w:t xml:space="preserve">public health response is required to </w:t>
      </w:r>
      <w:r w:rsidR="00E5238B" w:rsidRPr="002C5292">
        <w:rPr>
          <w:rFonts w:asciiTheme="majorHAnsi" w:hAnsiTheme="majorHAnsi" w:cstheme="majorHAnsi"/>
          <w:sz w:val="22"/>
          <w:szCs w:val="22"/>
        </w:rPr>
        <w:t>address a</w:t>
      </w:r>
      <w:r w:rsidR="00731DF3" w:rsidRPr="002C5292">
        <w:rPr>
          <w:rFonts w:asciiTheme="majorHAnsi" w:hAnsiTheme="majorHAnsi" w:cstheme="majorHAnsi"/>
          <w:sz w:val="22"/>
          <w:szCs w:val="22"/>
        </w:rPr>
        <w:t>n unfolding</w:t>
      </w:r>
      <w:r w:rsidR="00E5238B" w:rsidRPr="002C5292">
        <w:rPr>
          <w:rFonts w:asciiTheme="majorHAnsi" w:hAnsiTheme="majorHAnsi" w:cstheme="majorHAnsi"/>
          <w:sz w:val="22"/>
          <w:szCs w:val="22"/>
        </w:rPr>
        <w:t xml:space="preserve"> </w:t>
      </w:r>
      <w:r w:rsidRPr="002C5292">
        <w:rPr>
          <w:rFonts w:asciiTheme="majorHAnsi" w:hAnsiTheme="majorHAnsi" w:cstheme="majorHAnsi"/>
          <w:sz w:val="22"/>
          <w:szCs w:val="22"/>
        </w:rPr>
        <w:t>disease outbreak, or where a road closure needs to be made that could not be foreseen far enough in advance to undertake a RIS and consultation. In these cases, the need for urgent responses to public health and safety concerns outweigh the benefits that would be gained in undertaking a lengthy formal analysis and consultation.</w:t>
      </w:r>
      <w:r w:rsidR="00A26111" w:rsidRPr="002C5292">
        <w:rPr>
          <w:rFonts w:asciiTheme="majorHAnsi" w:hAnsiTheme="majorHAnsi" w:cstheme="majorHAnsi"/>
          <w:sz w:val="22"/>
          <w:szCs w:val="22"/>
        </w:rPr>
        <w:t xml:space="preserve"> If a more permanent </w:t>
      </w:r>
      <w:r w:rsidR="006B7000" w:rsidRPr="002C5292">
        <w:rPr>
          <w:rFonts w:asciiTheme="majorHAnsi" w:hAnsiTheme="majorHAnsi" w:cstheme="majorHAnsi"/>
          <w:sz w:val="22"/>
          <w:szCs w:val="22"/>
        </w:rPr>
        <w:t xml:space="preserve">measure </w:t>
      </w:r>
      <w:r w:rsidR="00A26111" w:rsidRPr="002C5292">
        <w:rPr>
          <w:rFonts w:asciiTheme="majorHAnsi" w:hAnsiTheme="majorHAnsi" w:cstheme="majorHAnsi"/>
          <w:sz w:val="22"/>
          <w:szCs w:val="22"/>
        </w:rPr>
        <w:t>is required once the short term response is addressed</w:t>
      </w:r>
      <w:r w:rsidR="00755326" w:rsidRPr="002C5292">
        <w:rPr>
          <w:rFonts w:asciiTheme="majorHAnsi" w:hAnsiTheme="majorHAnsi" w:cstheme="majorHAnsi"/>
          <w:sz w:val="22"/>
          <w:szCs w:val="22"/>
        </w:rPr>
        <w:t xml:space="preserve"> it would be expected </w:t>
      </w:r>
      <w:r w:rsidR="00A26111" w:rsidRPr="002C5292">
        <w:rPr>
          <w:rFonts w:asciiTheme="majorHAnsi" w:hAnsiTheme="majorHAnsi" w:cstheme="majorHAnsi"/>
          <w:sz w:val="22"/>
          <w:szCs w:val="22"/>
        </w:rPr>
        <w:t xml:space="preserve">that </w:t>
      </w:r>
      <w:r w:rsidR="00D203F5" w:rsidRPr="002C5292">
        <w:rPr>
          <w:rFonts w:asciiTheme="majorHAnsi" w:hAnsiTheme="majorHAnsi" w:cstheme="majorHAnsi"/>
          <w:sz w:val="22"/>
          <w:szCs w:val="22"/>
        </w:rPr>
        <w:t xml:space="preserve">the </w:t>
      </w:r>
      <w:r w:rsidR="006B7000" w:rsidRPr="002C5292">
        <w:rPr>
          <w:rFonts w:asciiTheme="majorHAnsi" w:hAnsiTheme="majorHAnsi" w:cstheme="majorHAnsi"/>
          <w:sz w:val="22"/>
          <w:szCs w:val="22"/>
        </w:rPr>
        <w:t>permanent instrument would be subject to the SLA requirements.</w:t>
      </w:r>
      <w:r w:rsidR="00B76B72" w:rsidRPr="002C5292" w:rsidDel="00B76B72">
        <w:rPr>
          <w:rFonts w:asciiTheme="majorHAnsi" w:hAnsiTheme="majorHAnsi" w:cstheme="majorHAnsi"/>
          <w:sz w:val="22"/>
          <w:szCs w:val="22"/>
        </w:rPr>
        <w:t xml:space="preserve"> </w:t>
      </w:r>
    </w:p>
    <w:p w14:paraId="20AC8CAF" w14:textId="76A38AF6"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In summary, therefore, </w:t>
      </w:r>
      <w:r w:rsidR="00F37B1D" w:rsidRPr="002C5292">
        <w:rPr>
          <w:rFonts w:asciiTheme="majorHAnsi" w:hAnsiTheme="majorHAnsi" w:cstheme="majorHAnsi"/>
          <w:sz w:val="22"/>
          <w:szCs w:val="22"/>
        </w:rPr>
        <w:t>DPC</w:t>
      </w:r>
      <w:r w:rsidRPr="002C5292">
        <w:rPr>
          <w:rFonts w:asciiTheme="majorHAnsi" w:hAnsiTheme="majorHAnsi" w:cstheme="majorHAnsi"/>
          <w:sz w:val="22"/>
          <w:szCs w:val="22"/>
        </w:rPr>
        <w:t xml:space="preserve"> find</w:t>
      </w:r>
      <w:r w:rsidR="0027521D" w:rsidRPr="002C5292">
        <w:rPr>
          <w:rFonts w:asciiTheme="majorHAnsi" w:hAnsiTheme="majorHAnsi" w:cstheme="majorHAnsi"/>
          <w:sz w:val="22"/>
          <w:szCs w:val="22"/>
        </w:rPr>
        <w:t>s</w:t>
      </w:r>
      <w:r w:rsidRPr="002C5292">
        <w:rPr>
          <w:rFonts w:asciiTheme="majorHAnsi" w:hAnsiTheme="majorHAnsi" w:cstheme="majorHAnsi"/>
          <w:sz w:val="22"/>
          <w:szCs w:val="22"/>
        </w:rPr>
        <w:t xml:space="preserve"> there is a net benefit found in exempting the instrument from more rigorous analysis and consultation.</w:t>
      </w:r>
      <w:r w:rsidRPr="002C5292">
        <w:rPr>
          <w:sz w:val="22"/>
          <w:szCs w:val="22"/>
        </w:rPr>
        <w:footnoteReference w:id="4"/>
      </w:r>
      <w:r w:rsidRPr="002C5292">
        <w:rPr>
          <w:rFonts w:asciiTheme="majorHAnsi" w:hAnsiTheme="majorHAnsi" w:cstheme="majorHAnsi"/>
          <w:sz w:val="22"/>
          <w:szCs w:val="22"/>
        </w:rPr>
        <w:t xml:space="preserve"> This also ensures that government resources can be directed to analysis, consultation and scrutiny for those instruments which have a more significant impact on a sector of the public.</w:t>
      </w:r>
    </w:p>
    <w:p w14:paraId="169DC9E1" w14:textId="425DEA65" w:rsidR="00901190" w:rsidRPr="002C5292" w:rsidRDefault="00901190" w:rsidP="00A50BB0">
      <w:pPr>
        <w:spacing w:before="120" w:after="120" w:line="280" w:lineRule="exact"/>
        <w:rPr>
          <w:rFonts w:asciiTheme="majorHAnsi" w:hAnsiTheme="majorHAnsi" w:cstheme="majorHAnsi"/>
        </w:rPr>
      </w:pPr>
      <w:r w:rsidRPr="002C5292">
        <w:rPr>
          <w:rFonts w:asciiTheme="majorHAnsi" w:hAnsiTheme="majorHAnsi" w:cstheme="majorHAnsi"/>
          <w:sz w:val="22"/>
          <w:szCs w:val="22"/>
        </w:rPr>
        <w:t>Finally, instrument-makers will be able to easily identify if a proposed instrument is administrative, and thus not subject to any of the requirements of the SLA.</w:t>
      </w:r>
      <w:r w:rsidRPr="002C5292">
        <w:rPr>
          <w:sz w:val="22"/>
          <w:szCs w:val="22"/>
        </w:rPr>
        <w:footnoteReference w:id="5"/>
      </w:r>
      <w:r w:rsidRPr="002C5292">
        <w:rPr>
          <w:rFonts w:asciiTheme="majorHAnsi" w:hAnsiTheme="majorHAnsi" w:cstheme="majorHAnsi"/>
          <w:sz w:val="22"/>
          <w:szCs w:val="22"/>
        </w:rPr>
        <w:t xml:space="preserve"> As stated during Parliamentary debate on the SLA amendments, the lists of instruments would “provide an easily accessible source for instrument-makers to refer to when considering whether or not their instrument must undergo the scrutiny processes under the Act”</w:t>
      </w:r>
      <w:r w:rsidR="00B76B72" w:rsidRPr="002C5292">
        <w:t>.</w:t>
      </w:r>
      <w:r w:rsidRPr="002C5292">
        <w:rPr>
          <w:rStyle w:val="FootnoteReference"/>
          <w:rFonts w:asciiTheme="majorHAnsi" w:hAnsiTheme="majorHAnsi" w:cstheme="majorHAnsi"/>
        </w:rPr>
        <w:footnoteReference w:id="6"/>
      </w:r>
      <w:r w:rsidRPr="002C5292">
        <w:rPr>
          <w:rFonts w:asciiTheme="majorHAnsi" w:hAnsiTheme="majorHAnsi" w:cstheme="majorHAnsi"/>
        </w:rPr>
        <w:t xml:space="preserve"> </w:t>
      </w:r>
    </w:p>
    <w:p w14:paraId="0252C317" w14:textId="0140B4E3" w:rsidR="00901190" w:rsidRPr="002C5292" w:rsidRDefault="00D926C5"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w:t>
      </w:r>
      <w:r w:rsidR="00901190" w:rsidRPr="002C5292">
        <w:rPr>
          <w:rFonts w:asciiTheme="majorHAnsi" w:hAnsiTheme="majorHAnsi" w:cstheme="majorHAnsi"/>
          <w:sz w:val="22"/>
          <w:szCs w:val="22"/>
        </w:rPr>
        <w:t>he scrutiny of proposed legislative instruments should be effectively targeted to ensure that:</w:t>
      </w:r>
    </w:p>
    <w:p w14:paraId="3C12EE5F" w14:textId="77777777" w:rsidR="00901190" w:rsidRPr="002C5292" w:rsidRDefault="00901190" w:rsidP="000C4A15">
      <w:pPr>
        <w:pStyle w:val="DPCbodytext"/>
        <w:numPr>
          <w:ilvl w:val="0"/>
          <w:numId w:val="102"/>
        </w:numPr>
      </w:pPr>
      <w:r w:rsidRPr="002C5292">
        <w:t>those proposals that will have a significant impact on any sector of the public are adequately scrutinised and well-justified;</w:t>
      </w:r>
    </w:p>
    <w:p w14:paraId="3D4F8203" w14:textId="77777777" w:rsidR="00901190" w:rsidRPr="002C5292" w:rsidRDefault="00901190" w:rsidP="000C4A15">
      <w:pPr>
        <w:pStyle w:val="DPCbodytext"/>
        <w:numPr>
          <w:ilvl w:val="0"/>
          <w:numId w:val="102"/>
        </w:numPr>
      </w:pPr>
      <w:r w:rsidRPr="002C5292">
        <w:t>government agencies and departments are able to allocate their resources efficiently, and are not burdened unnecessarily;</w:t>
      </w:r>
    </w:p>
    <w:p w14:paraId="2E3B9338" w14:textId="77777777" w:rsidR="00901190" w:rsidRPr="002C5292" w:rsidRDefault="00901190" w:rsidP="000C4A15">
      <w:pPr>
        <w:pStyle w:val="DPCbodytext"/>
        <w:numPr>
          <w:ilvl w:val="0"/>
          <w:numId w:val="102"/>
        </w:numPr>
      </w:pPr>
      <w:r w:rsidRPr="002C5292">
        <w:t>there is no significant cost impact on government programs and services; and</w:t>
      </w:r>
    </w:p>
    <w:p w14:paraId="3E8B94EC" w14:textId="77777777" w:rsidR="00901190" w:rsidRPr="002C5292" w:rsidRDefault="00901190" w:rsidP="000C4A15">
      <w:pPr>
        <w:pStyle w:val="DPCbodytext"/>
        <w:numPr>
          <w:ilvl w:val="0"/>
          <w:numId w:val="102"/>
        </w:numPr>
      </w:pPr>
      <w:r w:rsidRPr="002C5292">
        <w:t>any delay in making or amending legislative instruments is minimised.</w:t>
      </w:r>
    </w:p>
    <w:p w14:paraId="35979FBE" w14:textId="77777777" w:rsidR="008E5DB6" w:rsidRPr="002C5292" w:rsidRDefault="008E5DB6" w:rsidP="008E5DB6">
      <w:pPr>
        <w:rPr>
          <w:rFonts w:asciiTheme="majorHAnsi" w:hAnsiTheme="majorHAnsi" w:cstheme="majorHAnsi"/>
          <w:i/>
          <w:lang w:eastAsia="en-AU"/>
        </w:rPr>
      </w:pPr>
    </w:p>
    <w:p w14:paraId="0962C849" w14:textId="28FCE01A" w:rsidR="008E5DB6" w:rsidRPr="002C5292" w:rsidRDefault="008E5DB6" w:rsidP="008E5DB6">
      <w:r w:rsidRPr="002C5292">
        <w:rPr>
          <w:rFonts w:asciiTheme="majorHAnsi" w:hAnsiTheme="majorHAnsi" w:cstheme="majorHAnsi"/>
          <w:i/>
          <w:lang w:eastAsia="en-AU"/>
        </w:rPr>
        <w:t>Definition of ‘significant burden’</w:t>
      </w:r>
    </w:p>
    <w:p w14:paraId="39CE2F81" w14:textId="0D798151"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A significant burden may be imposed if the proposed legislative instrument is likely to, amongst other things, produce effects that:</w:t>
      </w:r>
    </w:p>
    <w:p w14:paraId="36013185" w14:textId="77777777" w:rsidR="00901190" w:rsidRPr="002C5292" w:rsidRDefault="00901190" w:rsidP="000C4A15">
      <w:pPr>
        <w:pStyle w:val="DPCbodytext"/>
        <w:numPr>
          <w:ilvl w:val="0"/>
          <w:numId w:val="103"/>
        </w:numPr>
      </w:pPr>
      <w:r w:rsidRPr="002C5292">
        <w:t>affect a significant number of businesses, community groups or individuals;</w:t>
      </w:r>
    </w:p>
    <w:p w14:paraId="66D583FF" w14:textId="77777777" w:rsidR="00901190" w:rsidRPr="002C5292" w:rsidRDefault="00901190" w:rsidP="000C4A15">
      <w:pPr>
        <w:pStyle w:val="DPCbodytext"/>
        <w:numPr>
          <w:ilvl w:val="0"/>
          <w:numId w:val="103"/>
        </w:numPr>
      </w:pPr>
      <w:r w:rsidRPr="002C5292">
        <w:t>have a significant concentrated effect on a particular group, region or industry;</w:t>
      </w:r>
    </w:p>
    <w:p w14:paraId="2835AED2" w14:textId="77777777" w:rsidR="00901190" w:rsidRPr="002C5292" w:rsidRDefault="00901190" w:rsidP="000C4A15">
      <w:pPr>
        <w:pStyle w:val="DPCbodytext"/>
        <w:numPr>
          <w:ilvl w:val="0"/>
          <w:numId w:val="103"/>
        </w:numPr>
      </w:pPr>
      <w:r w:rsidRPr="002C5292">
        <w:t>have a large aggregate impact on the Victorian economy;</w:t>
      </w:r>
    </w:p>
    <w:p w14:paraId="2E807852" w14:textId="77777777" w:rsidR="00901190" w:rsidRPr="002C5292" w:rsidRDefault="00901190" w:rsidP="000C4A15">
      <w:pPr>
        <w:pStyle w:val="DPCbodytext"/>
        <w:numPr>
          <w:ilvl w:val="0"/>
          <w:numId w:val="103"/>
        </w:numPr>
      </w:pPr>
      <w:r w:rsidRPr="002C5292">
        <w:t>alter the ability or incentives for businesses to compete in an industry;</w:t>
      </w:r>
    </w:p>
    <w:p w14:paraId="1194A6F3" w14:textId="77777777" w:rsidR="00901190" w:rsidRPr="002C5292" w:rsidRDefault="00901190" w:rsidP="000C4A15">
      <w:pPr>
        <w:pStyle w:val="DPCbodytext"/>
        <w:numPr>
          <w:ilvl w:val="0"/>
          <w:numId w:val="103"/>
        </w:numPr>
      </w:pPr>
      <w:r w:rsidRPr="002C5292">
        <w:t>impose resource costs (including time and funds) on business, community groups or individuals in order to undertake compliance activities, change current practices or seek external advice; and/or</w:t>
      </w:r>
    </w:p>
    <w:p w14:paraId="6C2E814B" w14:textId="3E841AD8" w:rsidR="00EF54A7" w:rsidRPr="002C5292" w:rsidRDefault="00901190" w:rsidP="000C4A15">
      <w:pPr>
        <w:pStyle w:val="DPCbodytext"/>
        <w:numPr>
          <w:ilvl w:val="0"/>
          <w:numId w:val="103"/>
        </w:numPr>
      </w:pPr>
      <w:r w:rsidRPr="002C5292">
        <w:t>have a significant impact on individual rights and liberties.</w:t>
      </w:r>
    </w:p>
    <w:p w14:paraId="3CE37877" w14:textId="6611DA6C" w:rsidR="00755326" w:rsidRPr="002C5292" w:rsidRDefault="00755326" w:rsidP="00755326">
      <w:pPr>
        <w:pStyle w:val="Heading1"/>
        <w:numPr>
          <w:ilvl w:val="0"/>
          <w:numId w:val="46"/>
        </w:numPr>
      </w:pPr>
      <w:bookmarkStart w:id="31" w:name="_Hlk69723027"/>
      <w:bookmarkStart w:id="32" w:name="_Toc69322356"/>
      <w:bookmarkStart w:id="33" w:name="_Toc70082355"/>
      <w:r w:rsidRPr="002C5292">
        <w:t>Problem Analysi</w:t>
      </w:r>
      <w:bookmarkEnd w:id="31"/>
      <w:r w:rsidRPr="002C5292">
        <w:t>s</w:t>
      </w:r>
      <w:bookmarkEnd w:id="32"/>
      <w:bookmarkEnd w:id="33"/>
    </w:p>
    <w:p w14:paraId="275966CA" w14:textId="63F16A92" w:rsidR="000E38E2" w:rsidRPr="002C5292" w:rsidRDefault="000E38E2"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This chapter outlines the nature and extent of the problem</w:t>
      </w:r>
      <w:r w:rsidR="00A50BB0" w:rsidRPr="002C5292">
        <w:rPr>
          <w:rFonts w:asciiTheme="majorHAnsi" w:hAnsiTheme="majorHAnsi" w:cstheme="majorHAnsi"/>
          <w:sz w:val="22"/>
          <w:szCs w:val="22"/>
        </w:rPr>
        <w:t>.</w:t>
      </w:r>
    </w:p>
    <w:p w14:paraId="0977124D" w14:textId="7C228A35"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A large number of provisions to make </w:t>
      </w:r>
      <w:r w:rsidR="00F5075C" w:rsidRPr="002C5292">
        <w:rPr>
          <w:rFonts w:asciiTheme="majorHAnsi" w:hAnsiTheme="majorHAnsi" w:cstheme="majorHAnsi"/>
          <w:sz w:val="22"/>
          <w:szCs w:val="22"/>
        </w:rPr>
        <w:t xml:space="preserve">subordinate </w:t>
      </w:r>
      <w:r w:rsidRPr="002C5292">
        <w:rPr>
          <w:rFonts w:asciiTheme="majorHAnsi" w:hAnsiTheme="majorHAnsi" w:cstheme="majorHAnsi"/>
          <w:sz w:val="22"/>
          <w:szCs w:val="22"/>
        </w:rPr>
        <w:t>instruments (</w:t>
      </w:r>
      <w:r w:rsidR="00DC49BC" w:rsidRPr="002C5292">
        <w:rPr>
          <w:rFonts w:asciiTheme="majorHAnsi" w:hAnsiTheme="majorHAnsi" w:cstheme="majorHAnsi"/>
          <w:sz w:val="22"/>
          <w:szCs w:val="22"/>
        </w:rPr>
        <w:t>1,204</w:t>
      </w:r>
      <w:r w:rsidRPr="002C5292">
        <w:rPr>
          <w:rFonts w:asciiTheme="majorHAnsi" w:hAnsiTheme="majorHAnsi" w:cstheme="majorHAnsi"/>
          <w:sz w:val="22"/>
          <w:szCs w:val="22"/>
        </w:rPr>
        <w:t>) have been identified from the statute book</w:t>
      </w:r>
      <w:r w:rsidR="00436BDF" w:rsidRPr="002C5292">
        <w:rPr>
          <w:rFonts w:asciiTheme="majorHAnsi" w:hAnsiTheme="majorHAnsi" w:cstheme="majorHAnsi"/>
          <w:sz w:val="22"/>
          <w:szCs w:val="22"/>
        </w:rPr>
        <w:t xml:space="preserve"> in the Proposed Regulations</w:t>
      </w:r>
      <w:r w:rsidRPr="002C5292">
        <w:rPr>
          <w:rFonts w:asciiTheme="majorHAnsi" w:hAnsiTheme="majorHAnsi" w:cstheme="majorHAnsi"/>
          <w:sz w:val="22"/>
          <w:szCs w:val="22"/>
        </w:rPr>
        <w:t xml:space="preserve">. Of these, </w:t>
      </w:r>
      <w:r w:rsidR="00DC49BC" w:rsidRPr="002C5292">
        <w:rPr>
          <w:rFonts w:asciiTheme="majorHAnsi" w:hAnsiTheme="majorHAnsi" w:cstheme="majorHAnsi"/>
          <w:sz w:val="22"/>
          <w:szCs w:val="22"/>
        </w:rPr>
        <w:t xml:space="preserve">555 </w:t>
      </w:r>
      <w:r w:rsidR="00FB6576" w:rsidRPr="002C5292">
        <w:rPr>
          <w:rFonts w:asciiTheme="majorHAnsi" w:hAnsiTheme="majorHAnsi" w:cstheme="majorHAnsi"/>
          <w:sz w:val="22"/>
          <w:szCs w:val="22"/>
        </w:rPr>
        <w:t xml:space="preserve">provisions </w:t>
      </w:r>
      <w:r w:rsidRPr="002C5292">
        <w:rPr>
          <w:rFonts w:asciiTheme="majorHAnsi" w:hAnsiTheme="majorHAnsi" w:cstheme="majorHAnsi"/>
          <w:sz w:val="22"/>
          <w:szCs w:val="22"/>
        </w:rPr>
        <w:t xml:space="preserve">are purely administrative, and therefore are not a class of legislative instrument under the SLA (as per the definition of legislative instrument under </w:t>
      </w:r>
      <w:r w:rsidR="00A50BB0" w:rsidRPr="002C5292">
        <w:rPr>
          <w:rFonts w:asciiTheme="majorHAnsi" w:hAnsiTheme="majorHAnsi" w:cstheme="majorHAnsi"/>
          <w:sz w:val="22"/>
          <w:szCs w:val="22"/>
        </w:rPr>
        <w:t>section </w:t>
      </w:r>
      <w:r w:rsidRPr="002C5292">
        <w:rPr>
          <w:rFonts w:asciiTheme="majorHAnsi" w:hAnsiTheme="majorHAnsi" w:cstheme="majorHAnsi"/>
          <w:sz w:val="22"/>
          <w:szCs w:val="22"/>
        </w:rPr>
        <w:t xml:space="preserve">3(1) of the SLA). </w:t>
      </w:r>
      <w:r w:rsidR="005313C8" w:rsidRPr="002C5292">
        <w:rPr>
          <w:rFonts w:asciiTheme="majorHAnsi" w:hAnsiTheme="majorHAnsi" w:cstheme="majorHAnsi"/>
          <w:sz w:val="22"/>
          <w:szCs w:val="22"/>
        </w:rPr>
        <w:t xml:space="preserve">Those instruments are listed in Schedule 1 of the Proposed Regulations. </w:t>
      </w:r>
      <w:r w:rsidRPr="002C5292">
        <w:rPr>
          <w:rFonts w:asciiTheme="majorHAnsi" w:hAnsiTheme="majorHAnsi" w:cstheme="majorHAnsi"/>
          <w:sz w:val="22"/>
          <w:szCs w:val="22"/>
        </w:rPr>
        <w:t xml:space="preserve">A further </w:t>
      </w:r>
      <w:r w:rsidR="00DC49BC" w:rsidRPr="002C5292">
        <w:rPr>
          <w:rFonts w:asciiTheme="majorHAnsi" w:hAnsiTheme="majorHAnsi" w:cstheme="majorHAnsi"/>
          <w:sz w:val="22"/>
          <w:szCs w:val="22"/>
        </w:rPr>
        <w:t xml:space="preserve">586 </w:t>
      </w:r>
      <w:r w:rsidR="005313C8" w:rsidRPr="002C5292">
        <w:rPr>
          <w:rFonts w:asciiTheme="majorHAnsi" w:hAnsiTheme="majorHAnsi" w:cstheme="majorHAnsi"/>
          <w:sz w:val="22"/>
          <w:szCs w:val="22"/>
        </w:rPr>
        <w:t xml:space="preserve">provisions (listed in Schedule 3 of the Proposed Regulations) </w:t>
      </w:r>
      <w:r w:rsidR="003B2B57" w:rsidRPr="002C5292">
        <w:rPr>
          <w:rFonts w:asciiTheme="majorHAnsi" w:hAnsiTheme="majorHAnsi" w:cstheme="majorHAnsi"/>
          <w:sz w:val="22"/>
          <w:szCs w:val="22"/>
        </w:rPr>
        <w:t xml:space="preserve">and 7 in the main body of the regulations </w:t>
      </w:r>
      <w:r w:rsidRPr="002C5292">
        <w:rPr>
          <w:rFonts w:asciiTheme="majorHAnsi" w:hAnsiTheme="majorHAnsi" w:cstheme="majorHAnsi"/>
          <w:sz w:val="22"/>
          <w:szCs w:val="22"/>
        </w:rPr>
        <w:t xml:space="preserve">were determined as likely to meet at least one of the criteria for exemption listed under section 12F of the SLA in all cases of future use or as meeting an additional criterion where, on balance, the instrument should be </w:t>
      </w:r>
      <w:r w:rsidR="00DF0228" w:rsidRPr="002C5292">
        <w:rPr>
          <w:rFonts w:asciiTheme="majorHAnsi" w:hAnsiTheme="majorHAnsi" w:cstheme="majorHAnsi"/>
          <w:sz w:val="22"/>
          <w:szCs w:val="22"/>
        </w:rPr>
        <w:t xml:space="preserve">considered to be </w:t>
      </w:r>
      <w:r w:rsidR="00436BDF" w:rsidRPr="002C5292">
        <w:rPr>
          <w:rFonts w:asciiTheme="majorHAnsi" w:hAnsiTheme="majorHAnsi" w:cstheme="majorHAnsi"/>
          <w:sz w:val="22"/>
          <w:szCs w:val="22"/>
        </w:rPr>
        <w:t xml:space="preserve">automatically </w:t>
      </w:r>
      <w:r w:rsidRPr="002C5292">
        <w:rPr>
          <w:rFonts w:asciiTheme="majorHAnsi" w:hAnsiTheme="majorHAnsi" w:cstheme="majorHAnsi"/>
          <w:sz w:val="22"/>
          <w:szCs w:val="22"/>
        </w:rPr>
        <w:t>exempt in the overall public interest.</w:t>
      </w:r>
    </w:p>
    <w:p w14:paraId="50120056" w14:textId="2B2ABDC7"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 remaining </w:t>
      </w:r>
      <w:r w:rsidR="00F5075C" w:rsidRPr="002C5292">
        <w:rPr>
          <w:rFonts w:asciiTheme="majorHAnsi" w:hAnsiTheme="majorHAnsi" w:cstheme="majorHAnsi"/>
          <w:sz w:val="22"/>
          <w:szCs w:val="22"/>
        </w:rPr>
        <w:t xml:space="preserve">provisions </w:t>
      </w:r>
      <w:r w:rsidR="00DC49BC" w:rsidRPr="002C5292">
        <w:rPr>
          <w:rFonts w:asciiTheme="majorHAnsi" w:hAnsiTheme="majorHAnsi" w:cstheme="majorHAnsi"/>
          <w:sz w:val="22"/>
          <w:szCs w:val="22"/>
        </w:rPr>
        <w:t xml:space="preserve">(56) </w:t>
      </w:r>
      <w:r w:rsidRPr="002C5292">
        <w:rPr>
          <w:rFonts w:asciiTheme="majorHAnsi" w:hAnsiTheme="majorHAnsi" w:cstheme="majorHAnsi"/>
          <w:sz w:val="22"/>
          <w:szCs w:val="22"/>
        </w:rPr>
        <w:t xml:space="preserve">can be made in a way that imposes a significant economic or social burden on a sector of the population </w:t>
      </w:r>
      <w:r w:rsidR="00D840FD" w:rsidRPr="002C5292">
        <w:rPr>
          <w:rFonts w:asciiTheme="majorHAnsi" w:hAnsiTheme="majorHAnsi" w:cstheme="majorHAnsi"/>
          <w:sz w:val="22"/>
          <w:szCs w:val="22"/>
        </w:rPr>
        <w:t xml:space="preserve">and </w:t>
      </w:r>
      <w:r w:rsidRPr="002C5292">
        <w:rPr>
          <w:rFonts w:asciiTheme="majorHAnsi" w:hAnsiTheme="majorHAnsi" w:cstheme="majorHAnsi"/>
          <w:sz w:val="22"/>
          <w:szCs w:val="22"/>
        </w:rPr>
        <w:t>fails to meet any of the other exemption criteria in the SLA</w:t>
      </w:r>
      <w:r w:rsidR="00DC49BC" w:rsidRPr="002C5292">
        <w:rPr>
          <w:rFonts w:asciiTheme="majorHAnsi" w:hAnsiTheme="majorHAnsi" w:cstheme="majorHAnsi"/>
          <w:sz w:val="22"/>
          <w:szCs w:val="22"/>
        </w:rPr>
        <w:t xml:space="preserve"> (instruments listed in Schedule 2)</w:t>
      </w:r>
      <w:r w:rsidRPr="002C5292">
        <w:t>.</w:t>
      </w:r>
      <w:r w:rsidRPr="002C5292">
        <w:rPr>
          <w:rStyle w:val="FootnoteReference"/>
        </w:rPr>
        <w:footnoteReference w:id="7"/>
      </w:r>
      <w:r w:rsidRPr="002C5292">
        <w:t xml:space="preserve"> </w:t>
      </w:r>
      <w:r w:rsidRPr="002C5292">
        <w:rPr>
          <w:rFonts w:asciiTheme="majorHAnsi" w:hAnsiTheme="majorHAnsi" w:cstheme="majorHAnsi"/>
          <w:sz w:val="22"/>
          <w:szCs w:val="22"/>
        </w:rPr>
        <w:t xml:space="preserve">These legislative instruments should receive the same level of scrutiny as statutory rules </w:t>
      </w:r>
      <w:r w:rsidR="006D4E01" w:rsidRPr="002C5292">
        <w:rPr>
          <w:rFonts w:asciiTheme="majorHAnsi" w:hAnsiTheme="majorHAnsi" w:cstheme="majorHAnsi"/>
          <w:sz w:val="22"/>
          <w:szCs w:val="22"/>
        </w:rPr>
        <w:t xml:space="preserve">under the SLA. </w:t>
      </w:r>
      <w:r w:rsidR="00D203F5" w:rsidRPr="002C5292">
        <w:rPr>
          <w:rFonts w:asciiTheme="majorHAnsi" w:hAnsiTheme="majorHAnsi" w:cstheme="majorHAnsi"/>
          <w:sz w:val="22"/>
          <w:szCs w:val="22"/>
        </w:rPr>
        <w:t>T</w:t>
      </w:r>
      <w:r w:rsidR="002E418E" w:rsidRPr="002C5292">
        <w:rPr>
          <w:rFonts w:asciiTheme="majorHAnsi" w:hAnsiTheme="majorHAnsi" w:cstheme="majorHAnsi"/>
          <w:sz w:val="22"/>
          <w:szCs w:val="22"/>
        </w:rPr>
        <w:t>he base case,</w:t>
      </w:r>
      <w:r w:rsidR="002E418E" w:rsidRPr="002C5292" w:rsidDel="00944805">
        <w:rPr>
          <w:rFonts w:asciiTheme="majorHAnsi" w:hAnsiTheme="majorHAnsi" w:cstheme="majorHAnsi"/>
          <w:sz w:val="22"/>
          <w:szCs w:val="22"/>
        </w:rPr>
        <w:t xml:space="preserve"> </w:t>
      </w:r>
      <w:r w:rsidR="00944805" w:rsidRPr="002C5292">
        <w:rPr>
          <w:rFonts w:asciiTheme="majorHAnsi" w:hAnsiTheme="majorHAnsi" w:cstheme="majorHAnsi"/>
          <w:sz w:val="22"/>
          <w:szCs w:val="22"/>
        </w:rPr>
        <w:t xml:space="preserve">of </w:t>
      </w:r>
      <w:r w:rsidR="00701AB4" w:rsidRPr="002C5292">
        <w:rPr>
          <w:rFonts w:asciiTheme="majorHAnsi" w:hAnsiTheme="majorHAnsi" w:cstheme="majorHAnsi"/>
          <w:sz w:val="22"/>
          <w:szCs w:val="22"/>
        </w:rPr>
        <w:t xml:space="preserve">allowing </w:t>
      </w:r>
      <w:r w:rsidR="002E418E" w:rsidRPr="002C5292">
        <w:rPr>
          <w:rFonts w:asciiTheme="majorHAnsi" w:hAnsiTheme="majorHAnsi" w:cstheme="majorHAnsi"/>
          <w:sz w:val="22"/>
          <w:szCs w:val="22"/>
        </w:rPr>
        <w:t xml:space="preserve">the Current Regulations to sunset, would </w:t>
      </w:r>
      <w:r w:rsidR="005B627B" w:rsidRPr="002C5292">
        <w:rPr>
          <w:rFonts w:asciiTheme="majorHAnsi" w:hAnsiTheme="majorHAnsi" w:cstheme="majorHAnsi"/>
          <w:sz w:val="22"/>
          <w:szCs w:val="22"/>
        </w:rPr>
        <w:t xml:space="preserve">create uncertainty as to the status of </w:t>
      </w:r>
      <w:r w:rsidR="00701AB4" w:rsidRPr="002C5292">
        <w:rPr>
          <w:rFonts w:asciiTheme="majorHAnsi" w:hAnsiTheme="majorHAnsi" w:cstheme="majorHAnsi"/>
          <w:sz w:val="22"/>
          <w:szCs w:val="22"/>
        </w:rPr>
        <w:t xml:space="preserve">certain </w:t>
      </w:r>
      <w:r w:rsidR="005B627B" w:rsidRPr="002C5292">
        <w:rPr>
          <w:rFonts w:asciiTheme="majorHAnsi" w:hAnsiTheme="majorHAnsi" w:cstheme="majorHAnsi"/>
          <w:sz w:val="22"/>
          <w:szCs w:val="22"/>
        </w:rPr>
        <w:t xml:space="preserve">legislative </w:t>
      </w:r>
      <w:r w:rsidR="00F5075C" w:rsidRPr="002C5292">
        <w:rPr>
          <w:rFonts w:asciiTheme="majorHAnsi" w:hAnsiTheme="majorHAnsi" w:cstheme="majorHAnsi"/>
          <w:sz w:val="22"/>
          <w:szCs w:val="22"/>
        </w:rPr>
        <w:t xml:space="preserve">and non-legislative </w:t>
      </w:r>
      <w:r w:rsidR="005B627B" w:rsidRPr="002C5292">
        <w:rPr>
          <w:rFonts w:asciiTheme="majorHAnsi" w:hAnsiTheme="majorHAnsi" w:cstheme="majorHAnsi"/>
          <w:sz w:val="22"/>
          <w:szCs w:val="22"/>
        </w:rPr>
        <w:t xml:space="preserve">instruments and </w:t>
      </w:r>
      <w:r w:rsidR="002E418E" w:rsidRPr="002C5292">
        <w:rPr>
          <w:rFonts w:asciiTheme="majorHAnsi" w:hAnsiTheme="majorHAnsi" w:cstheme="majorHAnsi"/>
          <w:sz w:val="22"/>
          <w:szCs w:val="22"/>
        </w:rPr>
        <w:t xml:space="preserve">require </w:t>
      </w:r>
      <w:r w:rsidR="005B627B" w:rsidRPr="002C5292">
        <w:rPr>
          <w:rFonts w:asciiTheme="majorHAnsi" w:hAnsiTheme="majorHAnsi" w:cstheme="majorHAnsi"/>
          <w:sz w:val="22"/>
          <w:szCs w:val="22"/>
        </w:rPr>
        <w:t>them</w:t>
      </w:r>
      <w:r w:rsidRPr="002C5292">
        <w:rPr>
          <w:rFonts w:asciiTheme="majorHAnsi" w:hAnsiTheme="majorHAnsi" w:cstheme="majorHAnsi"/>
          <w:sz w:val="22"/>
          <w:szCs w:val="22"/>
        </w:rPr>
        <w:t xml:space="preserve"> to undergo an</w:t>
      </w:r>
      <w:r w:rsidR="002E418E" w:rsidRPr="002C5292">
        <w:rPr>
          <w:rFonts w:asciiTheme="majorHAnsi" w:hAnsiTheme="majorHAnsi" w:cstheme="majorHAnsi"/>
          <w:sz w:val="22"/>
          <w:szCs w:val="22"/>
        </w:rPr>
        <w:t xml:space="preserve"> assessment of whether</w:t>
      </w:r>
      <w:r w:rsidR="00B24D87" w:rsidRPr="002C5292">
        <w:rPr>
          <w:rFonts w:asciiTheme="majorHAnsi" w:hAnsiTheme="majorHAnsi" w:cstheme="majorHAnsi"/>
          <w:sz w:val="22"/>
          <w:szCs w:val="22"/>
        </w:rPr>
        <w:t xml:space="preserve"> a</w:t>
      </w:r>
      <w:r w:rsidR="002E418E" w:rsidRPr="002C5292">
        <w:rPr>
          <w:rFonts w:asciiTheme="majorHAnsi" w:hAnsiTheme="majorHAnsi" w:cstheme="majorHAnsi"/>
          <w:sz w:val="22"/>
          <w:szCs w:val="22"/>
        </w:rPr>
        <w:t xml:space="preserve"> </w:t>
      </w:r>
      <w:r w:rsidR="00B24D87" w:rsidRPr="002C5292">
        <w:rPr>
          <w:rFonts w:asciiTheme="majorHAnsi" w:hAnsiTheme="majorHAnsi" w:cstheme="majorHAnsi"/>
          <w:sz w:val="22"/>
          <w:szCs w:val="22"/>
        </w:rPr>
        <w:t xml:space="preserve">RIS should be prepared </w:t>
      </w:r>
      <w:r w:rsidRPr="002C5292">
        <w:rPr>
          <w:rFonts w:asciiTheme="majorHAnsi" w:hAnsiTheme="majorHAnsi" w:cstheme="majorHAnsi"/>
          <w:sz w:val="22"/>
          <w:szCs w:val="22"/>
        </w:rPr>
        <w:t xml:space="preserve">each time </w:t>
      </w:r>
      <w:r w:rsidR="00F5075C" w:rsidRPr="002C5292">
        <w:rPr>
          <w:rFonts w:asciiTheme="majorHAnsi" w:hAnsiTheme="majorHAnsi" w:cstheme="majorHAnsi"/>
          <w:sz w:val="22"/>
          <w:szCs w:val="22"/>
        </w:rPr>
        <w:t>they are</w:t>
      </w:r>
      <w:r w:rsidRPr="002C5292">
        <w:rPr>
          <w:rFonts w:asciiTheme="majorHAnsi" w:hAnsiTheme="majorHAnsi" w:cstheme="majorHAnsi"/>
          <w:sz w:val="22"/>
          <w:szCs w:val="22"/>
        </w:rPr>
        <w:t xml:space="preserve"> proposed to be made</w:t>
      </w:r>
      <w:r w:rsidR="002E418E" w:rsidRPr="002C5292">
        <w:rPr>
          <w:rFonts w:asciiTheme="majorHAnsi" w:hAnsiTheme="majorHAnsi" w:cstheme="majorHAnsi"/>
          <w:sz w:val="22"/>
          <w:szCs w:val="22"/>
        </w:rPr>
        <w:t xml:space="preserve">, which would place an overly disproportionate </w:t>
      </w:r>
      <w:r w:rsidRPr="002C5292">
        <w:rPr>
          <w:rFonts w:asciiTheme="majorHAnsi" w:hAnsiTheme="majorHAnsi" w:cstheme="majorHAnsi"/>
          <w:sz w:val="22"/>
          <w:szCs w:val="22"/>
        </w:rPr>
        <w:t>burden on departments and agencies, which have limited resources.</w:t>
      </w:r>
      <w:r w:rsidR="00944805" w:rsidRPr="002C5292">
        <w:rPr>
          <w:rFonts w:asciiTheme="majorHAnsi" w:hAnsiTheme="majorHAnsi" w:cstheme="majorHAnsi"/>
          <w:sz w:val="22"/>
          <w:szCs w:val="22"/>
        </w:rPr>
        <w:t xml:space="preserve"> The Proposed Regulations address this problem.</w:t>
      </w:r>
    </w:p>
    <w:p w14:paraId="5DA3D1D6" w14:textId="3CFD97D3" w:rsidR="00901190" w:rsidRPr="002C5292" w:rsidRDefault="00901190" w:rsidP="00901190">
      <w:pPr>
        <w:pStyle w:val="Heading2"/>
      </w:pPr>
      <w:bookmarkStart w:id="34" w:name="_Toc70082356"/>
      <w:r w:rsidRPr="002C5292">
        <w:t>Impact on responsible agencies and Ministers</w:t>
      </w:r>
      <w:r w:rsidR="002C55FB" w:rsidRPr="002C5292">
        <w:t xml:space="preserve"> under the base case</w:t>
      </w:r>
      <w:bookmarkEnd w:id="34"/>
    </w:p>
    <w:p w14:paraId="70B5DC7A" w14:textId="7410672B"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Without the </w:t>
      </w:r>
      <w:r w:rsidR="00095532" w:rsidRPr="002C5292">
        <w:rPr>
          <w:rFonts w:asciiTheme="majorHAnsi" w:hAnsiTheme="majorHAnsi" w:cstheme="majorHAnsi"/>
          <w:sz w:val="22"/>
          <w:szCs w:val="22"/>
        </w:rPr>
        <w:t>Proposed Regulations</w:t>
      </w:r>
      <w:r w:rsidR="002E418E" w:rsidRPr="002C5292">
        <w:rPr>
          <w:rFonts w:asciiTheme="majorHAnsi" w:hAnsiTheme="majorHAnsi" w:cstheme="majorHAnsi"/>
          <w:sz w:val="22"/>
          <w:szCs w:val="22"/>
        </w:rPr>
        <w:t xml:space="preserve"> (that is, </w:t>
      </w:r>
      <w:r w:rsidR="00C74227" w:rsidRPr="002C5292">
        <w:rPr>
          <w:rFonts w:asciiTheme="majorHAnsi" w:hAnsiTheme="majorHAnsi" w:cstheme="majorHAnsi"/>
          <w:sz w:val="22"/>
          <w:szCs w:val="22"/>
        </w:rPr>
        <w:t xml:space="preserve">in </w:t>
      </w:r>
      <w:r w:rsidR="002E418E" w:rsidRPr="002C5292">
        <w:rPr>
          <w:rFonts w:asciiTheme="majorHAnsi" w:hAnsiTheme="majorHAnsi" w:cstheme="majorHAnsi"/>
          <w:sz w:val="22"/>
          <w:szCs w:val="22"/>
        </w:rPr>
        <w:t>the base case)</w:t>
      </w:r>
      <w:r w:rsidRPr="002C5292">
        <w:rPr>
          <w:rFonts w:asciiTheme="majorHAnsi" w:hAnsiTheme="majorHAnsi" w:cstheme="majorHAnsi"/>
          <w:sz w:val="22"/>
          <w:szCs w:val="22"/>
        </w:rPr>
        <w:t xml:space="preserve">, each time a legislative instrument is made or proposed to be made, instrument-makers (usually departments or agencies) will have to determine on a case-by-case basis if the instrument is administrative; if the instrument </w:t>
      </w:r>
      <w:r w:rsidR="009064AE" w:rsidRPr="002C5292">
        <w:rPr>
          <w:rFonts w:asciiTheme="majorHAnsi" w:hAnsiTheme="majorHAnsi" w:cstheme="majorHAnsi"/>
          <w:sz w:val="22"/>
          <w:szCs w:val="22"/>
        </w:rPr>
        <w:t>sh</w:t>
      </w:r>
      <w:r w:rsidRPr="002C5292">
        <w:rPr>
          <w:rFonts w:asciiTheme="majorHAnsi" w:hAnsiTheme="majorHAnsi" w:cstheme="majorHAnsi"/>
          <w:sz w:val="22"/>
          <w:szCs w:val="22"/>
        </w:rPr>
        <w:t xml:space="preserve">ould be exempt from </w:t>
      </w:r>
      <w:r w:rsidR="00F3570D" w:rsidRPr="002C5292">
        <w:rPr>
          <w:rFonts w:asciiTheme="majorHAnsi" w:hAnsiTheme="majorHAnsi" w:cstheme="majorHAnsi"/>
          <w:sz w:val="22"/>
          <w:szCs w:val="22"/>
        </w:rPr>
        <w:t xml:space="preserve">certain requirements of the </w:t>
      </w:r>
      <w:r w:rsidRPr="002C5292">
        <w:rPr>
          <w:rFonts w:asciiTheme="majorHAnsi" w:hAnsiTheme="majorHAnsi" w:cstheme="majorHAnsi"/>
          <w:sz w:val="22"/>
          <w:szCs w:val="22"/>
        </w:rPr>
        <w:t xml:space="preserve">SLA </w:t>
      </w:r>
      <w:r w:rsidR="009027AA" w:rsidRPr="002C5292">
        <w:rPr>
          <w:rFonts w:asciiTheme="majorHAnsi" w:hAnsiTheme="majorHAnsi" w:cstheme="majorHAnsi"/>
          <w:sz w:val="22"/>
          <w:szCs w:val="22"/>
        </w:rPr>
        <w:t>because</w:t>
      </w:r>
      <w:r w:rsidRPr="002C5292">
        <w:rPr>
          <w:rFonts w:asciiTheme="majorHAnsi" w:hAnsiTheme="majorHAnsi" w:cstheme="majorHAnsi"/>
          <w:sz w:val="22"/>
          <w:szCs w:val="22"/>
        </w:rPr>
        <w:t xml:space="preserve"> it meets one or more of the exemption criteria set out in </w:t>
      </w:r>
      <w:r w:rsidR="00E114C6" w:rsidRPr="002C5292">
        <w:rPr>
          <w:rFonts w:asciiTheme="majorHAnsi" w:hAnsiTheme="majorHAnsi" w:cstheme="majorHAnsi"/>
          <w:sz w:val="22"/>
          <w:szCs w:val="22"/>
        </w:rPr>
        <w:t>section </w:t>
      </w:r>
      <w:r w:rsidRPr="002C5292">
        <w:rPr>
          <w:rFonts w:asciiTheme="majorHAnsi" w:hAnsiTheme="majorHAnsi" w:cstheme="majorHAnsi"/>
          <w:sz w:val="22"/>
          <w:szCs w:val="22"/>
        </w:rPr>
        <w:t>12F of the SLA; or if the requirements apply because it is likely to impose a significant economic or social burden.</w:t>
      </w:r>
    </w:p>
    <w:p w14:paraId="0BD81714" w14:textId="56950842"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In summary, each individual instrument made under the provisions identified </w:t>
      </w:r>
      <w:r w:rsidR="00DA2C4C" w:rsidRPr="002C5292">
        <w:rPr>
          <w:rFonts w:asciiTheme="majorHAnsi" w:hAnsiTheme="majorHAnsi" w:cstheme="majorHAnsi"/>
          <w:sz w:val="22"/>
          <w:szCs w:val="22"/>
        </w:rPr>
        <w:t xml:space="preserve">in regulations </w:t>
      </w:r>
      <w:r w:rsidR="007B46D2" w:rsidRPr="002C5292">
        <w:rPr>
          <w:rFonts w:asciiTheme="majorHAnsi" w:hAnsiTheme="majorHAnsi" w:cstheme="majorHAnsi"/>
          <w:sz w:val="22"/>
          <w:szCs w:val="22"/>
        </w:rPr>
        <w:t>9</w:t>
      </w:r>
      <w:r w:rsidR="00DA2C4C" w:rsidRPr="002C5292">
        <w:rPr>
          <w:rFonts w:asciiTheme="majorHAnsi" w:hAnsiTheme="majorHAnsi" w:cstheme="majorHAnsi"/>
          <w:sz w:val="22"/>
          <w:szCs w:val="22"/>
        </w:rPr>
        <w:t xml:space="preserve">, </w:t>
      </w:r>
      <w:r w:rsidR="007B46D2" w:rsidRPr="002C5292">
        <w:rPr>
          <w:rFonts w:asciiTheme="majorHAnsi" w:hAnsiTheme="majorHAnsi" w:cstheme="majorHAnsi"/>
          <w:sz w:val="22"/>
          <w:szCs w:val="22"/>
        </w:rPr>
        <w:t>10</w:t>
      </w:r>
      <w:r w:rsidR="00DA2C4C" w:rsidRPr="002C5292">
        <w:rPr>
          <w:rFonts w:asciiTheme="majorHAnsi" w:hAnsiTheme="majorHAnsi" w:cstheme="majorHAnsi"/>
          <w:sz w:val="22"/>
          <w:szCs w:val="22"/>
        </w:rPr>
        <w:t xml:space="preserve"> and Schedule 3 of the Proposed Regulations </w:t>
      </w:r>
      <w:r w:rsidRPr="002C5292">
        <w:rPr>
          <w:rFonts w:asciiTheme="majorHAnsi" w:hAnsiTheme="majorHAnsi" w:cstheme="majorHAnsi"/>
          <w:sz w:val="22"/>
          <w:szCs w:val="22"/>
        </w:rPr>
        <w:t xml:space="preserve">would have to be categorised on a case-by-case basis, as the need for an instrument arose. This places a burden on instrument-makers to accurately categorise the instrument being made. If an exemption should apply, then the SLA requires agencies to seek an exemption certificate from the responsible Minister. </w:t>
      </w:r>
    </w:p>
    <w:p w14:paraId="7BFA1D53" w14:textId="09D8D387" w:rsidR="00901190" w:rsidRPr="002C5292" w:rsidRDefault="00901190" w:rsidP="00A50BB0">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Seeking an exemption </w:t>
      </w:r>
      <w:r w:rsidR="00DA2C4C" w:rsidRPr="002C5292">
        <w:rPr>
          <w:rFonts w:asciiTheme="majorHAnsi" w:hAnsiTheme="majorHAnsi" w:cstheme="majorHAnsi"/>
          <w:sz w:val="22"/>
          <w:szCs w:val="22"/>
        </w:rPr>
        <w:t xml:space="preserve">(on a case by case basis) </w:t>
      </w:r>
      <w:r w:rsidRPr="002C5292">
        <w:rPr>
          <w:rFonts w:asciiTheme="majorHAnsi" w:hAnsiTheme="majorHAnsi" w:cstheme="majorHAnsi"/>
          <w:sz w:val="22"/>
          <w:szCs w:val="22"/>
        </w:rPr>
        <w:t>would entail:</w:t>
      </w:r>
    </w:p>
    <w:p w14:paraId="5946A676" w14:textId="009FEA6E" w:rsidR="00901190" w:rsidRPr="002C5292" w:rsidRDefault="00901190" w:rsidP="000C4A15">
      <w:pPr>
        <w:pStyle w:val="DPCbodytext"/>
      </w:pPr>
      <w:r w:rsidRPr="002C5292">
        <w:t>preparing advice (</w:t>
      </w:r>
      <w:r w:rsidR="00385E59" w:rsidRPr="002C5292">
        <w:t xml:space="preserve">typically </w:t>
      </w:r>
      <w:r w:rsidRPr="002C5292">
        <w:t>including obtaining and outlining legal advice) and drafting an exemption certificate (by the responsible department or agency); and</w:t>
      </w:r>
      <w:r w:rsidR="00513174" w:rsidRPr="002C5292">
        <w:t xml:space="preserve"> </w:t>
      </w:r>
      <w:r w:rsidRPr="002C5292">
        <w:t>consideration and signing of the exemption certificate (by the responsible Minister).</w:t>
      </w:r>
    </w:p>
    <w:p w14:paraId="189A9FD5" w14:textId="77777777" w:rsidR="00D926C5" w:rsidRPr="002C5292" w:rsidRDefault="00901190" w:rsidP="00DA2C4C">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While not necessarily resource intensive on an individual basis, overall instrument-makers will face unnecessary costs each year to seek exemptions for a number of legislative instruments. </w:t>
      </w:r>
    </w:p>
    <w:p w14:paraId="066CDA3B" w14:textId="0532EE25" w:rsidR="00901190" w:rsidRPr="002C5292" w:rsidRDefault="00755326" w:rsidP="00DA2C4C">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 </w:t>
      </w:r>
      <w:r w:rsidR="00F5075C" w:rsidRPr="002C5292">
        <w:rPr>
          <w:rFonts w:asciiTheme="majorHAnsi" w:hAnsiTheme="majorHAnsi" w:cstheme="majorHAnsi"/>
          <w:sz w:val="22"/>
          <w:szCs w:val="22"/>
        </w:rPr>
        <w:t xml:space="preserve">average </w:t>
      </w:r>
      <w:r w:rsidRPr="002C5292">
        <w:rPr>
          <w:rFonts w:asciiTheme="majorHAnsi" w:hAnsiTheme="majorHAnsi" w:cstheme="majorHAnsi"/>
          <w:sz w:val="22"/>
          <w:szCs w:val="22"/>
        </w:rPr>
        <w:t xml:space="preserve">cost of an exemption to the instrument-maker has been estimated to be </w:t>
      </w:r>
      <w:r w:rsidR="00901190" w:rsidRPr="002C5292">
        <w:rPr>
          <w:rFonts w:asciiTheme="majorHAnsi" w:hAnsiTheme="majorHAnsi" w:cstheme="majorHAnsi"/>
          <w:sz w:val="22"/>
          <w:szCs w:val="22"/>
        </w:rPr>
        <w:t>about $</w:t>
      </w:r>
      <w:r w:rsidR="007F5631" w:rsidRPr="002C5292">
        <w:rPr>
          <w:rFonts w:asciiTheme="majorHAnsi" w:hAnsiTheme="majorHAnsi" w:cstheme="majorHAnsi"/>
          <w:sz w:val="22"/>
          <w:szCs w:val="22"/>
        </w:rPr>
        <w:t>600</w:t>
      </w:r>
      <w:r w:rsidR="00731D89" w:rsidRPr="002C5292">
        <w:rPr>
          <w:rFonts w:asciiTheme="majorHAnsi" w:hAnsiTheme="majorHAnsi" w:cstheme="majorHAnsi"/>
          <w:sz w:val="22"/>
          <w:szCs w:val="22"/>
        </w:rPr>
        <w:t xml:space="preserve"> </w:t>
      </w:r>
      <w:r w:rsidR="00901190" w:rsidRPr="002C5292">
        <w:rPr>
          <w:rFonts w:asciiTheme="majorHAnsi" w:hAnsiTheme="majorHAnsi" w:cstheme="majorHAnsi"/>
          <w:sz w:val="22"/>
          <w:szCs w:val="22"/>
        </w:rPr>
        <w:t>(see discussion on the Base Case for more detail</w:t>
      </w:r>
      <w:r w:rsidR="006B7000" w:rsidRPr="002C5292">
        <w:rPr>
          <w:rFonts w:asciiTheme="majorHAnsi" w:hAnsiTheme="majorHAnsi" w:cstheme="majorHAnsi"/>
          <w:sz w:val="22"/>
          <w:szCs w:val="22"/>
        </w:rPr>
        <w:t xml:space="preserve"> </w:t>
      </w:r>
      <w:r w:rsidR="00D210CF" w:rsidRPr="002C5292">
        <w:rPr>
          <w:rFonts w:asciiTheme="majorHAnsi" w:hAnsiTheme="majorHAnsi" w:cstheme="majorHAnsi"/>
          <w:sz w:val="22"/>
          <w:szCs w:val="22"/>
        </w:rPr>
        <w:t>in Chapter 3</w:t>
      </w:r>
      <w:r w:rsidR="00901190" w:rsidRPr="002C5292">
        <w:rPr>
          <w:rFonts w:asciiTheme="majorHAnsi" w:hAnsiTheme="majorHAnsi" w:cstheme="majorHAnsi"/>
          <w:sz w:val="22"/>
          <w:szCs w:val="22"/>
        </w:rPr>
        <w:t>)</w:t>
      </w:r>
      <w:r w:rsidR="0084275C" w:rsidRPr="002C5292">
        <w:rPr>
          <w:rStyle w:val="FootnoteReference"/>
        </w:rPr>
        <w:footnoteReference w:id="8"/>
      </w:r>
      <w:r w:rsidR="00901190" w:rsidRPr="002C5292">
        <w:t xml:space="preserve">, </w:t>
      </w:r>
      <w:r w:rsidR="00901190" w:rsidRPr="002C5292">
        <w:rPr>
          <w:rFonts w:asciiTheme="majorHAnsi" w:hAnsiTheme="majorHAnsi" w:cstheme="majorHAnsi"/>
          <w:sz w:val="22"/>
          <w:szCs w:val="22"/>
        </w:rPr>
        <w:t>which covers the costs to review the legislative instrument against the exemption criteria and brief the Minister to make a decision. The costs to agencies in undertaking this activity would likely be absorbed within current departmental or agency budgets, such as general legal branch or legal advice budgets. There would not be an overt, additional cost to taxpayers in administering such a system of exemptions. However, an opportunity cost is created, as inefficient use of limited resources may mean departments and agencies have less capacity to address other issues.</w:t>
      </w:r>
    </w:p>
    <w:p w14:paraId="51638F92" w14:textId="15144399" w:rsidR="00D926C5" w:rsidRPr="002C5292" w:rsidRDefault="00901190" w:rsidP="00DA2C4C">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Th</w:t>
      </w:r>
      <w:r w:rsidR="00C25C77" w:rsidRPr="002C5292">
        <w:rPr>
          <w:rFonts w:asciiTheme="majorHAnsi" w:hAnsiTheme="majorHAnsi" w:cstheme="majorHAnsi"/>
          <w:sz w:val="22"/>
          <w:szCs w:val="22"/>
        </w:rPr>
        <w:t>is</w:t>
      </w:r>
      <w:r w:rsidRPr="002C5292">
        <w:rPr>
          <w:rFonts w:asciiTheme="majorHAnsi" w:hAnsiTheme="majorHAnsi" w:cstheme="majorHAnsi"/>
          <w:sz w:val="22"/>
          <w:szCs w:val="22"/>
        </w:rPr>
        <w:t xml:space="preserve"> process </w:t>
      </w:r>
      <w:r w:rsidR="000C5B8C" w:rsidRPr="002C5292">
        <w:rPr>
          <w:rFonts w:asciiTheme="majorHAnsi" w:hAnsiTheme="majorHAnsi" w:cstheme="majorHAnsi"/>
          <w:sz w:val="22"/>
          <w:szCs w:val="22"/>
        </w:rPr>
        <w:t xml:space="preserve">can be </w:t>
      </w:r>
      <w:r w:rsidRPr="002C5292">
        <w:rPr>
          <w:rFonts w:asciiTheme="majorHAnsi" w:hAnsiTheme="majorHAnsi" w:cstheme="majorHAnsi"/>
          <w:sz w:val="22"/>
          <w:szCs w:val="22"/>
        </w:rPr>
        <w:t>inefficient if the exemption is sought on a regular basis for the same type of legislative instrument and exemption criteria, for example, for instruments made annually, or several times each year.</w:t>
      </w:r>
      <w:r w:rsidR="000C5B8C" w:rsidRPr="002C5292">
        <w:rPr>
          <w:rFonts w:asciiTheme="majorHAnsi" w:hAnsiTheme="majorHAnsi" w:cstheme="majorHAnsi"/>
          <w:sz w:val="22"/>
          <w:szCs w:val="22"/>
        </w:rPr>
        <w:t xml:space="preserve"> The assessment for more regularly made instruments may become more straightforward for the agencies </w:t>
      </w:r>
      <w:r w:rsidR="001A1796" w:rsidRPr="002C5292">
        <w:rPr>
          <w:rFonts w:asciiTheme="majorHAnsi" w:hAnsiTheme="majorHAnsi" w:cstheme="majorHAnsi"/>
          <w:sz w:val="22"/>
          <w:szCs w:val="22"/>
        </w:rPr>
        <w:t>with a</w:t>
      </w:r>
      <w:r w:rsidR="000C5B8C" w:rsidRPr="002C5292">
        <w:rPr>
          <w:rFonts w:asciiTheme="majorHAnsi" w:hAnsiTheme="majorHAnsi" w:cstheme="majorHAnsi"/>
          <w:sz w:val="22"/>
          <w:szCs w:val="22"/>
        </w:rPr>
        <w:t xml:space="preserve"> reduc</w:t>
      </w:r>
      <w:r w:rsidR="001A1796" w:rsidRPr="002C5292">
        <w:rPr>
          <w:rFonts w:asciiTheme="majorHAnsi" w:hAnsiTheme="majorHAnsi" w:cstheme="majorHAnsi"/>
          <w:sz w:val="22"/>
          <w:szCs w:val="22"/>
        </w:rPr>
        <w:t>tion in</w:t>
      </w:r>
      <w:r w:rsidR="000C5B8C" w:rsidRPr="002C5292">
        <w:rPr>
          <w:rFonts w:asciiTheme="majorHAnsi" w:hAnsiTheme="majorHAnsi" w:cstheme="majorHAnsi"/>
          <w:sz w:val="22"/>
          <w:szCs w:val="22"/>
        </w:rPr>
        <w:t xml:space="preserve"> the</w:t>
      </w:r>
      <w:r w:rsidR="001A1796" w:rsidRPr="002C5292">
        <w:rPr>
          <w:rFonts w:asciiTheme="majorHAnsi" w:hAnsiTheme="majorHAnsi" w:cstheme="majorHAnsi"/>
          <w:sz w:val="22"/>
          <w:szCs w:val="22"/>
        </w:rPr>
        <w:t xml:space="preserve"> </w:t>
      </w:r>
      <w:r w:rsidR="000C5B8C" w:rsidRPr="002C5292">
        <w:rPr>
          <w:rFonts w:asciiTheme="majorHAnsi" w:hAnsiTheme="majorHAnsi" w:cstheme="majorHAnsi"/>
          <w:sz w:val="22"/>
          <w:szCs w:val="22"/>
        </w:rPr>
        <w:t xml:space="preserve">average cost across </w:t>
      </w:r>
      <w:r w:rsidR="00981B37" w:rsidRPr="002C5292">
        <w:rPr>
          <w:rFonts w:asciiTheme="majorHAnsi" w:hAnsiTheme="majorHAnsi" w:cstheme="majorHAnsi"/>
          <w:sz w:val="22"/>
          <w:szCs w:val="22"/>
        </w:rPr>
        <w:t>multiple</w:t>
      </w:r>
      <w:r w:rsidR="000C5B8C" w:rsidRPr="002C5292" w:rsidDel="00DA2C4C">
        <w:rPr>
          <w:rFonts w:asciiTheme="majorHAnsi" w:hAnsiTheme="majorHAnsi" w:cstheme="majorHAnsi"/>
          <w:sz w:val="22"/>
          <w:szCs w:val="22"/>
        </w:rPr>
        <w:t xml:space="preserve"> </w:t>
      </w:r>
      <w:r w:rsidR="000C5B8C" w:rsidRPr="002C5292">
        <w:rPr>
          <w:rFonts w:asciiTheme="majorHAnsi" w:hAnsiTheme="majorHAnsi" w:cstheme="majorHAnsi"/>
          <w:sz w:val="22"/>
          <w:szCs w:val="22"/>
        </w:rPr>
        <w:t>instruments</w:t>
      </w:r>
      <w:r w:rsidR="00835267" w:rsidRPr="002C5292">
        <w:rPr>
          <w:rFonts w:asciiTheme="majorHAnsi" w:hAnsiTheme="majorHAnsi" w:cstheme="majorHAnsi"/>
          <w:sz w:val="22"/>
          <w:szCs w:val="22"/>
        </w:rPr>
        <w:t>, but is still expected to be higher overall</w:t>
      </w:r>
      <w:r w:rsidR="00401CAC" w:rsidRPr="002C5292">
        <w:rPr>
          <w:rFonts w:asciiTheme="majorHAnsi" w:hAnsiTheme="majorHAnsi" w:cstheme="majorHAnsi"/>
          <w:sz w:val="22"/>
          <w:szCs w:val="22"/>
        </w:rPr>
        <w:t>.</w:t>
      </w:r>
      <w:r w:rsidR="000C5B8C" w:rsidRPr="002C5292">
        <w:rPr>
          <w:rFonts w:asciiTheme="majorHAnsi" w:hAnsiTheme="majorHAnsi" w:cstheme="majorHAnsi"/>
          <w:sz w:val="22"/>
          <w:szCs w:val="22"/>
        </w:rPr>
        <w:t xml:space="preserve"> Alternatively, where an instrument is made infrequently</w:t>
      </w:r>
      <w:r w:rsidR="00401CAC" w:rsidRPr="002C5292">
        <w:rPr>
          <w:rFonts w:asciiTheme="majorHAnsi" w:hAnsiTheme="majorHAnsi" w:cstheme="majorHAnsi"/>
          <w:sz w:val="22"/>
          <w:szCs w:val="22"/>
        </w:rPr>
        <w:t>,</w:t>
      </w:r>
      <w:r w:rsidR="000C5B8C" w:rsidRPr="002C5292">
        <w:rPr>
          <w:rFonts w:asciiTheme="majorHAnsi" w:hAnsiTheme="majorHAnsi" w:cstheme="majorHAnsi"/>
          <w:sz w:val="22"/>
          <w:szCs w:val="22"/>
        </w:rPr>
        <w:t xml:space="preserve"> agencies may incur more significant </w:t>
      </w:r>
      <w:r w:rsidR="00835267" w:rsidRPr="002C5292">
        <w:rPr>
          <w:rFonts w:asciiTheme="majorHAnsi" w:hAnsiTheme="majorHAnsi" w:cstheme="majorHAnsi"/>
          <w:sz w:val="22"/>
          <w:szCs w:val="22"/>
        </w:rPr>
        <w:t xml:space="preserve">one-off </w:t>
      </w:r>
      <w:r w:rsidR="000C5B8C" w:rsidRPr="002C5292">
        <w:rPr>
          <w:rFonts w:asciiTheme="majorHAnsi" w:hAnsiTheme="majorHAnsi" w:cstheme="majorHAnsi"/>
          <w:sz w:val="22"/>
          <w:szCs w:val="22"/>
        </w:rPr>
        <w:t>costs when assessing the instrument (such as obtaining legal advice</w:t>
      </w:r>
      <w:r w:rsidR="00814B0F" w:rsidRPr="002C5292">
        <w:rPr>
          <w:rFonts w:asciiTheme="majorHAnsi" w:hAnsiTheme="majorHAnsi" w:cstheme="majorHAnsi"/>
          <w:sz w:val="22"/>
          <w:szCs w:val="22"/>
        </w:rPr>
        <w:t xml:space="preserve"> and assessing such advice</w:t>
      </w:r>
      <w:r w:rsidR="000C5B8C" w:rsidRPr="002C5292">
        <w:rPr>
          <w:rFonts w:asciiTheme="majorHAnsi" w:hAnsiTheme="majorHAnsi" w:cstheme="majorHAnsi"/>
          <w:sz w:val="22"/>
          <w:szCs w:val="22"/>
        </w:rPr>
        <w:t>)</w:t>
      </w:r>
      <w:r w:rsidR="00D91A58" w:rsidRPr="002C5292">
        <w:rPr>
          <w:rFonts w:asciiTheme="majorHAnsi" w:hAnsiTheme="majorHAnsi" w:cstheme="majorHAnsi"/>
          <w:sz w:val="22"/>
          <w:szCs w:val="22"/>
        </w:rPr>
        <w:t>.</w:t>
      </w:r>
      <w:r w:rsidR="000C5B8C" w:rsidRPr="002C5292" w:rsidDel="00D91A58">
        <w:rPr>
          <w:rFonts w:asciiTheme="majorHAnsi" w:hAnsiTheme="majorHAnsi" w:cstheme="majorHAnsi"/>
          <w:sz w:val="22"/>
          <w:szCs w:val="22"/>
        </w:rPr>
        <w:t xml:space="preserve"> </w:t>
      </w:r>
      <w:r w:rsidRPr="002C5292">
        <w:rPr>
          <w:rFonts w:asciiTheme="majorHAnsi" w:hAnsiTheme="majorHAnsi" w:cstheme="majorHAnsi"/>
          <w:sz w:val="22"/>
          <w:szCs w:val="22"/>
        </w:rPr>
        <w:t xml:space="preserve"> </w:t>
      </w:r>
    </w:p>
    <w:p w14:paraId="18FCC95A" w14:textId="474C99D3" w:rsidR="00901190" w:rsidRPr="002C5292" w:rsidRDefault="00901190" w:rsidP="000C4A15">
      <w:pPr>
        <w:pStyle w:val="DPCbodytext"/>
      </w:pPr>
      <w:r w:rsidRPr="002C5292">
        <w:t xml:space="preserve">To give one example, section 2.3.2 of the </w:t>
      </w:r>
      <w:r w:rsidRPr="002C5292">
        <w:rPr>
          <w:i/>
        </w:rPr>
        <w:t xml:space="preserve">Education and Training Reform Act 2006 </w:t>
      </w:r>
      <w:r w:rsidRPr="002C5292">
        <w:t>allows the Minister to make an order to constitute a school council to exercise and discharge powers, duties and functions in relation to a Government school or group of Government schools. These Orders are made on a regular basis and will likely never impose a significant burden, and to require that an exemption be considered each time an Order is made would be an inefficient use of government resources and Ministers’ time.</w:t>
      </w:r>
    </w:p>
    <w:p w14:paraId="34C532D9" w14:textId="75F206B7" w:rsidR="00901190"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Having to seek a</w:t>
      </w:r>
      <w:r w:rsidR="006B7000" w:rsidRPr="002C5292">
        <w:rPr>
          <w:rFonts w:asciiTheme="majorHAnsi" w:hAnsiTheme="majorHAnsi" w:cstheme="majorHAnsi"/>
          <w:sz w:val="22"/>
          <w:szCs w:val="22"/>
        </w:rPr>
        <w:t xml:space="preserve"> Ministerial</w:t>
      </w:r>
      <w:r w:rsidRPr="002C5292">
        <w:rPr>
          <w:rFonts w:asciiTheme="majorHAnsi" w:hAnsiTheme="majorHAnsi" w:cstheme="majorHAnsi"/>
          <w:sz w:val="22"/>
          <w:szCs w:val="22"/>
        </w:rPr>
        <w:t xml:space="preserve"> exemption may also </w:t>
      </w:r>
      <w:r w:rsidR="00280B25" w:rsidRPr="002C5292">
        <w:rPr>
          <w:rFonts w:asciiTheme="majorHAnsi" w:hAnsiTheme="majorHAnsi" w:cstheme="majorHAnsi"/>
          <w:sz w:val="22"/>
          <w:szCs w:val="22"/>
        </w:rPr>
        <w:t xml:space="preserve">detrimentally </w:t>
      </w:r>
      <w:r w:rsidRPr="002C5292">
        <w:rPr>
          <w:rFonts w:asciiTheme="majorHAnsi" w:hAnsiTheme="majorHAnsi" w:cstheme="majorHAnsi"/>
          <w:sz w:val="22"/>
          <w:szCs w:val="22"/>
        </w:rPr>
        <w:t>impact situations where it is important that a timely regulatory response occur. A section 12F exemption may apply where the legislative instrument “is not of more than 12 months duration and forms a response to a public emergency, an urgent public health issue or likely or actual significant damage to the environment, resource sustainability or the economy” (section 12F(1)(h) of the SLA)</w:t>
      </w:r>
      <w:r w:rsidR="00111B80" w:rsidRPr="002C5292">
        <w:rPr>
          <w:rFonts w:asciiTheme="majorHAnsi" w:hAnsiTheme="majorHAnsi" w:cstheme="majorHAnsi"/>
          <w:sz w:val="22"/>
          <w:szCs w:val="22"/>
        </w:rPr>
        <w:t>. F</w:t>
      </w:r>
      <w:r w:rsidRPr="002C5292">
        <w:rPr>
          <w:rFonts w:asciiTheme="majorHAnsi" w:hAnsiTheme="majorHAnsi" w:cstheme="majorHAnsi"/>
          <w:sz w:val="22"/>
          <w:szCs w:val="22"/>
        </w:rPr>
        <w:t xml:space="preserve">or example, a declaration relating to infectious disease or </w:t>
      </w:r>
      <w:r w:rsidR="00B24D87" w:rsidRPr="002C5292">
        <w:rPr>
          <w:rFonts w:asciiTheme="majorHAnsi" w:hAnsiTheme="majorHAnsi" w:cstheme="majorHAnsi"/>
          <w:sz w:val="22"/>
          <w:szCs w:val="22"/>
        </w:rPr>
        <w:t xml:space="preserve">a </w:t>
      </w:r>
      <w:r w:rsidRPr="002C5292">
        <w:rPr>
          <w:rFonts w:asciiTheme="majorHAnsi" w:hAnsiTheme="majorHAnsi" w:cstheme="majorHAnsi"/>
          <w:sz w:val="22"/>
          <w:szCs w:val="22"/>
        </w:rPr>
        <w:t>micro-organism, made under</w:t>
      </w:r>
      <w:r w:rsidR="007A4631" w:rsidRPr="002C5292">
        <w:rPr>
          <w:rFonts w:asciiTheme="majorHAnsi" w:hAnsiTheme="majorHAnsi" w:cstheme="majorHAnsi"/>
          <w:sz w:val="22"/>
          <w:szCs w:val="22"/>
        </w:rPr>
        <w:t xml:space="preserve"> section 126 of</w:t>
      </w:r>
      <w:r w:rsidRPr="002C5292">
        <w:rPr>
          <w:rFonts w:asciiTheme="majorHAnsi" w:hAnsiTheme="majorHAnsi" w:cstheme="majorHAnsi"/>
          <w:sz w:val="22"/>
          <w:szCs w:val="22"/>
        </w:rPr>
        <w:t xml:space="preserve"> the </w:t>
      </w:r>
      <w:r w:rsidRPr="002C5292">
        <w:rPr>
          <w:rFonts w:asciiTheme="majorHAnsi" w:hAnsiTheme="majorHAnsi" w:cstheme="majorHAnsi"/>
          <w:i/>
          <w:iCs/>
          <w:sz w:val="22"/>
          <w:szCs w:val="22"/>
        </w:rPr>
        <w:t>Public Health and Wellbeing Act 2008</w:t>
      </w:r>
      <w:r w:rsidRPr="002C5292">
        <w:rPr>
          <w:rFonts w:asciiTheme="majorHAnsi" w:hAnsiTheme="majorHAnsi" w:cstheme="majorHAnsi"/>
          <w:sz w:val="22"/>
          <w:szCs w:val="22"/>
        </w:rPr>
        <w:t>, which may be needed to respond urgently to an infectious disease outbreak. While a</w:t>
      </w:r>
      <w:r w:rsidR="006B7000" w:rsidRPr="002C5292">
        <w:rPr>
          <w:rFonts w:asciiTheme="majorHAnsi" w:hAnsiTheme="majorHAnsi" w:cstheme="majorHAnsi"/>
          <w:sz w:val="22"/>
          <w:szCs w:val="22"/>
        </w:rPr>
        <w:t xml:space="preserve"> Ministerial</w:t>
      </w:r>
      <w:r w:rsidRPr="002C5292">
        <w:rPr>
          <w:rFonts w:asciiTheme="majorHAnsi" w:hAnsiTheme="majorHAnsi" w:cstheme="majorHAnsi"/>
          <w:sz w:val="22"/>
          <w:szCs w:val="22"/>
        </w:rPr>
        <w:t xml:space="preserve"> exemption in such cases is likely to be straight forward, </w:t>
      </w:r>
      <w:r w:rsidR="006B7000" w:rsidRPr="002C5292">
        <w:rPr>
          <w:rFonts w:asciiTheme="majorHAnsi" w:hAnsiTheme="majorHAnsi" w:cstheme="majorHAnsi"/>
          <w:sz w:val="22"/>
          <w:szCs w:val="22"/>
        </w:rPr>
        <w:t xml:space="preserve">including </w:t>
      </w:r>
      <w:r w:rsidR="00814B0F" w:rsidRPr="002C5292">
        <w:rPr>
          <w:rFonts w:asciiTheme="majorHAnsi" w:hAnsiTheme="majorHAnsi" w:cstheme="majorHAnsi"/>
          <w:sz w:val="22"/>
          <w:szCs w:val="22"/>
        </w:rPr>
        <w:t xml:space="preserve">the instrument </w:t>
      </w:r>
      <w:r w:rsidR="006B7000" w:rsidRPr="002C5292">
        <w:rPr>
          <w:rFonts w:asciiTheme="majorHAnsi" w:hAnsiTheme="majorHAnsi" w:cstheme="majorHAnsi"/>
          <w:sz w:val="22"/>
          <w:szCs w:val="22"/>
        </w:rPr>
        <w:t xml:space="preserve">in the Proposed Regulations </w:t>
      </w:r>
      <w:r w:rsidR="00814B0F" w:rsidRPr="002C5292">
        <w:rPr>
          <w:rFonts w:asciiTheme="majorHAnsi" w:hAnsiTheme="majorHAnsi" w:cstheme="majorHAnsi"/>
          <w:sz w:val="22"/>
          <w:szCs w:val="22"/>
        </w:rPr>
        <w:t>removes</w:t>
      </w:r>
      <w:r w:rsidRPr="002C5292">
        <w:rPr>
          <w:rFonts w:asciiTheme="majorHAnsi" w:hAnsiTheme="majorHAnsi" w:cstheme="majorHAnsi"/>
          <w:sz w:val="22"/>
          <w:szCs w:val="22"/>
        </w:rPr>
        <w:t xml:space="preserve"> </w:t>
      </w:r>
      <w:r w:rsidR="00814B0F" w:rsidRPr="002C5292">
        <w:rPr>
          <w:rFonts w:asciiTheme="majorHAnsi" w:hAnsiTheme="majorHAnsi" w:cstheme="majorHAnsi"/>
          <w:sz w:val="22"/>
          <w:szCs w:val="22"/>
        </w:rPr>
        <w:t>the potential for</w:t>
      </w:r>
      <w:r w:rsidR="00375F6E" w:rsidRPr="002C5292">
        <w:rPr>
          <w:rFonts w:asciiTheme="majorHAnsi" w:hAnsiTheme="majorHAnsi" w:cstheme="majorHAnsi"/>
          <w:sz w:val="22"/>
          <w:szCs w:val="22"/>
        </w:rPr>
        <w:t xml:space="preserve"> some</w:t>
      </w:r>
      <w:r w:rsidR="00814B0F" w:rsidRPr="002C5292">
        <w:rPr>
          <w:rFonts w:asciiTheme="majorHAnsi" w:hAnsiTheme="majorHAnsi" w:cstheme="majorHAnsi"/>
          <w:sz w:val="22"/>
          <w:szCs w:val="22"/>
        </w:rPr>
        <w:t xml:space="preserve"> </w:t>
      </w:r>
      <w:r w:rsidRPr="002C5292">
        <w:rPr>
          <w:rFonts w:asciiTheme="majorHAnsi" w:hAnsiTheme="majorHAnsi" w:cstheme="majorHAnsi"/>
          <w:sz w:val="22"/>
          <w:szCs w:val="22"/>
        </w:rPr>
        <w:t xml:space="preserve">delay </w:t>
      </w:r>
      <w:r w:rsidR="00814B0F" w:rsidRPr="002C5292">
        <w:rPr>
          <w:rFonts w:asciiTheme="majorHAnsi" w:hAnsiTheme="majorHAnsi" w:cstheme="majorHAnsi"/>
          <w:sz w:val="22"/>
          <w:szCs w:val="22"/>
        </w:rPr>
        <w:t xml:space="preserve">and an </w:t>
      </w:r>
      <w:r w:rsidRPr="002C5292">
        <w:rPr>
          <w:rFonts w:asciiTheme="majorHAnsi" w:hAnsiTheme="majorHAnsi" w:cstheme="majorHAnsi"/>
          <w:sz w:val="22"/>
          <w:szCs w:val="22"/>
        </w:rPr>
        <w:t>additional burden to the process of making a legislative instrument</w:t>
      </w:r>
      <w:r w:rsidR="00814B0F" w:rsidRPr="002C5292">
        <w:rPr>
          <w:rFonts w:asciiTheme="majorHAnsi" w:hAnsiTheme="majorHAnsi" w:cstheme="majorHAnsi"/>
          <w:sz w:val="22"/>
          <w:szCs w:val="22"/>
        </w:rPr>
        <w:t xml:space="preserve"> which</w:t>
      </w:r>
      <w:r w:rsidRPr="002C5292">
        <w:rPr>
          <w:rFonts w:asciiTheme="majorHAnsi" w:hAnsiTheme="majorHAnsi" w:cstheme="majorHAnsi"/>
          <w:sz w:val="22"/>
          <w:szCs w:val="22"/>
        </w:rPr>
        <w:t xml:space="preserve"> in such circumstances may hinder a timely and effective response.</w:t>
      </w:r>
    </w:p>
    <w:p w14:paraId="7FF7AEAB" w14:textId="50462BD2" w:rsidR="00D926C5"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Where a</w:t>
      </w:r>
      <w:r w:rsidR="006B7000" w:rsidRPr="002C5292">
        <w:rPr>
          <w:rFonts w:asciiTheme="majorHAnsi" w:hAnsiTheme="majorHAnsi" w:cstheme="majorHAnsi"/>
          <w:sz w:val="22"/>
          <w:szCs w:val="22"/>
        </w:rPr>
        <w:t xml:space="preserve"> Ministerial </w:t>
      </w:r>
      <w:r w:rsidRPr="002C5292">
        <w:rPr>
          <w:rFonts w:asciiTheme="majorHAnsi" w:hAnsiTheme="majorHAnsi" w:cstheme="majorHAnsi"/>
          <w:sz w:val="22"/>
          <w:szCs w:val="22"/>
        </w:rPr>
        <w:t xml:space="preserve">exemption would not apply under </w:t>
      </w:r>
      <w:r w:rsidR="00D91A58" w:rsidRPr="002C5292">
        <w:rPr>
          <w:rFonts w:asciiTheme="majorHAnsi" w:hAnsiTheme="majorHAnsi" w:cstheme="majorHAnsi"/>
          <w:sz w:val="22"/>
          <w:szCs w:val="22"/>
        </w:rPr>
        <w:t xml:space="preserve">section 12F of </w:t>
      </w:r>
      <w:r w:rsidRPr="002C5292">
        <w:rPr>
          <w:rFonts w:asciiTheme="majorHAnsi" w:hAnsiTheme="majorHAnsi" w:cstheme="majorHAnsi"/>
          <w:sz w:val="22"/>
          <w:szCs w:val="22"/>
        </w:rPr>
        <w:t xml:space="preserve">SLA, but the instrument is proposed for </w:t>
      </w:r>
      <w:r w:rsidR="006B7000" w:rsidRPr="002C5292">
        <w:rPr>
          <w:rFonts w:asciiTheme="majorHAnsi" w:hAnsiTheme="majorHAnsi" w:cstheme="majorHAnsi"/>
          <w:sz w:val="22"/>
          <w:szCs w:val="22"/>
        </w:rPr>
        <w:t xml:space="preserve">inclusion in the Proposed Regulations </w:t>
      </w:r>
      <w:r w:rsidRPr="002C5292">
        <w:rPr>
          <w:rFonts w:asciiTheme="majorHAnsi" w:hAnsiTheme="majorHAnsi" w:cstheme="majorHAnsi"/>
          <w:sz w:val="22"/>
          <w:szCs w:val="22"/>
        </w:rPr>
        <w:t xml:space="preserve">due to overall public interest, the RIS and associated consultation process would likely need to be undertaken without the </w:t>
      </w:r>
      <w:r w:rsidR="00095532" w:rsidRPr="002C5292">
        <w:rPr>
          <w:rFonts w:asciiTheme="majorHAnsi" w:hAnsiTheme="majorHAnsi" w:cstheme="majorHAnsi"/>
          <w:sz w:val="22"/>
          <w:szCs w:val="22"/>
        </w:rPr>
        <w:t>Proposed Regulations</w:t>
      </w:r>
      <w:r w:rsidRPr="002C5292">
        <w:rPr>
          <w:rFonts w:asciiTheme="majorHAnsi" w:hAnsiTheme="majorHAnsi" w:cstheme="majorHAnsi"/>
          <w:sz w:val="22"/>
          <w:szCs w:val="22"/>
        </w:rPr>
        <w:t xml:space="preserve">. The cost of doing this varies considerably depending on the size and scope of the proposal. </w:t>
      </w:r>
    </w:p>
    <w:p w14:paraId="0A39F5D0" w14:textId="7BC9F8D8" w:rsidR="00901190" w:rsidRPr="002C5292" w:rsidRDefault="00901190" w:rsidP="00901190">
      <w:pPr>
        <w:pStyle w:val="Heading2"/>
      </w:pPr>
      <w:bookmarkStart w:id="35" w:name="_Toc70082357"/>
      <w:r w:rsidRPr="002C5292">
        <w:t>Prescribed legislative instruments</w:t>
      </w:r>
      <w:bookmarkEnd w:id="35"/>
    </w:p>
    <w:p w14:paraId="6C97EF2C" w14:textId="3C32411B" w:rsidR="00901190"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Section 4A of the SLA allows the Governor in Council, on recommendation by the responsible Minister) to make regulations:</w:t>
      </w:r>
    </w:p>
    <w:p w14:paraId="1BBF572F" w14:textId="77777777" w:rsidR="00901190" w:rsidRPr="002C5292" w:rsidRDefault="00901190" w:rsidP="000C4A15">
      <w:pPr>
        <w:pStyle w:val="DPCbodytext"/>
        <w:numPr>
          <w:ilvl w:val="0"/>
          <w:numId w:val="40"/>
        </w:numPr>
      </w:pPr>
      <w:r w:rsidRPr="002C5292">
        <w:t xml:space="preserve">“prescribing an instrument or class of instrument for the purposes of paragraph (h) of the definition of </w:t>
      </w:r>
      <w:r w:rsidRPr="002C5292">
        <w:rPr>
          <w:b/>
          <w:i/>
        </w:rPr>
        <w:t>legislative instrument</w:t>
      </w:r>
      <w:r w:rsidRPr="002C5292">
        <w:t>;</w:t>
      </w:r>
    </w:p>
    <w:p w14:paraId="168064A4" w14:textId="77777777" w:rsidR="00901190" w:rsidRPr="002C5292" w:rsidRDefault="00901190" w:rsidP="000C4A15">
      <w:pPr>
        <w:pStyle w:val="DPCbodytext"/>
        <w:numPr>
          <w:ilvl w:val="0"/>
          <w:numId w:val="40"/>
        </w:numPr>
      </w:pPr>
      <w:r w:rsidRPr="002C5292">
        <w:t>prescribing an instrument or a class of instrument to be, or not to be, a legislative instrument or a class of legislative instrument for the purposes of this Act or any specified provisions of this Act, whether or not subject to conditions;</w:t>
      </w:r>
    </w:p>
    <w:p w14:paraId="56A1B4C1" w14:textId="77777777" w:rsidR="00901190" w:rsidRPr="002C5292" w:rsidRDefault="00901190" w:rsidP="000C4A15">
      <w:pPr>
        <w:pStyle w:val="DPCbodytext"/>
        <w:numPr>
          <w:ilvl w:val="0"/>
          <w:numId w:val="40"/>
        </w:numPr>
      </w:pPr>
      <w:r w:rsidRPr="002C5292">
        <w:t>exempting an instrument or class of instrument that is a legislative instrument from the operation of this Act or any specified provision or specified provisions of this Act, whether or not subject to conditions”.</w:t>
      </w:r>
    </w:p>
    <w:p w14:paraId="14A02D67" w14:textId="6A2D2A04" w:rsidR="00901190"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 </w:t>
      </w:r>
      <w:r w:rsidR="00095532" w:rsidRPr="002C5292">
        <w:rPr>
          <w:rFonts w:asciiTheme="majorHAnsi" w:hAnsiTheme="majorHAnsi" w:cstheme="majorHAnsi"/>
          <w:sz w:val="22"/>
          <w:szCs w:val="22"/>
        </w:rPr>
        <w:t>Proposed Regulations</w:t>
      </w:r>
      <w:r w:rsidRPr="002C5292">
        <w:rPr>
          <w:rFonts w:asciiTheme="majorHAnsi" w:hAnsiTheme="majorHAnsi" w:cstheme="majorHAnsi"/>
          <w:sz w:val="22"/>
          <w:szCs w:val="22"/>
        </w:rPr>
        <w:t xml:space="preserve"> attached to this RIS:</w:t>
      </w:r>
    </w:p>
    <w:p w14:paraId="5FFA815D" w14:textId="77777777" w:rsidR="00901190" w:rsidRPr="002C5292" w:rsidRDefault="00901190" w:rsidP="000C4A15">
      <w:pPr>
        <w:pStyle w:val="DPCbodytext"/>
        <w:numPr>
          <w:ilvl w:val="0"/>
          <w:numId w:val="69"/>
        </w:numPr>
      </w:pPr>
      <w:r w:rsidRPr="002C5292">
        <w:t>prescribe a number of instruments to be legislative instruments for the purposes of the SLA;</w:t>
      </w:r>
    </w:p>
    <w:p w14:paraId="2841A86D" w14:textId="77777777" w:rsidR="00901190" w:rsidRPr="002C5292" w:rsidRDefault="00901190" w:rsidP="000C4A15">
      <w:pPr>
        <w:pStyle w:val="DPCbodytext"/>
        <w:numPr>
          <w:ilvl w:val="0"/>
          <w:numId w:val="69"/>
        </w:numPr>
      </w:pPr>
      <w:r w:rsidRPr="002C5292">
        <w:t>prescribe, and list, a number of instruments as not being legislative instruments for the purposes of the SLA (mostly instruments of purely administrative character); and</w:t>
      </w:r>
    </w:p>
    <w:p w14:paraId="79E716B1" w14:textId="4B59E0C1" w:rsidR="00901190" w:rsidRPr="002C5292" w:rsidRDefault="00A87CBC" w:rsidP="000C4A15">
      <w:pPr>
        <w:pStyle w:val="DPCbodytext"/>
        <w:numPr>
          <w:ilvl w:val="0"/>
          <w:numId w:val="69"/>
        </w:numPr>
      </w:pPr>
      <w:r w:rsidRPr="002C5292">
        <w:t xml:space="preserve">automatically </w:t>
      </w:r>
      <w:r w:rsidR="00901190" w:rsidRPr="002C5292">
        <w:t xml:space="preserve">exempt a number of legislative instruments from </w:t>
      </w:r>
      <w:r w:rsidR="00D210CF" w:rsidRPr="002C5292">
        <w:t xml:space="preserve">certain </w:t>
      </w:r>
      <w:r w:rsidR="00901190" w:rsidRPr="002C5292">
        <w:t>SLA requirements, except for the requirement to publish any new legislative instruments in the Victoria Government Gazette</w:t>
      </w:r>
      <w:r w:rsidR="008A076E" w:rsidRPr="002C5292">
        <w:t xml:space="preserve">, other than </w:t>
      </w:r>
      <w:r w:rsidR="005A17EB" w:rsidRPr="002C5292">
        <w:t>the</w:t>
      </w:r>
      <w:r w:rsidR="00225670" w:rsidRPr="002C5292">
        <w:t xml:space="preserve"> instruments </w:t>
      </w:r>
      <w:r w:rsidR="005A17EB" w:rsidRPr="002C5292">
        <w:t xml:space="preserve">in proposed regulations </w:t>
      </w:r>
      <w:r w:rsidR="007B46D2" w:rsidRPr="002C5292">
        <w:t>9</w:t>
      </w:r>
      <w:r w:rsidR="005A17EB" w:rsidRPr="002C5292">
        <w:t xml:space="preserve"> and </w:t>
      </w:r>
      <w:r w:rsidR="007B46D2" w:rsidRPr="002C5292">
        <w:t>10</w:t>
      </w:r>
      <w:r w:rsidR="00225670" w:rsidRPr="002C5292">
        <w:t>.</w:t>
      </w:r>
    </w:p>
    <w:p w14:paraId="315E6DE0" w14:textId="21842C57" w:rsidR="00901190"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As discussed in more detail below, prescribing instruments to be, or not to be, legislative instruments for the purposes of the SLA would not impose a significant economic or social burden on a sector of the public. It would simply confirm which instruments are not legislative (mostly because they are of purely administrative character) and are therefore not subject to the SLA requirements, and which legislative instruments will be subject to the requirements set out under the SLA. Those subject to the SLA requirements are those likely to impose a significant economic or social burden on a sector of the public, and therefore need to be closely examined each time they are made to ensure the proposed legislative instrument is justified. </w:t>
      </w:r>
    </w:p>
    <w:p w14:paraId="0EAA01AB" w14:textId="4B0F54E9" w:rsidR="00901190" w:rsidRPr="002C5292" w:rsidRDefault="00901190"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Prescribing instruments </w:t>
      </w:r>
      <w:r w:rsidR="001D7633" w:rsidRPr="002C5292">
        <w:rPr>
          <w:rFonts w:asciiTheme="majorHAnsi" w:hAnsiTheme="majorHAnsi" w:cstheme="majorHAnsi"/>
          <w:sz w:val="22"/>
          <w:szCs w:val="22"/>
        </w:rPr>
        <w:t xml:space="preserve">in the Proposed Regulations </w:t>
      </w:r>
      <w:r w:rsidRPr="002C5292">
        <w:rPr>
          <w:rFonts w:asciiTheme="majorHAnsi" w:hAnsiTheme="majorHAnsi" w:cstheme="majorHAnsi"/>
          <w:sz w:val="22"/>
          <w:szCs w:val="22"/>
        </w:rPr>
        <w:t xml:space="preserve">as exempt from </w:t>
      </w:r>
      <w:r w:rsidR="00D210CF" w:rsidRPr="002C5292">
        <w:rPr>
          <w:rFonts w:asciiTheme="majorHAnsi" w:hAnsiTheme="majorHAnsi" w:cstheme="majorHAnsi"/>
          <w:sz w:val="22"/>
          <w:szCs w:val="22"/>
        </w:rPr>
        <w:t xml:space="preserve">certain </w:t>
      </w:r>
      <w:r w:rsidRPr="002C5292">
        <w:rPr>
          <w:rFonts w:asciiTheme="majorHAnsi" w:hAnsiTheme="majorHAnsi" w:cstheme="majorHAnsi"/>
          <w:sz w:val="22"/>
          <w:szCs w:val="22"/>
        </w:rPr>
        <w:t xml:space="preserve">requirements of the SLA will reduce the burden on agencies. It will remove the need to prepare advice and seek an exemption certificate each time a legislative instrument is made that meets the exemption criteria in the SLA or to undertake a RIS and public consultation process where the benefits of doing so are </w:t>
      </w:r>
      <w:r w:rsidR="00CC1F68" w:rsidRPr="002C5292">
        <w:rPr>
          <w:rFonts w:asciiTheme="majorHAnsi" w:hAnsiTheme="majorHAnsi" w:cstheme="majorHAnsi"/>
          <w:sz w:val="22"/>
          <w:szCs w:val="22"/>
        </w:rPr>
        <w:t xml:space="preserve">expected to be </w:t>
      </w:r>
      <w:r w:rsidRPr="002C5292">
        <w:rPr>
          <w:rFonts w:asciiTheme="majorHAnsi" w:hAnsiTheme="majorHAnsi" w:cstheme="majorHAnsi"/>
          <w:sz w:val="22"/>
          <w:szCs w:val="22"/>
        </w:rPr>
        <w:t xml:space="preserve">outweighed by the costs. </w:t>
      </w:r>
    </w:p>
    <w:p w14:paraId="2B0EC80D" w14:textId="5BD22953" w:rsidR="00901190" w:rsidRPr="002C5292" w:rsidRDefault="002C29C3" w:rsidP="00D91A58">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DPC</w:t>
      </w:r>
      <w:r w:rsidR="00901190" w:rsidRPr="002C5292">
        <w:rPr>
          <w:rFonts w:asciiTheme="majorHAnsi" w:hAnsiTheme="majorHAnsi" w:cstheme="majorHAnsi"/>
          <w:sz w:val="22"/>
          <w:szCs w:val="22"/>
        </w:rPr>
        <w:t>, in consultation with instrument-makers (generally other departments</w:t>
      </w:r>
      <w:r w:rsidR="00D210CF" w:rsidRPr="002C5292">
        <w:rPr>
          <w:rFonts w:asciiTheme="majorHAnsi" w:hAnsiTheme="majorHAnsi" w:cstheme="majorHAnsi"/>
          <w:sz w:val="22"/>
          <w:szCs w:val="22"/>
        </w:rPr>
        <w:t xml:space="preserve"> and agencies</w:t>
      </w:r>
      <w:r w:rsidR="00901190" w:rsidRPr="002C5292">
        <w:rPr>
          <w:rFonts w:asciiTheme="majorHAnsi" w:hAnsiTheme="majorHAnsi" w:cstheme="majorHAnsi"/>
          <w:sz w:val="22"/>
          <w:szCs w:val="22"/>
        </w:rPr>
        <w:t xml:space="preserve">), </w:t>
      </w:r>
      <w:r w:rsidR="00D210CF" w:rsidRPr="002C5292">
        <w:rPr>
          <w:rFonts w:asciiTheme="majorHAnsi" w:hAnsiTheme="majorHAnsi" w:cstheme="majorHAnsi"/>
          <w:sz w:val="22"/>
          <w:szCs w:val="22"/>
        </w:rPr>
        <w:t xml:space="preserve">seeks </w:t>
      </w:r>
      <w:r w:rsidR="00901190" w:rsidRPr="002C5292">
        <w:rPr>
          <w:rFonts w:asciiTheme="majorHAnsi" w:hAnsiTheme="majorHAnsi" w:cstheme="majorHAnsi"/>
          <w:sz w:val="22"/>
          <w:szCs w:val="22"/>
        </w:rPr>
        <w:t xml:space="preserve">to ensure that, on balance, there is a benefit in excluding the instruments identified for exemption. However, a legislative instrument that is </w:t>
      </w:r>
      <w:r w:rsidR="00263D15" w:rsidRPr="002C5292">
        <w:rPr>
          <w:rFonts w:asciiTheme="majorHAnsi" w:hAnsiTheme="majorHAnsi" w:cstheme="majorHAnsi"/>
          <w:sz w:val="22"/>
          <w:szCs w:val="22"/>
        </w:rPr>
        <w:t xml:space="preserve">automatically </w:t>
      </w:r>
      <w:r w:rsidR="00901190" w:rsidRPr="002C5292">
        <w:rPr>
          <w:rFonts w:asciiTheme="majorHAnsi" w:hAnsiTheme="majorHAnsi" w:cstheme="majorHAnsi"/>
          <w:sz w:val="22"/>
          <w:szCs w:val="22"/>
        </w:rPr>
        <w:t>exempted could impose, inadvertently or unintentionally, a significant economic or social burden on a sector of the public without the level of scrutiny required of other statutory rules and legislative instruments. It is these instruments that this RIS is largely focused on.</w:t>
      </w:r>
    </w:p>
    <w:p w14:paraId="2D82A033" w14:textId="77777777" w:rsidR="005D1DA7" w:rsidRDefault="005D1DA7">
      <w:pPr>
        <w:rPr>
          <w:rFonts w:asciiTheme="majorHAnsi" w:eastAsia="MS Gothic" w:hAnsiTheme="majorHAnsi"/>
          <w:bCs/>
          <w:iCs/>
          <w:color w:val="0072CE"/>
          <w:sz w:val="36"/>
          <w:szCs w:val="36"/>
        </w:rPr>
      </w:pPr>
      <w:r>
        <w:br w:type="page"/>
      </w:r>
    </w:p>
    <w:p w14:paraId="0FFCA1C9" w14:textId="27F6435A" w:rsidR="006E2580" w:rsidRPr="002C5292" w:rsidRDefault="006E2580" w:rsidP="002D638A">
      <w:pPr>
        <w:pStyle w:val="Heading2"/>
      </w:pPr>
      <w:bookmarkStart w:id="36" w:name="_Toc70082358"/>
      <w:r w:rsidRPr="002C5292">
        <w:t>Desired Objectives</w:t>
      </w:r>
      <w:bookmarkEnd w:id="36"/>
    </w:p>
    <w:bookmarkEnd w:id="14"/>
    <w:p w14:paraId="377B91DE" w14:textId="0D10E04B" w:rsidR="004D310C" w:rsidRPr="002C5292" w:rsidRDefault="004D310C" w:rsidP="004D310C">
      <w:pPr>
        <w:pStyle w:val="DPCbody"/>
      </w:pPr>
      <w:r w:rsidRPr="002C5292">
        <w:t>The objectives</w:t>
      </w:r>
      <w:r w:rsidR="00523F38" w:rsidRPr="002C5292">
        <w:rPr>
          <w:rStyle w:val="FootnoteReference"/>
        </w:rPr>
        <w:footnoteReference w:id="9"/>
      </w:r>
      <w:r w:rsidRPr="002C5292">
        <w:t xml:space="preserve"> of the Proposed Regulations are to:</w:t>
      </w:r>
    </w:p>
    <w:p w14:paraId="1A97D47B" w14:textId="77777777" w:rsidR="004D310C" w:rsidRPr="002C5292" w:rsidRDefault="004D310C" w:rsidP="004D310C">
      <w:pPr>
        <w:pStyle w:val="DPCbullet1"/>
        <w:numPr>
          <w:ilvl w:val="0"/>
          <w:numId w:val="60"/>
        </w:numPr>
      </w:pPr>
      <w:r w:rsidRPr="002C5292">
        <w:t>assist departments and agencies to allocate their resources efficiently and ensure they are not subject to excessive burden;</w:t>
      </w:r>
    </w:p>
    <w:p w14:paraId="4DBF3C90" w14:textId="77777777" w:rsidR="004D310C" w:rsidRPr="002C5292" w:rsidRDefault="004D310C" w:rsidP="004D310C">
      <w:pPr>
        <w:pStyle w:val="DPCbullet1"/>
        <w:numPr>
          <w:ilvl w:val="0"/>
          <w:numId w:val="60"/>
        </w:numPr>
      </w:pPr>
      <w:r w:rsidRPr="002C5292">
        <w:t>minimise unnecessary delays in making or amending legislative instruments; and</w:t>
      </w:r>
    </w:p>
    <w:p w14:paraId="6A4A653C" w14:textId="275F491A" w:rsidR="00A65F49" w:rsidRPr="002C5292" w:rsidRDefault="009C606C" w:rsidP="00965254">
      <w:pPr>
        <w:pStyle w:val="DPCbullet1"/>
        <w:numPr>
          <w:ilvl w:val="0"/>
          <w:numId w:val="60"/>
        </w:numPr>
      </w:pPr>
      <w:r w:rsidRPr="002C5292">
        <w:t>ensur</w:t>
      </w:r>
      <w:r w:rsidR="004D310C" w:rsidRPr="002C5292">
        <w:t>e legislative instruments are identifiable, publicly available and an appropriate level of scrutiny (parliamentary and SARC) is applied when making legislative instruments.</w:t>
      </w:r>
    </w:p>
    <w:p w14:paraId="5E48F970" w14:textId="78013532" w:rsidR="009C606C" w:rsidRPr="002C5292" w:rsidRDefault="00E67152" w:rsidP="009C606C">
      <w:pPr>
        <w:pStyle w:val="Heading3"/>
      </w:pPr>
      <w:bookmarkStart w:id="37" w:name="_Toc70082359"/>
      <w:r w:rsidRPr="002C5292">
        <w:t>Efficient allocation of resources</w:t>
      </w:r>
      <w:bookmarkEnd w:id="37"/>
    </w:p>
    <w:p w14:paraId="70BB3F26" w14:textId="1BB858C5" w:rsidR="005C28D1" w:rsidRPr="002C5292" w:rsidRDefault="00AF4902" w:rsidP="00E67152">
      <w:pPr>
        <w:pStyle w:val="DPCbody"/>
      </w:pPr>
      <w:r w:rsidRPr="002C5292">
        <w:t>I</w:t>
      </w:r>
      <w:r w:rsidR="001E0EB3" w:rsidRPr="002C5292">
        <w:t xml:space="preserve">nstruments </w:t>
      </w:r>
      <w:r w:rsidRPr="002C5292">
        <w:t xml:space="preserve">automatically </w:t>
      </w:r>
      <w:r w:rsidR="001E0EB3" w:rsidRPr="002C5292">
        <w:t xml:space="preserve">exempted </w:t>
      </w:r>
      <w:r w:rsidR="002D638A" w:rsidRPr="002C5292">
        <w:t xml:space="preserve">from certain requirements of the SLA </w:t>
      </w:r>
      <w:r w:rsidR="001E0EB3" w:rsidRPr="002C5292">
        <w:t>by</w:t>
      </w:r>
      <w:r w:rsidR="00D664E3" w:rsidRPr="002C5292">
        <w:t xml:space="preserve"> the </w:t>
      </w:r>
      <w:r w:rsidR="002D638A" w:rsidRPr="002C5292">
        <w:t xml:space="preserve">Proposed </w:t>
      </w:r>
      <w:r w:rsidR="00D664E3" w:rsidRPr="002C5292">
        <w:t xml:space="preserve">Regulations </w:t>
      </w:r>
      <w:r w:rsidR="005C28D1" w:rsidRPr="002C5292">
        <w:t>are those that would</w:t>
      </w:r>
      <w:r w:rsidR="001E0EB3" w:rsidRPr="002C5292">
        <w:t xml:space="preserve"> likely be eligible for a case-by-case exemption under section 12F of the SLA or on overriding public interest grounds. Exempting </w:t>
      </w:r>
      <w:r w:rsidR="002D638A" w:rsidRPr="002C5292">
        <w:t>those instruments from certain requirements of the SLA in</w:t>
      </w:r>
      <w:r w:rsidR="001E0EB3" w:rsidRPr="002C5292">
        <w:t xml:space="preserve"> the </w:t>
      </w:r>
      <w:r w:rsidR="002D638A" w:rsidRPr="002C5292">
        <w:t>Proposed R</w:t>
      </w:r>
      <w:r w:rsidR="001E0EB3" w:rsidRPr="002C5292">
        <w:t>egulations</w:t>
      </w:r>
      <w:r w:rsidR="00D664E3" w:rsidRPr="002C5292">
        <w:t xml:space="preserve"> </w:t>
      </w:r>
      <w:r w:rsidR="001E0EB3" w:rsidRPr="002C5292">
        <w:t>provide</w:t>
      </w:r>
      <w:r w:rsidR="00D664E3" w:rsidRPr="002C5292">
        <w:t>s</w:t>
      </w:r>
      <w:r w:rsidR="001E0EB3" w:rsidRPr="002C5292">
        <w:t xml:space="preserve"> clarity and certainty to those responsible for making legislative instruments as to which instruments the requirements of the SLA apply to. </w:t>
      </w:r>
      <w:r w:rsidR="005C28D1" w:rsidRPr="002C5292">
        <w:t>This means</w:t>
      </w:r>
      <w:r w:rsidR="001E0EB3" w:rsidRPr="002C5292">
        <w:t xml:space="preserve"> there will be some opportunity cost savings, as the costs otherwise faced in assessing the character of the instrument, preparing exemptions </w:t>
      </w:r>
      <w:r w:rsidR="005C28D1" w:rsidRPr="002C5292">
        <w:t>certificates,</w:t>
      </w:r>
      <w:r w:rsidR="001E0EB3" w:rsidRPr="002C5292">
        <w:t xml:space="preserve"> or undergoing a RIS and associated consultation. </w:t>
      </w:r>
    </w:p>
    <w:p w14:paraId="730F1124" w14:textId="38580917" w:rsidR="001E0EB3" w:rsidRPr="002C5292" w:rsidRDefault="001E0EB3" w:rsidP="00380883">
      <w:pPr>
        <w:pStyle w:val="DPCbody"/>
      </w:pPr>
      <w:r w:rsidRPr="002C5292">
        <w:t xml:space="preserve">This also removes </w:t>
      </w:r>
      <w:r w:rsidR="002705CA" w:rsidRPr="002C5292">
        <w:t xml:space="preserve">unnecessary </w:t>
      </w:r>
      <w:r w:rsidRPr="002C5292">
        <w:t xml:space="preserve">duplication where the instrument has already been scrutinised and assessed through another similar process (that is, the instrument has </w:t>
      </w:r>
      <w:r w:rsidR="005C28D1" w:rsidRPr="002C5292">
        <w:t>been assessed</w:t>
      </w:r>
      <w:r w:rsidRPr="002C5292">
        <w:t xml:space="preserve"> through a RIS equivalen</w:t>
      </w:r>
      <w:r w:rsidR="00380883" w:rsidRPr="002C5292">
        <w:t>t</w:t>
      </w:r>
      <w:r w:rsidRPr="002C5292">
        <w:t xml:space="preserve"> process). </w:t>
      </w:r>
      <w:r w:rsidR="005C28D1" w:rsidRPr="002C5292">
        <w:t xml:space="preserve">Such an approach also </w:t>
      </w:r>
      <w:r w:rsidR="0099503C" w:rsidRPr="002C5292">
        <w:t xml:space="preserve">means there is a </w:t>
      </w:r>
      <w:r w:rsidR="005C28D1" w:rsidRPr="002C5292">
        <w:t>more proportionate burden on agencies and decision makers</w:t>
      </w:r>
      <w:r w:rsidR="0099503C" w:rsidRPr="002C5292">
        <w:t>, so they can</w:t>
      </w:r>
      <w:r w:rsidR="005C28D1" w:rsidRPr="002C5292">
        <w:t xml:space="preserve"> focus their</w:t>
      </w:r>
      <w:r w:rsidR="0099503C" w:rsidRPr="002C5292">
        <w:t xml:space="preserve"> resources on</w:t>
      </w:r>
      <w:r w:rsidR="005C28D1" w:rsidRPr="002C5292">
        <w:t xml:space="preserve"> </w:t>
      </w:r>
      <w:r w:rsidR="00D664E3" w:rsidRPr="002C5292">
        <w:t xml:space="preserve">the </w:t>
      </w:r>
      <w:r w:rsidR="005C28D1" w:rsidRPr="002C5292">
        <w:t xml:space="preserve">analysis and assessment </w:t>
      </w:r>
      <w:r w:rsidR="0099503C" w:rsidRPr="002C5292">
        <w:t>of</w:t>
      </w:r>
      <w:r w:rsidR="005C28D1" w:rsidRPr="002C5292">
        <w:t xml:space="preserve"> those instruments that have a significant</w:t>
      </w:r>
      <w:r w:rsidRPr="002C5292">
        <w:t xml:space="preserve"> economic or social impact on a sector of the public</w:t>
      </w:r>
      <w:r w:rsidR="005C28D1" w:rsidRPr="002C5292">
        <w:t xml:space="preserve">. </w:t>
      </w:r>
    </w:p>
    <w:p w14:paraId="07676EF9" w14:textId="7A31E344" w:rsidR="009C606C" w:rsidRPr="002C5292" w:rsidRDefault="005C28D1" w:rsidP="00380883">
      <w:pPr>
        <w:pStyle w:val="Heading3"/>
      </w:pPr>
      <w:bookmarkStart w:id="38" w:name="_Toc70082360"/>
      <w:r w:rsidRPr="002C5292">
        <w:t xml:space="preserve">Minimising unnecessary delays </w:t>
      </w:r>
      <w:r w:rsidR="00375F6E" w:rsidRPr="002C5292">
        <w:t>when</w:t>
      </w:r>
      <w:r w:rsidRPr="002C5292">
        <w:t xml:space="preserve"> making instruments</w:t>
      </w:r>
      <w:bookmarkEnd w:id="38"/>
      <w:r w:rsidRPr="002C5292">
        <w:t xml:space="preserve"> </w:t>
      </w:r>
    </w:p>
    <w:p w14:paraId="251ECA6D" w14:textId="59CA5368" w:rsidR="005C28D1" w:rsidRPr="002C5292" w:rsidRDefault="0099503C" w:rsidP="006E2580">
      <w:pPr>
        <w:pStyle w:val="DPCbody"/>
        <w:rPr>
          <w:lang w:eastAsia="en-AU"/>
        </w:rPr>
      </w:pPr>
      <w:r w:rsidRPr="002C5292">
        <w:rPr>
          <w:lang w:eastAsia="en-AU"/>
        </w:rPr>
        <w:t xml:space="preserve">The SLA recognises that there will be circumstances where it is impractical for departments </w:t>
      </w:r>
      <w:r w:rsidR="002D638A" w:rsidRPr="002C5292">
        <w:rPr>
          <w:lang w:eastAsia="en-AU"/>
        </w:rPr>
        <w:t xml:space="preserve">and agencies </w:t>
      </w:r>
      <w:r w:rsidRPr="002C5292">
        <w:rPr>
          <w:lang w:eastAsia="en-AU"/>
        </w:rPr>
        <w:t>to comply with all the requirements for making a legislative instrument</w:t>
      </w:r>
      <w:r w:rsidR="002D638A" w:rsidRPr="002C5292">
        <w:rPr>
          <w:lang w:eastAsia="en-AU"/>
        </w:rPr>
        <w:t xml:space="preserve"> under the SLA</w:t>
      </w:r>
      <w:r w:rsidRPr="002C5292">
        <w:rPr>
          <w:lang w:eastAsia="en-AU"/>
        </w:rPr>
        <w:t xml:space="preserve">. </w:t>
      </w:r>
      <w:r w:rsidR="002D638A" w:rsidRPr="002C5292">
        <w:rPr>
          <w:lang w:eastAsia="en-AU"/>
        </w:rPr>
        <w:t>This may be the case w</w:t>
      </w:r>
      <w:r w:rsidRPr="002C5292">
        <w:rPr>
          <w:lang w:eastAsia="en-AU"/>
        </w:rPr>
        <w:t>here instruments are necessary to respond to a public emergency, or urgent public health, public safety or environmental issue</w:t>
      </w:r>
      <w:r w:rsidR="00D664E3" w:rsidRPr="002C5292">
        <w:rPr>
          <w:lang w:eastAsia="en-AU"/>
        </w:rPr>
        <w:t>s</w:t>
      </w:r>
      <w:r w:rsidR="00196E70" w:rsidRPr="002C5292">
        <w:rPr>
          <w:lang w:eastAsia="en-AU"/>
        </w:rPr>
        <w:t xml:space="preserve">, </w:t>
      </w:r>
      <w:r w:rsidR="002D638A" w:rsidRPr="002C5292">
        <w:rPr>
          <w:lang w:eastAsia="en-AU"/>
        </w:rPr>
        <w:t xml:space="preserve">as </w:t>
      </w:r>
      <w:r w:rsidR="00196E70" w:rsidRPr="002C5292">
        <w:rPr>
          <w:lang w:eastAsia="en-AU"/>
        </w:rPr>
        <w:t xml:space="preserve">often </w:t>
      </w:r>
      <w:r w:rsidR="002D638A" w:rsidRPr="002C5292">
        <w:rPr>
          <w:lang w:eastAsia="en-AU"/>
        </w:rPr>
        <w:t>the instruments</w:t>
      </w:r>
      <w:r w:rsidR="00196E70" w:rsidRPr="002C5292">
        <w:rPr>
          <w:lang w:eastAsia="en-AU"/>
        </w:rPr>
        <w:t xml:space="preserve"> will need to be </w:t>
      </w:r>
      <w:r w:rsidR="00D664E3" w:rsidRPr="002C5292">
        <w:rPr>
          <w:lang w:eastAsia="en-AU"/>
        </w:rPr>
        <w:t>made</w:t>
      </w:r>
      <w:r w:rsidR="00196E70" w:rsidRPr="002C5292">
        <w:rPr>
          <w:lang w:eastAsia="en-AU"/>
        </w:rPr>
        <w:t xml:space="preserve"> quickly to respond to unfolding situations. Unnecessary delays with considering the nature of the instrument</w:t>
      </w:r>
      <w:r w:rsidR="002D638A" w:rsidRPr="002C5292">
        <w:rPr>
          <w:lang w:eastAsia="en-AU"/>
        </w:rPr>
        <w:t>, undertaking formal consultation</w:t>
      </w:r>
      <w:r w:rsidR="00196E70" w:rsidRPr="002C5292">
        <w:rPr>
          <w:lang w:eastAsia="en-AU"/>
        </w:rPr>
        <w:t xml:space="preserve"> and preparing the exemption certificates could therefore jeopardise or undermine the very purpose for making the instrument.  </w:t>
      </w:r>
    </w:p>
    <w:p w14:paraId="0415A7E3" w14:textId="7B116EED" w:rsidR="00C66723" w:rsidRPr="002C5292" w:rsidRDefault="005E6E15" w:rsidP="005E6E15">
      <w:pPr>
        <w:pStyle w:val="Heading3"/>
      </w:pPr>
      <w:bookmarkStart w:id="39" w:name="_Toc70082361"/>
      <w:r w:rsidRPr="002C5292">
        <w:t>Appropriate level of scrutiny of instruments</w:t>
      </w:r>
      <w:bookmarkEnd w:id="39"/>
    </w:p>
    <w:p w14:paraId="713CFE35" w14:textId="28882AB9" w:rsidR="005E6E15" w:rsidRPr="002C5292" w:rsidRDefault="00FF58B4" w:rsidP="005E6E15">
      <w:pPr>
        <w:pStyle w:val="DPCbody"/>
      </w:pPr>
      <w:r w:rsidRPr="002C5292">
        <w:t>Legislative instruments</w:t>
      </w:r>
      <w:r w:rsidR="00D664E3" w:rsidRPr="002C5292">
        <w:t>,</w:t>
      </w:r>
      <w:r w:rsidRPr="002C5292">
        <w:t xml:space="preserve"> which are a form of subordinate legislation, do not receive the same level of scrutiny that accompanies primary legislation through the parliamentary process. The SLA seeks to ensure that the power to make legislative instruments </w:t>
      </w:r>
      <w:r w:rsidR="00CB0D6E" w:rsidRPr="002C5292">
        <w:t>is</w:t>
      </w:r>
      <w:r w:rsidRPr="002C5292">
        <w:t xml:space="preserve"> subject to an appropriate level of public and parliamentary scrutiny, particularly where that instrument could have a significant economic or social impact on a sector of the public. Legislative instruments subject to a RIS process </w:t>
      </w:r>
      <w:r w:rsidR="00D664E3" w:rsidRPr="002C5292">
        <w:t xml:space="preserve">are subject to a </w:t>
      </w:r>
      <w:r w:rsidRPr="002C5292">
        <w:t>public consultation process and are laid before Parliament</w:t>
      </w:r>
      <w:r w:rsidR="00E46FC8" w:rsidRPr="002C5292">
        <w:t xml:space="preserve"> and a copy provided to SARC</w:t>
      </w:r>
      <w:r w:rsidRPr="002C5292">
        <w:t xml:space="preserve">. By providing a mechanism to </w:t>
      </w:r>
      <w:r w:rsidR="00C77E01" w:rsidRPr="002C5292">
        <w:t>remove or reduce</w:t>
      </w:r>
      <w:r w:rsidRPr="002C5292">
        <w:t xml:space="preserve"> the consultation and scrutiny requirements</w:t>
      </w:r>
      <w:r w:rsidR="00356D29" w:rsidRPr="002C5292">
        <w:t xml:space="preserve"> for lower impact instruments,</w:t>
      </w:r>
      <w:r w:rsidRPr="002C5292">
        <w:t xml:space="preserve"> the public</w:t>
      </w:r>
      <w:r w:rsidR="00E46FC8" w:rsidRPr="002C5292">
        <w:t>,</w:t>
      </w:r>
      <w:r w:rsidRPr="002C5292">
        <w:t xml:space="preserve"> Parliament </w:t>
      </w:r>
      <w:r w:rsidR="00E46FC8" w:rsidRPr="002C5292">
        <w:t xml:space="preserve">and SARC </w:t>
      </w:r>
      <w:r w:rsidR="00263D15" w:rsidRPr="002C5292">
        <w:t>are</w:t>
      </w:r>
      <w:r w:rsidRPr="002C5292">
        <w:t xml:space="preserve"> able to</w:t>
      </w:r>
      <w:r w:rsidR="00356D29" w:rsidRPr="002C5292">
        <w:t xml:space="preserve"> </w:t>
      </w:r>
      <w:r w:rsidR="00C77E01" w:rsidRPr="002C5292">
        <w:t xml:space="preserve">better </w:t>
      </w:r>
      <w:r w:rsidRPr="002C5292">
        <w:t xml:space="preserve">focus on those instruments that are most likely to have a significant impact </w:t>
      </w:r>
      <w:r w:rsidR="00A6580B" w:rsidRPr="002C5292">
        <w:t>and</w:t>
      </w:r>
      <w:r w:rsidR="001E5E4D" w:rsidRPr="002C5292">
        <w:t xml:space="preserve"> </w:t>
      </w:r>
      <w:r w:rsidR="00FE57C8" w:rsidRPr="002C5292">
        <w:t xml:space="preserve">are </w:t>
      </w:r>
      <w:r w:rsidR="00C77E01" w:rsidRPr="002C5292">
        <w:t xml:space="preserve">therefore </w:t>
      </w:r>
      <w:r w:rsidR="00FE57C8" w:rsidRPr="002C5292">
        <w:t>more likely to</w:t>
      </w:r>
      <w:r w:rsidR="002705CA" w:rsidRPr="002C5292">
        <w:t xml:space="preserve"> be </w:t>
      </w:r>
      <w:r w:rsidR="001E5E4D" w:rsidRPr="002C5292">
        <w:t xml:space="preserve">of </w:t>
      </w:r>
      <w:r w:rsidR="00A6580B" w:rsidRPr="002C5292">
        <w:t xml:space="preserve">interest </w:t>
      </w:r>
      <w:r w:rsidR="001E5E4D" w:rsidRPr="002C5292">
        <w:t>to</w:t>
      </w:r>
      <w:r w:rsidR="00A6580B" w:rsidRPr="002C5292">
        <w:t xml:space="preserve"> the public</w:t>
      </w:r>
      <w:r w:rsidRPr="002C5292">
        <w:t>.</w:t>
      </w:r>
    </w:p>
    <w:p w14:paraId="02AD1CD9" w14:textId="1C5CECEF" w:rsidR="006E6A9A" w:rsidRPr="002C5292" w:rsidRDefault="00B275EC" w:rsidP="00B275EC">
      <w:pPr>
        <w:pStyle w:val="Heading1"/>
        <w:numPr>
          <w:ilvl w:val="0"/>
          <w:numId w:val="46"/>
        </w:numPr>
      </w:pPr>
      <w:bookmarkStart w:id="40" w:name="_Toc70082362"/>
      <w:r w:rsidRPr="002C5292">
        <w:t>Option</w:t>
      </w:r>
      <w:r w:rsidR="00FD06C4" w:rsidRPr="002C5292">
        <w:t>s</w:t>
      </w:r>
      <w:bookmarkEnd w:id="40"/>
    </w:p>
    <w:p w14:paraId="46387025" w14:textId="0A644B6C" w:rsidR="006E6A9A" w:rsidRPr="002C5292" w:rsidRDefault="006E6A9A" w:rsidP="006E6A9A">
      <w:pPr>
        <w:pStyle w:val="DPCbody"/>
        <w:rPr>
          <w:lang w:eastAsia="en-AU"/>
        </w:rPr>
      </w:pPr>
      <w:r w:rsidRPr="002C5292">
        <w:rPr>
          <w:lang w:eastAsia="en-AU"/>
        </w:rPr>
        <w:t xml:space="preserve">Section 10 of the </w:t>
      </w:r>
      <w:r w:rsidR="008A076E" w:rsidRPr="002C5292">
        <w:rPr>
          <w:bCs/>
          <w:iCs/>
          <w:lang w:eastAsia="en-AU"/>
        </w:rPr>
        <w:t>SLA</w:t>
      </w:r>
      <w:r w:rsidRPr="002C5292">
        <w:rPr>
          <w:i/>
          <w:iCs/>
          <w:lang w:eastAsia="en-AU"/>
        </w:rPr>
        <w:t xml:space="preserve"> </w:t>
      </w:r>
      <w:r w:rsidRPr="002C5292">
        <w:rPr>
          <w:lang w:eastAsia="en-AU"/>
        </w:rPr>
        <w:t xml:space="preserve">requires that a RIS consider other practicable means of achieving the desired </w:t>
      </w:r>
      <w:r w:rsidR="00665E27" w:rsidRPr="002C5292">
        <w:rPr>
          <w:lang w:eastAsia="en-AU"/>
        </w:rPr>
        <w:t xml:space="preserve">objective besides the </w:t>
      </w:r>
      <w:r w:rsidR="00095532" w:rsidRPr="002C5292">
        <w:rPr>
          <w:lang w:eastAsia="en-AU"/>
        </w:rPr>
        <w:t>Proposed Regulations</w:t>
      </w:r>
      <w:r w:rsidRPr="002C5292">
        <w:rPr>
          <w:lang w:eastAsia="en-AU"/>
        </w:rPr>
        <w:t>, including regulatory and non-regulatory options, together with an assessment of costs and benefits of those options and the reasons why means other than regulation are not appropriate.</w:t>
      </w:r>
    </w:p>
    <w:p w14:paraId="38DB8C3E" w14:textId="77777777" w:rsidR="000E38E2" w:rsidRPr="002C5292" w:rsidRDefault="000E38E2" w:rsidP="000E38E2">
      <w:pPr>
        <w:pStyle w:val="DPCbody"/>
        <w:rPr>
          <w:lang w:eastAsia="en-AU"/>
        </w:rPr>
      </w:pPr>
      <w:r w:rsidRPr="002C5292">
        <w:rPr>
          <w:lang w:eastAsia="en-AU"/>
        </w:rPr>
        <w:t xml:space="preserve">This chapter outlines the set of options considered in this RIS, explains how feasible options were selected, and why other options were considered infeasible. </w:t>
      </w:r>
    </w:p>
    <w:p w14:paraId="7E3327F0" w14:textId="27B0C46C" w:rsidR="006E2580" w:rsidRPr="002C5292" w:rsidRDefault="006E6A9A" w:rsidP="000E38E2">
      <w:pPr>
        <w:pStyle w:val="Heading2"/>
      </w:pPr>
      <w:bookmarkStart w:id="41" w:name="_Toc70082363"/>
      <w:r w:rsidRPr="002C5292">
        <w:t>Part 1</w:t>
      </w:r>
      <w:r w:rsidR="00451675" w:rsidRPr="002C5292">
        <w:t xml:space="preserve"> </w:t>
      </w:r>
      <w:r w:rsidR="00FD06C4" w:rsidRPr="002C5292">
        <w:t>Base Case</w:t>
      </w:r>
      <w:bookmarkEnd w:id="41"/>
    </w:p>
    <w:p w14:paraId="13D5A4AC" w14:textId="4951B4F0" w:rsidR="006E2580" w:rsidRPr="002C5292" w:rsidRDefault="006E2580" w:rsidP="006E2580">
      <w:pPr>
        <w:pStyle w:val="DPCbody"/>
      </w:pPr>
      <w:r w:rsidRPr="002C5292">
        <w:t>According to the Victorian Guide to Regulation, the base case needs to be identified for comparison purposes (for example, what are the potential costs and benefits compared to the situation where the proposed approach is not adopted). For sunsetting regulations, the base case is the scenario of there being no regulation.</w:t>
      </w:r>
      <w:r w:rsidRPr="002C5292">
        <w:rPr>
          <w:rStyle w:val="FootnoteReference"/>
        </w:rPr>
        <w:footnoteReference w:id="10"/>
      </w:r>
      <w:r w:rsidR="007A4631" w:rsidRPr="002C5292">
        <w:t xml:space="preserve"> </w:t>
      </w:r>
      <w:r w:rsidRPr="002C5292">
        <w:t>Therefore</w:t>
      </w:r>
      <w:r w:rsidR="002C307F" w:rsidRPr="002C5292">
        <w:t>, the base case</w:t>
      </w:r>
      <w:r w:rsidRPr="002C5292">
        <w:t xml:space="preserve"> is n</w:t>
      </w:r>
      <w:r w:rsidR="000E38E2" w:rsidRPr="002C5292">
        <w:t>o regulation</w:t>
      </w:r>
      <w:r w:rsidRPr="002C5292">
        <w:t>.</w:t>
      </w:r>
    </w:p>
    <w:p w14:paraId="061B2365" w14:textId="059EECB9" w:rsidR="006E2580" w:rsidRPr="002C5292" w:rsidRDefault="006E2580" w:rsidP="000E38E2">
      <w:pPr>
        <w:pStyle w:val="Heading3"/>
      </w:pPr>
      <w:bookmarkStart w:id="42" w:name="_Toc70082364"/>
      <w:r w:rsidRPr="002C5292">
        <w:t>Costs</w:t>
      </w:r>
      <w:r w:rsidR="00E521BB" w:rsidRPr="002C5292">
        <w:t xml:space="preserve"> of allowing the </w:t>
      </w:r>
      <w:r w:rsidR="00D926C5" w:rsidRPr="002C5292">
        <w:t>C</w:t>
      </w:r>
      <w:r w:rsidR="00E521BB" w:rsidRPr="002C5292">
        <w:t>urrent Regulations to expire</w:t>
      </w:r>
      <w:bookmarkEnd w:id="42"/>
    </w:p>
    <w:p w14:paraId="3D10EE46" w14:textId="41C978DC" w:rsidR="004A3FBE" w:rsidRPr="002C5292" w:rsidRDefault="00E46FC8" w:rsidP="001020B3">
      <w:pPr>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 xml:space="preserve">There </w:t>
      </w:r>
      <w:r w:rsidR="00CB0D6E" w:rsidRPr="002C5292">
        <w:rPr>
          <w:rFonts w:ascii="Arial" w:eastAsia="Arial" w:hAnsi="Arial"/>
          <w:sz w:val="22"/>
          <w:szCs w:val="22"/>
          <w:lang w:eastAsia="en-AU"/>
        </w:rPr>
        <w:t xml:space="preserve">are </w:t>
      </w:r>
      <w:r w:rsidRPr="002C5292">
        <w:rPr>
          <w:rFonts w:ascii="Arial" w:eastAsia="Arial" w:hAnsi="Arial"/>
          <w:sz w:val="22"/>
          <w:szCs w:val="22"/>
          <w:lang w:eastAsia="en-AU"/>
        </w:rPr>
        <w:t>a number of associated costs with the Base Case</w:t>
      </w:r>
      <w:r w:rsidR="00890D38" w:rsidRPr="002C5292">
        <w:rPr>
          <w:rFonts w:ascii="Arial" w:eastAsia="Arial" w:hAnsi="Arial"/>
          <w:sz w:val="22"/>
          <w:szCs w:val="22"/>
          <w:lang w:eastAsia="en-AU"/>
        </w:rPr>
        <w:t xml:space="preserve"> which allows the Current Regulations to expire</w:t>
      </w:r>
      <w:r w:rsidRPr="002C5292">
        <w:rPr>
          <w:rFonts w:ascii="Arial" w:eastAsia="Arial" w:hAnsi="Arial"/>
          <w:sz w:val="22"/>
          <w:szCs w:val="22"/>
          <w:lang w:eastAsia="en-AU"/>
        </w:rPr>
        <w:t xml:space="preserve">. </w:t>
      </w:r>
      <w:r w:rsidR="004A3FBE" w:rsidRPr="002C5292">
        <w:rPr>
          <w:rFonts w:ascii="Arial" w:eastAsia="Arial" w:hAnsi="Arial"/>
          <w:sz w:val="22"/>
          <w:szCs w:val="22"/>
          <w:lang w:eastAsia="en-AU"/>
        </w:rPr>
        <w:t>Although not all of the legislative instruments listed in Schedule 3 of the Proposed Regulations are made on a regular basis, se</w:t>
      </w:r>
      <w:r w:rsidRPr="002C5292">
        <w:rPr>
          <w:rFonts w:ascii="Arial" w:eastAsia="Arial" w:hAnsi="Arial"/>
          <w:sz w:val="22"/>
          <w:szCs w:val="22"/>
          <w:lang w:eastAsia="en-AU"/>
        </w:rPr>
        <w:t xml:space="preserve">eking an exemption certificate each time </w:t>
      </w:r>
      <w:r w:rsidR="00EC0B6C" w:rsidRPr="002C5292">
        <w:rPr>
          <w:rFonts w:ascii="Arial" w:eastAsia="Arial" w:hAnsi="Arial"/>
          <w:sz w:val="22"/>
          <w:szCs w:val="22"/>
          <w:lang w:eastAsia="en-AU"/>
        </w:rPr>
        <w:t xml:space="preserve">a </w:t>
      </w:r>
      <w:r w:rsidRPr="002C5292">
        <w:rPr>
          <w:rFonts w:ascii="Arial" w:eastAsia="Arial" w:hAnsi="Arial"/>
          <w:sz w:val="22"/>
          <w:szCs w:val="22"/>
          <w:lang w:eastAsia="en-AU"/>
        </w:rPr>
        <w:t>legislative instrument</w:t>
      </w:r>
      <w:r w:rsidR="004A3FBE" w:rsidRPr="002C5292">
        <w:rPr>
          <w:rFonts w:ascii="Arial" w:eastAsia="Arial" w:hAnsi="Arial"/>
          <w:sz w:val="22"/>
          <w:szCs w:val="22"/>
          <w:lang w:eastAsia="en-AU"/>
        </w:rPr>
        <w:t xml:space="preserve"> </w:t>
      </w:r>
      <w:r w:rsidR="003B2992" w:rsidRPr="002C5292">
        <w:rPr>
          <w:rFonts w:ascii="Arial" w:eastAsia="Arial" w:hAnsi="Arial"/>
          <w:sz w:val="22"/>
          <w:szCs w:val="22"/>
          <w:lang w:eastAsia="en-AU"/>
        </w:rPr>
        <w:t xml:space="preserve">is made </w:t>
      </w:r>
      <w:r w:rsidR="002C2C5F" w:rsidRPr="002C5292">
        <w:rPr>
          <w:rFonts w:ascii="Arial" w:eastAsia="Arial" w:hAnsi="Arial"/>
          <w:sz w:val="22"/>
          <w:szCs w:val="22"/>
          <w:lang w:eastAsia="en-AU"/>
        </w:rPr>
        <w:t xml:space="preserve">(which </w:t>
      </w:r>
      <w:r w:rsidR="00890D38" w:rsidRPr="002C5292">
        <w:rPr>
          <w:rFonts w:ascii="Arial" w:eastAsia="Arial" w:hAnsi="Arial"/>
          <w:sz w:val="22"/>
          <w:szCs w:val="22"/>
          <w:lang w:eastAsia="en-AU"/>
        </w:rPr>
        <w:t>would</w:t>
      </w:r>
      <w:r w:rsidR="004A3FBE" w:rsidRPr="002C5292">
        <w:rPr>
          <w:rFonts w:ascii="Arial" w:eastAsia="Arial" w:hAnsi="Arial"/>
          <w:sz w:val="22"/>
          <w:szCs w:val="22"/>
          <w:lang w:eastAsia="en-AU"/>
        </w:rPr>
        <w:t xml:space="preserve"> otherwise </w:t>
      </w:r>
      <w:r w:rsidR="00890D38" w:rsidRPr="002C5292">
        <w:rPr>
          <w:rFonts w:ascii="Arial" w:eastAsia="Arial" w:hAnsi="Arial"/>
          <w:sz w:val="22"/>
          <w:szCs w:val="22"/>
          <w:lang w:eastAsia="en-AU"/>
        </w:rPr>
        <w:t xml:space="preserve">be </w:t>
      </w:r>
      <w:r w:rsidR="004A3FBE" w:rsidRPr="002C5292">
        <w:rPr>
          <w:rFonts w:ascii="Arial" w:eastAsia="Arial" w:hAnsi="Arial"/>
          <w:sz w:val="22"/>
          <w:szCs w:val="22"/>
          <w:lang w:eastAsia="en-AU"/>
        </w:rPr>
        <w:t>exempt</w:t>
      </w:r>
      <w:r w:rsidR="002C2C5F" w:rsidRPr="002C5292">
        <w:rPr>
          <w:rFonts w:ascii="Arial" w:eastAsia="Arial" w:hAnsi="Arial"/>
          <w:sz w:val="22"/>
          <w:szCs w:val="22"/>
          <w:lang w:eastAsia="en-AU"/>
        </w:rPr>
        <w:t xml:space="preserve"> in the Proposed Regulations) </w:t>
      </w:r>
      <w:r w:rsidRPr="002C5292">
        <w:rPr>
          <w:rFonts w:ascii="Arial" w:eastAsia="Arial" w:hAnsi="Arial"/>
          <w:sz w:val="22"/>
          <w:szCs w:val="22"/>
          <w:lang w:eastAsia="en-AU"/>
        </w:rPr>
        <w:t>could result in a cost to departments</w:t>
      </w:r>
      <w:r w:rsidR="009A3EE4" w:rsidRPr="002C5292">
        <w:rPr>
          <w:rFonts w:ascii="Arial" w:eastAsia="Arial" w:hAnsi="Arial"/>
          <w:sz w:val="22"/>
          <w:szCs w:val="22"/>
          <w:lang w:eastAsia="en-AU"/>
        </w:rPr>
        <w:t xml:space="preserve"> (in addition to</w:t>
      </w:r>
      <w:r w:rsidR="00D52351" w:rsidRPr="002C5292">
        <w:rPr>
          <w:rFonts w:ascii="Arial" w:eastAsia="Arial" w:hAnsi="Arial"/>
          <w:sz w:val="22"/>
          <w:szCs w:val="22"/>
          <w:lang w:eastAsia="en-AU"/>
        </w:rPr>
        <w:t xml:space="preserve"> some</w:t>
      </w:r>
      <w:r w:rsidR="009A3EE4" w:rsidRPr="002C5292">
        <w:rPr>
          <w:rFonts w:ascii="Arial" w:eastAsia="Arial" w:hAnsi="Arial"/>
          <w:sz w:val="22"/>
          <w:szCs w:val="22"/>
          <w:lang w:eastAsia="en-AU"/>
        </w:rPr>
        <w:t xml:space="preserve"> delays</w:t>
      </w:r>
      <w:r w:rsidR="00890D38" w:rsidRPr="002C5292">
        <w:rPr>
          <w:rFonts w:ascii="Arial" w:eastAsia="Arial" w:hAnsi="Arial"/>
          <w:sz w:val="22"/>
          <w:szCs w:val="22"/>
          <w:lang w:eastAsia="en-AU"/>
        </w:rPr>
        <w:t xml:space="preserve"> </w:t>
      </w:r>
      <w:r w:rsidR="00D52351" w:rsidRPr="002C5292">
        <w:rPr>
          <w:rFonts w:ascii="Arial" w:eastAsia="Arial" w:hAnsi="Arial"/>
          <w:sz w:val="22"/>
          <w:szCs w:val="22"/>
          <w:lang w:eastAsia="en-AU"/>
        </w:rPr>
        <w:t>with making the instrument</w:t>
      </w:r>
      <w:r w:rsidR="009A3EE4" w:rsidRPr="002C5292">
        <w:rPr>
          <w:rFonts w:ascii="Arial" w:eastAsia="Arial" w:hAnsi="Arial"/>
          <w:sz w:val="22"/>
          <w:szCs w:val="22"/>
          <w:lang w:eastAsia="en-AU"/>
        </w:rPr>
        <w:t xml:space="preserve"> while an exemption is being sought).</w:t>
      </w:r>
      <w:r w:rsidRPr="002C5292">
        <w:rPr>
          <w:rFonts w:ascii="Arial" w:eastAsia="Arial" w:hAnsi="Arial"/>
          <w:sz w:val="22"/>
          <w:szCs w:val="22"/>
          <w:lang w:eastAsia="en-AU"/>
        </w:rPr>
        <w:t xml:space="preserve"> </w:t>
      </w:r>
    </w:p>
    <w:p w14:paraId="6AC912F2" w14:textId="26BBBA80" w:rsidR="00B834AF" w:rsidRPr="002C5292" w:rsidRDefault="004A3FBE" w:rsidP="001020B3">
      <w:pPr>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 xml:space="preserve">Departments and agencies would have to divert resources from other, more significant, issues which could otherwise be addressed. It </w:t>
      </w:r>
      <w:r w:rsidR="00890D38" w:rsidRPr="002C5292">
        <w:rPr>
          <w:rFonts w:ascii="Arial" w:eastAsia="Arial" w:hAnsi="Arial"/>
          <w:sz w:val="22"/>
          <w:szCs w:val="22"/>
          <w:lang w:eastAsia="en-AU"/>
        </w:rPr>
        <w:t>would also</w:t>
      </w:r>
      <w:r w:rsidRPr="002C5292">
        <w:rPr>
          <w:rFonts w:ascii="Arial" w:eastAsia="Arial" w:hAnsi="Arial"/>
          <w:sz w:val="22"/>
          <w:szCs w:val="22"/>
          <w:lang w:eastAsia="en-AU"/>
        </w:rPr>
        <w:t xml:space="preserve"> place additional demand on Ministers’ time</w:t>
      </w:r>
      <w:r w:rsidR="00890D38" w:rsidRPr="002C5292">
        <w:rPr>
          <w:rFonts w:ascii="Arial" w:eastAsia="Arial" w:hAnsi="Arial"/>
          <w:sz w:val="22"/>
          <w:szCs w:val="22"/>
          <w:lang w:eastAsia="en-AU"/>
        </w:rPr>
        <w:t>.</w:t>
      </w:r>
      <w:r w:rsidRPr="002C5292">
        <w:rPr>
          <w:rFonts w:ascii="Arial" w:eastAsia="Arial" w:hAnsi="Arial"/>
          <w:sz w:val="22"/>
          <w:szCs w:val="22"/>
          <w:lang w:eastAsia="en-AU"/>
        </w:rPr>
        <w:t xml:space="preserve"> Legal advice would likely be sought, an exemption certificate would be prepared for the Minister, and the</w:t>
      </w:r>
      <w:r w:rsidR="00890D38" w:rsidRPr="002C5292">
        <w:rPr>
          <w:rFonts w:ascii="Arial" w:eastAsia="Arial" w:hAnsi="Arial"/>
          <w:sz w:val="22"/>
          <w:szCs w:val="22"/>
          <w:lang w:eastAsia="en-AU"/>
        </w:rPr>
        <w:t xml:space="preserve"> Minister</w:t>
      </w:r>
      <w:r w:rsidRPr="002C5292">
        <w:rPr>
          <w:rFonts w:ascii="Arial" w:eastAsia="Arial" w:hAnsi="Arial"/>
          <w:sz w:val="22"/>
          <w:szCs w:val="22"/>
          <w:lang w:eastAsia="en-AU"/>
        </w:rPr>
        <w:t xml:space="preserve"> would be briefed in each instance. The Minister would then consider the advice received and, if satisfied, issue the exemption certificate. It would </w:t>
      </w:r>
      <w:r w:rsidR="00890D38" w:rsidRPr="002C5292">
        <w:rPr>
          <w:rFonts w:ascii="Arial" w:eastAsia="Arial" w:hAnsi="Arial"/>
          <w:sz w:val="22"/>
          <w:szCs w:val="22"/>
          <w:lang w:eastAsia="en-AU"/>
        </w:rPr>
        <w:t>also</w:t>
      </w:r>
      <w:r w:rsidRPr="002C5292">
        <w:rPr>
          <w:rFonts w:ascii="Arial" w:eastAsia="Arial" w:hAnsi="Arial"/>
          <w:sz w:val="22"/>
          <w:szCs w:val="22"/>
          <w:lang w:eastAsia="en-AU"/>
        </w:rPr>
        <w:t xml:space="preserve"> impact scrutiny processes, particularly the review of legislative instruments by SARC. </w:t>
      </w:r>
    </w:p>
    <w:p w14:paraId="03168F9F" w14:textId="7E111BEE" w:rsidR="00FD43DD" w:rsidRPr="002C5292" w:rsidRDefault="00FD43DD" w:rsidP="00FD43DD">
      <w:pPr>
        <w:spacing w:before="120" w:after="120" w:line="280" w:lineRule="exact"/>
        <w:rPr>
          <w:rFonts w:ascii="Arial" w:eastAsia="Arial" w:hAnsi="Arial"/>
          <w:sz w:val="22"/>
          <w:szCs w:val="22"/>
          <w:lang w:eastAsia="en-AU"/>
        </w:rPr>
      </w:pPr>
      <w:r w:rsidRPr="002C5292">
        <w:rPr>
          <w:rFonts w:asciiTheme="majorHAnsi" w:hAnsiTheme="majorHAnsi" w:cstheme="majorHAnsi"/>
          <w:sz w:val="22"/>
          <w:szCs w:val="22"/>
        </w:rPr>
        <w:t xml:space="preserve">Most of the instruments listed in Schedule 3 of the Proposed Regulations would be exempt from the RIS requirement under section 12F of the SLA (see Attachment C). </w:t>
      </w:r>
      <w:r w:rsidRPr="002C5292">
        <w:rPr>
          <w:rFonts w:asciiTheme="majorHAnsi" w:eastAsia="Arial" w:hAnsiTheme="majorHAnsi" w:cstheme="majorHAnsi"/>
          <w:sz w:val="22"/>
          <w:szCs w:val="22"/>
          <w:lang w:eastAsia="en-AU"/>
        </w:rPr>
        <w:t xml:space="preserve">Based on the assumption that each exemption certificate would take about 6 hours to prepare </w:t>
      </w:r>
      <w:r w:rsidR="00263D15" w:rsidRPr="002C5292">
        <w:rPr>
          <w:rFonts w:asciiTheme="majorHAnsi" w:eastAsia="Arial" w:hAnsiTheme="majorHAnsi" w:cstheme="majorHAnsi"/>
          <w:sz w:val="22"/>
          <w:szCs w:val="22"/>
          <w:lang w:eastAsia="en-AU"/>
        </w:rPr>
        <w:t xml:space="preserve">on average </w:t>
      </w:r>
      <w:r w:rsidRPr="002C5292">
        <w:rPr>
          <w:rFonts w:asciiTheme="majorHAnsi" w:eastAsia="Arial" w:hAnsiTheme="majorHAnsi" w:cstheme="majorHAnsi"/>
          <w:sz w:val="22"/>
          <w:szCs w:val="22"/>
          <w:lang w:eastAsia="en-AU"/>
        </w:rPr>
        <w:t>(including preparing associa</w:t>
      </w:r>
      <w:r w:rsidRPr="002C5292">
        <w:rPr>
          <w:rFonts w:ascii="Arial" w:eastAsia="Arial" w:hAnsi="Arial"/>
          <w:sz w:val="22"/>
          <w:szCs w:val="22"/>
          <w:lang w:eastAsia="en-AU"/>
        </w:rPr>
        <w:t>ted briefing material and gaining approvals within the department) at a conservative estimate</w:t>
      </w:r>
      <w:r w:rsidR="00263D15" w:rsidRPr="002C5292">
        <w:rPr>
          <w:rFonts w:ascii="Arial" w:eastAsia="Arial" w:hAnsi="Arial"/>
          <w:sz w:val="22"/>
          <w:szCs w:val="22"/>
          <w:lang w:eastAsia="en-AU"/>
        </w:rPr>
        <w:t>d</w:t>
      </w:r>
      <w:r w:rsidRPr="002C5292">
        <w:rPr>
          <w:rFonts w:ascii="Arial" w:eastAsia="Arial" w:hAnsi="Arial"/>
          <w:sz w:val="22"/>
          <w:szCs w:val="22"/>
          <w:lang w:eastAsia="en-AU"/>
        </w:rPr>
        <w:t xml:space="preserve"> cost of $</w:t>
      </w:r>
      <w:r w:rsidR="00C47EBE" w:rsidRPr="002C5292">
        <w:rPr>
          <w:rFonts w:ascii="Arial" w:eastAsia="Arial" w:hAnsi="Arial"/>
          <w:sz w:val="22"/>
          <w:szCs w:val="22"/>
          <w:lang w:eastAsia="en-AU"/>
        </w:rPr>
        <w:t xml:space="preserve">100 </w:t>
      </w:r>
      <w:r w:rsidRPr="002C5292">
        <w:rPr>
          <w:rFonts w:ascii="Arial" w:eastAsia="Arial" w:hAnsi="Arial"/>
          <w:sz w:val="22"/>
          <w:szCs w:val="22"/>
          <w:lang w:eastAsia="en-AU"/>
        </w:rPr>
        <w:t xml:space="preserve">on average, per hour to the department (including salaries and on-costs), each exemption would pose a cost of </w:t>
      </w:r>
      <w:r w:rsidR="00B00ED5" w:rsidRPr="002C5292">
        <w:rPr>
          <w:rFonts w:ascii="Arial" w:eastAsia="Arial" w:hAnsi="Arial"/>
          <w:sz w:val="22"/>
          <w:szCs w:val="22"/>
          <w:lang w:eastAsia="en-AU"/>
        </w:rPr>
        <w:t xml:space="preserve">about </w:t>
      </w:r>
      <w:r w:rsidRPr="002C5292">
        <w:rPr>
          <w:rFonts w:ascii="Arial" w:eastAsia="Arial" w:hAnsi="Arial"/>
          <w:sz w:val="22"/>
          <w:szCs w:val="22"/>
          <w:lang w:eastAsia="en-AU"/>
        </w:rPr>
        <w:t>$</w:t>
      </w:r>
      <w:r w:rsidR="00B00ED5" w:rsidRPr="002C5292">
        <w:rPr>
          <w:rFonts w:ascii="Arial" w:eastAsia="Arial" w:hAnsi="Arial"/>
          <w:sz w:val="22"/>
          <w:szCs w:val="22"/>
          <w:lang w:eastAsia="en-AU"/>
        </w:rPr>
        <w:t>600</w:t>
      </w:r>
      <w:r w:rsidRPr="002C5292">
        <w:rPr>
          <w:rFonts w:ascii="Arial" w:eastAsia="Arial" w:hAnsi="Arial"/>
          <w:sz w:val="22"/>
          <w:szCs w:val="22"/>
          <w:lang w:eastAsia="en-AU"/>
        </w:rPr>
        <w:t xml:space="preserve"> to make</w:t>
      </w:r>
      <w:r w:rsidR="00C93927" w:rsidRPr="002C5292">
        <w:rPr>
          <w:rStyle w:val="FootnoteReference"/>
          <w:rFonts w:ascii="Arial" w:eastAsia="Arial" w:hAnsi="Arial"/>
          <w:sz w:val="22"/>
          <w:szCs w:val="22"/>
          <w:lang w:eastAsia="en-AU"/>
        </w:rPr>
        <w:footnoteReference w:id="11"/>
      </w:r>
      <w:r w:rsidRPr="002C5292">
        <w:rPr>
          <w:rFonts w:ascii="Arial" w:eastAsia="Arial" w:hAnsi="Arial"/>
          <w:sz w:val="22"/>
          <w:szCs w:val="22"/>
          <w:lang w:eastAsia="en-AU"/>
        </w:rPr>
        <w:t xml:space="preserve">. For those instruments that are made on a regular basis, this cost may reduce over time once a process has been established. However, it </w:t>
      </w:r>
      <w:r w:rsidR="00263D15" w:rsidRPr="002C5292">
        <w:rPr>
          <w:rFonts w:ascii="Arial" w:eastAsia="Arial" w:hAnsi="Arial"/>
          <w:sz w:val="22"/>
          <w:szCs w:val="22"/>
          <w:lang w:eastAsia="en-AU"/>
        </w:rPr>
        <w:t xml:space="preserve">is </w:t>
      </w:r>
      <w:r w:rsidRPr="002C5292">
        <w:rPr>
          <w:rFonts w:ascii="Arial" w:eastAsia="Arial" w:hAnsi="Arial"/>
          <w:sz w:val="22"/>
          <w:szCs w:val="22"/>
          <w:lang w:eastAsia="en-AU"/>
        </w:rPr>
        <w:t xml:space="preserve">expected that any reduction would be minimal, as a significant portion of the costs are likely to be fixed. </w:t>
      </w:r>
    </w:p>
    <w:p w14:paraId="56D7645E" w14:textId="1B82DF52" w:rsidR="00A8561C" w:rsidRPr="002C5292" w:rsidRDefault="00733721" w:rsidP="00710E8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Legislative instruments made under </w:t>
      </w:r>
      <w:r w:rsidR="005313C8" w:rsidRPr="002C5292">
        <w:rPr>
          <w:rFonts w:asciiTheme="majorHAnsi" w:hAnsiTheme="majorHAnsi" w:cstheme="majorHAnsi"/>
          <w:sz w:val="22"/>
          <w:szCs w:val="22"/>
        </w:rPr>
        <w:t>89</w:t>
      </w:r>
      <w:r w:rsidR="005313C8" w:rsidRPr="002C5292" w:rsidDel="00733721">
        <w:rPr>
          <w:rFonts w:asciiTheme="majorHAnsi" w:hAnsiTheme="majorHAnsi" w:cstheme="majorHAnsi"/>
          <w:sz w:val="22"/>
          <w:szCs w:val="22"/>
        </w:rPr>
        <w:t xml:space="preserve"> </w:t>
      </w:r>
      <w:r w:rsidR="00D203F5" w:rsidRPr="002C5292">
        <w:rPr>
          <w:rFonts w:asciiTheme="majorHAnsi" w:hAnsiTheme="majorHAnsi" w:cstheme="majorHAnsi"/>
          <w:sz w:val="22"/>
          <w:szCs w:val="22"/>
        </w:rPr>
        <w:t>provisions</w:t>
      </w:r>
      <w:r w:rsidR="00F42A8B" w:rsidRPr="002C5292">
        <w:rPr>
          <w:rFonts w:asciiTheme="majorHAnsi" w:hAnsiTheme="majorHAnsi" w:cstheme="majorHAnsi"/>
          <w:sz w:val="22"/>
          <w:szCs w:val="22"/>
        </w:rPr>
        <w:t xml:space="preserve"> </w:t>
      </w:r>
      <w:r w:rsidR="00FD43DD" w:rsidRPr="002C5292">
        <w:rPr>
          <w:rFonts w:asciiTheme="majorHAnsi" w:hAnsiTheme="majorHAnsi" w:cstheme="majorHAnsi"/>
          <w:sz w:val="22"/>
          <w:szCs w:val="22"/>
        </w:rPr>
        <w:t>are proposed to</w:t>
      </w:r>
      <w:r w:rsidRPr="002C5292">
        <w:rPr>
          <w:rFonts w:asciiTheme="majorHAnsi" w:hAnsiTheme="majorHAnsi" w:cstheme="majorHAnsi"/>
          <w:sz w:val="22"/>
          <w:szCs w:val="22"/>
        </w:rPr>
        <w:t xml:space="preserve"> be automatically exempt through</w:t>
      </w:r>
      <w:r w:rsidR="00FD43DD" w:rsidRPr="002C5292" w:rsidDel="00733721">
        <w:rPr>
          <w:rFonts w:asciiTheme="majorHAnsi" w:hAnsiTheme="majorHAnsi" w:cstheme="majorHAnsi"/>
          <w:sz w:val="22"/>
          <w:szCs w:val="22"/>
        </w:rPr>
        <w:t xml:space="preserve"> </w:t>
      </w:r>
      <w:r w:rsidR="00FD43DD" w:rsidRPr="002C5292">
        <w:rPr>
          <w:rFonts w:asciiTheme="majorHAnsi" w:hAnsiTheme="majorHAnsi" w:cstheme="majorHAnsi"/>
          <w:sz w:val="22"/>
          <w:szCs w:val="22"/>
        </w:rPr>
        <w:t>inclu</w:t>
      </w:r>
      <w:r w:rsidRPr="002C5292">
        <w:rPr>
          <w:rFonts w:asciiTheme="majorHAnsi" w:hAnsiTheme="majorHAnsi" w:cstheme="majorHAnsi"/>
          <w:sz w:val="22"/>
          <w:szCs w:val="22"/>
        </w:rPr>
        <w:t>sion</w:t>
      </w:r>
      <w:r w:rsidR="00FD43DD" w:rsidRPr="002C5292">
        <w:rPr>
          <w:rFonts w:asciiTheme="majorHAnsi" w:hAnsiTheme="majorHAnsi" w:cstheme="majorHAnsi"/>
          <w:sz w:val="22"/>
          <w:szCs w:val="22"/>
        </w:rPr>
        <w:t xml:space="preserve"> in Schedule 3</w:t>
      </w:r>
      <w:r w:rsidR="00D203F5" w:rsidRPr="002C5292">
        <w:rPr>
          <w:rFonts w:asciiTheme="majorHAnsi" w:hAnsiTheme="majorHAnsi" w:cstheme="majorHAnsi"/>
          <w:sz w:val="22"/>
          <w:szCs w:val="22"/>
        </w:rPr>
        <w:t xml:space="preserve"> of the Proposed Regulations</w:t>
      </w:r>
      <w:r w:rsidR="00FD43DD" w:rsidRPr="002C5292">
        <w:rPr>
          <w:rFonts w:asciiTheme="majorHAnsi" w:hAnsiTheme="majorHAnsi" w:cstheme="majorHAnsi"/>
          <w:sz w:val="22"/>
          <w:szCs w:val="22"/>
        </w:rPr>
        <w:t xml:space="preserve"> on public interest grounds. The Base Case will mean that departments and agencies will most likely need to undertake a RIS process for those </w:t>
      </w:r>
      <w:r w:rsidR="00D203F5" w:rsidRPr="002C5292">
        <w:rPr>
          <w:rFonts w:asciiTheme="majorHAnsi" w:hAnsiTheme="majorHAnsi" w:cstheme="majorHAnsi"/>
          <w:sz w:val="22"/>
          <w:szCs w:val="22"/>
        </w:rPr>
        <w:t>exempt legislative instruments</w:t>
      </w:r>
      <w:r w:rsidR="00FD43DD" w:rsidRPr="002C5292">
        <w:rPr>
          <w:rFonts w:asciiTheme="majorHAnsi" w:hAnsiTheme="majorHAnsi" w:cstheme="majorHAnsi"/>
          <w:sz w:val="22"/>
          <w:szCs w:val="22"/>
        </w:rPr>
        <w:t xml:space="preserve">. </w:t>
      </w:r>
      <w:r w:rsidR="006E07C6" w:rsidRPr="002C5292">
        <w:rPr>
          <w:rFonts w:asciiTheme="majorHAnsi" w:hAnsiTheme="majorHAnsi" w:cstheme="majorHAnsi"/>
          <w:sz w:val="22"/>
          <w:szCs w:val="22"/>
        </w:rPr>
        <w:t xml:space="preserve">There would be greater costs on departments for those legislative instruments that are not </w:t>
      </w:r>
      <w:r w:rsidR="001264CA" w:rsidRPr="002C5292">
        <w:rPr>
          <w:rFonts w:asciiTheme="majorHAnsi" w:hAnsiTheme="majorHAnsi" w:cstheme="majorHAnsi"/>
          <w:sz w:val="22"/>
          <w:szCs w:val="22"/>
        </w:rPr>
        <w:t xml:space="preserve">eligible to be </w:t>
      </w:r>
      <w:r w:rsidR="006E07C6" w:rsidRPr="002C5292">
        <w:rPr>
          <w:rFonts w:asciiTheme="majorHAnsi" w:hAnsiTheme="majorHAnsi" w:cstheme="majorHAnsi"/>
          <w:sz w:val="22"/>
          <w:szCs w:val="22"/>
        </w:rPr>
        <w:t>exempt under section 12F</w:t>
      </w:r>
      <w:r w:rsidR="001264CA" w:rsidRPr="002C5292">
        <w:rPr>
          <w:rFonts w:asciiTheme="majorHAnsi" w:hAnsiTheme="majorHAnsi" w:cstheme="majorHAnsi"/>
          <w:sz w:val="22"/>
          <w:szCs w:val="22"/>
        </w:rPr>
        <w:t xml:space="preserve"> or 12G</w:t>
      </w:r>
      <w:r w:rsidR="006E07C6" w:rsidRPr="002C5292">
        <w:rPr>
          <w:rFonts w:asciiTheme="majorHAnsi" w:hAnsiTheme="majorHAnsi" w:cstheme="majorHAnsi"/>
          <w:sz w:val="22"/>
          <w:szCs w:val="22"/>
        </w:rPr>
        <w:t xml:space="preserve"> as those legislative instruments </w:t>
      </w:r>
      <w:r w:rsidR="00DA01AF" w:rsidRPr="002C5292">
        <w:rPr>
          <w:rFonts w:asciiTheme="majorHAnsi" w:hAnsiTheme="majorHAnsi" w:cstheme="majorHAnsi"/>
          <w:sz w:val="22"/>
          <w:szCs w:val="22"/>
        </w:rPr>
        <w:t>are likely to</w:t>
      </w:r>
      <w:r w:rsidR="006E07C6" w:rsidRPr="002C5292">
        <w:rPr>
          <w:rFonts w:asciiTheme="majorHAnsi" w:hAnsiTheme="majorHAnsi" w:cstheme="majorHAnsi"/>
          <w:sz w:val="22"/>
          <w:szCs w:val="22"/>
        </w:rPr>
        <w:t xml:space="preserve"> require the preparation of a RIS and undergo the associated consultation</w:t>
      </w:r>
      <w:r w:rsidR="00FD43DD" w:rsidRPr="002C5292">
        <w:rPr>
          <w:rFonts w:asciiTheme="majorHAnsi" w:hAnsiTheme="majorHAnsi" w:cstheme="majorHAnsi"/>
          <w:sz w:val="22"/>
          <w:szCs w:val="22"/>
        </w:rPr>
        <w:t xml:space="preserve">. </w:t>
      </w:r>
      <w:r w:rsidR="00096A0D" w:rsidRPr="002C5292">
        <w:rPr>
          <w:rFonts w:asciiTheme="majorHAnsi" w:hAnsiTheme="majorHAnsi" w:cstheme="majorHAnsi"/>
          <w:sz w:val="22"/>
          <w:szCs w:val="22"/>
        </w:rPr>
        <w:t>Better Regulation Victoria (BRV) has advised DPC that the average RIS cost is about $20</w:t>
      </w:r>
      <w:r w:rsidR="00AC6451" w:rsidRPr="002C5292">
        <w:rPr>
          <w:rFonts w:asciiTheme="majorHAnsi" w:hAnsiTheme="majorHAnsi" w:cstheme="majorHAnsi"/>
          <w:sz w:val="22"/>
          <w:szCs w:val="22"/>
        </w:rPr>
        <w:t>0</w:t>
      </w:r>
      <w:r w:rsidR="00096A0D" w:rsidRPr="002C5292" w:rsidDel="00362AE2">
        <w:rPr>
          <w:rFonts w:asciiTheme="majorHAnsi" w:hAnsiTheme="majorHAnsi" w:cstheme="majorHAnsi"/>
          <w:sz w:val="22"/>
          <w:szCs w:val="22"/>
        </w:rPr>
        <w:t>,000</w:t>
      </w:r>
      <w:r w:rsidR="00096A0D" w:rsidRPr="002C5292">
        <w:rPr>
          <w:rFonts w:asciiTheme="majorHAnsi" w:hAnsiTheme="majorHAnsi" w:cstheme="majorHAnsi"/>
          <w:sz w:val="22"/>
          <w:szCs w:val="22"/>
        </w:rPr>
        <w:t>.</w:t>
      </w:r>
      <w:r w:rsidR="004C5366" w:rsidRPr="002C5292">
        <w:rPr>
          <w:rFonts w:asciiTheme="majorHAnsi" w:hAnsiTheme="majorHAnsi" w:cstheme="majorHAnsi"/>
          <w:sz w:val="16"/>
          <w:szCs w:val="16"/>
        </w:rPr>
        <w:footnoteReference w:id="12"/>
      </w:r>
      <w:r w:rsidR="00AF19BB" w:rsidRPr="002C5292">
        <w:rPr>
          <w:rFonts w:asciiTheme="majorHAnsi" w:hAnsiTheme="majorHAnsi" w:cstheme="majorHAnsi"/>
          <w:sz w:val="22"/>
          <w:szCs w:val="22"/>
        </w:rPr>
        <w:t xml:space="preserve"> Given the average cost for a RIS is $200,000, of which in the range of 25 per cent to 75 per cent is marginal additional work (i.e. $50,000 to $150,000), and an expected 5-10 additional RISs prepared per year, DPC estimates a potential cost of $0.3 million to $1.7 million per year.</w:t>
      </w:r>
    </w:p>
    <w:p w14:paraId="24FD07F0" w14:textId="02783401" w:rsidR="00C50996" w:rsidRPr="002C5292" w:rsidRDefault="00FD43DD" w:rsidP="00710E8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There would also be a greater impact on SARC, as it would be required to assess every legislative instrument to ensure the requirements of the SLA have been met. With approximately </w:t>
      </w:r>
      <w:r w:rsidR="001264CA" w:rsidRPr="002C5292">
        <w:rPr>
          <w:rFonts w:asciiTheme="majorHAnsi" w:hAnsiTheme="majorHAnsi" w:cstheme="majorHAnsi"/>
          <w:sz w:val="22"/>
          <w:szCs w:val="22"/>
        </w:rPr>
        <w:t>300-500</w:t>
      </w:r>
      <w:r w:rsidR="001264CA" w:rsidRPr="002C5292">
        <w:rPr>
          <w:rStyle w:val="FootnoteReference"/>
          <w:rFonts w:asciiTheme="majorHAnsi" w:hAnsiTheme="majorHAnsi" w:cstheme="majorHAnsi"/>
          <w:sz w:val="22"/>
          <w:szCs w:val="22"/>
        </w:rPr>
        <w:footnoteReference w:id="13"/>
      </w:r>
      <w:r w:rsidR="00755326" w:rsidRPr="002C5292">
        <w:rPr>
          <w:rFonts w:asciiTheme="majorHAnsi" w:hAnsiTheme="majorHAnsi" w:cstheme="majorHAnsi"/>
          <w:sz w:val="22"/>
          <w:szCs w:val="22"/>
        </w:rPr>
        <w:t xml:space="preserve"> </w:t>
      </w:r>
      <w:r w:rsidR="00DF46F3" w:rsidRPr="002C5292">
        <w:rPr>
          <w:rFonts w:asciiTheme="majorHAnsi" w:hAnsiTheme="majorHAnsi" w:cstheme="majorHAnsi"/>
          <w:sz w:val="22"/>
          <w:szCs w:val="22"/>
        </w:rPr>
        <w:t xml:space="preserve">additional </w:t>
      </w:r>
      <w:r w:rsidR="00755326" w:rsidRPr="002C5292">
        <w:rPr>
          <w:rFonts w:asciiTheme="majorHAnsi" w:hAnsiTheme="majorHAnsi" w:cstheme="majorHAnsi"/>
          <w:sz w:val="22"/>
          <w:szCs w:val="22"/>
        </w:rPr>
        <w:t xml:space="preserve">legislative </w:t>
      </w:r>
      <w:r w:rsidRPr="002C5292">
        <w:rPr>
          <w:rFonts w:asciiTheme="majorHAnsi" w:hAnsiTheme="majorHAnsi" w:cstheme="majorHAnsi"/>
          <w:sz w:val="22"/>
          <w:szCs w:val="22"/>
        </w:rPr>
        <w:t xml:space="preserve">instruments likely to be </w:t>
      </w:r>
      <w:r w:rsidR="00DF46F3" w:rsidRPr="002C5292">
        <w:rPr>
          <w:rFonts w:asciiTheme="majorHAnsi" w:hAnsiTheme="majorHAnsi" w:cstheme="majorHAnsi"/>
          <w:sz w:val="22"/>
          <w:szCs w:val="22"/>
        </w:rPr>
        <w:t>tabled with SARC</w:t>
      </w:r>
      <w:r w:rsidR="0062300D" w:rsidRPr="002C5292">
        <w:rPr>
          <w:rFonts w:asciiTheme="majorHAnsi" w:hAnsiTheme="majorHAnsi" w:cstheme="majorHAnsi"/>
          <w:sz w:val="22"/>
          <w:szCs w:val="22"/>
        </w:rPr>
        <w:t xml:space="preserve"> </w:t>
      </w:r>
      <w:r w:rsidRPr="002C5292">
        <w:rPr>
          <w:rFonts w:asciiTheme="majorHAnsi" w:hAnsiTheme="majorHAnsi" w:cstheme="majorHAnsi"/>
          <w:sz w:val="22"/>
          <w:szCs w:val="22"/>
        </w:rPr>
        <w:t>each year</w:t>
      </w:r>
      <w:r w:rsidR="000572D0" w:rsidRPr="002C5292">
        <w:rPr>
          <w:rFonts w:asciiTheme="majorHAnsi" w:hAnsiTheme="majorHAnsi" w:cstheme="majorHAnsi"/>
          <w:sz w:val="22"/>
          <w:szCs w:val="22"/>
        </w:rPr>
        <w:t xml:space="preserve"> if the base case applies</w:t>
      </w:r>
      <w:r w:rsidRPr="002C5292">
        <w:rPr>
          <w:rFonts w:asciiTheme="majorHAnsi" w:hAnsiTheme="majorHAnsi" w:cstheme="majorHAnsi"/>
          <w:sz w:val="22"/>
          <w:szCs w:val="22"/>
        </w:rPr>
        <w:t xml:space="preserve">, SARC’s ability to effectively perform its scrutiny function may be compromised by the </w:t>
      </w:r>
      <w:r w:rsidR="00D203F5" w:rsidRPr="002C5292">
        <w:rPr>
          <w:rFonts w:asciiTheme="majorHAnsi" w:hAnsiTheme="majorHAnsi" w:cstheme="majorHAnsi"/>
          <w:sz w:val="22"/>
          <w:szCs w:val="22"/>
        </w:rPr>
        <w:t xml:space="preserve">increased </w:t>
      </w:r>
      <w:r w:rsidRPr="002C5292">
        <w:rPr>
          <w:rFonts w:asciiTheme="majorHAnsi" w:hAnsiTheme="majorHAnsi" w:cstheme="majorHAnsi"/>
          <w:sz w:val="22"/>
          <w:szCs w:val="22"/>
        </w:rPr>
        <w:t>number of instruments that it would receive</w:t>
      </w:r>
      <w:r w:rsidR="00D203F5" w:rsidRPr="002C5292">
        <w:rPr>
          <w:rFonts w:asciiTheme="majorHAnsi" w:hAnsiTheme="majorHAnsi" w:cstheme="majorHAnsi"/>
          <w:sz w:val="22"/>
          <w:szCs w:val="22"/>
        </w:rPr>
        <w:t xml:space="preserve"> to review</w:t>
      </w:r>
      <w:r w:rsidRPr="002C5292">
        <w:rPr>
          <w:rFonts w:asciiTheme="majorHAnsi" w:hAnsiTheme="majorHAnsi" w:cstheme="majorHAnsi"/>
          <w:sz w:val="22"/>
          <w:szCs w:val="22"/>
        </w:rPr>
        <w:t>.</w:t>
      </w:r>
    </w:p>
    <w:p w14:paraId="13906662" w14:textId="2E76B138" w:rsidR="00FD43DD" w:rsidRPr="002C5292" w:rsidRDefault="00CB5154" w:rsidP="0062300D">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In its </w:t>
      </w:r>
      <w:r w:rsidR="00C50996" w:rsidRPr="002C5292">
        <w:rPr>
          <w:rFonts w:asciiTheme="majorHAnsi" w:hAnsiTheme="majorHAnsi" w:cstheme="majorHAnsi"/>
          <w:sz w:val="22"/>
          <w:szCs w:val="22"/>
        </w:rPr>
        <w:t xml:space="preserve">2019 Annual Review (tabled in Parliament on 27 October 2020) </w:t>
      </w:r>
      <w:r w:rsidRPr="002C5292">
        <w:rPr>
          <w:rFonts w:asciiTheme="majorHAnsi" w:hAnsiTheme="majorHAnsi" w:cstheme="majorHAnsi"/>
          <w:sz w:val="22"/>
          <w:szCs w:val="22"/>
        </w:rPr>
        <w:t xml:space="preserve">SARC </w:t>
      </w:r>
      <w:r w:rsidR="00C50996" w:rsidRPr="002C5292">
        <w:rPr>
          <w:rFonts w:asciiTheme="majorHAnsi" w:hAnsiTheme="majorHAnsi" w:cstheme="majorHAnsi"/>
          <w:sz w:val="22"/>
          <w:szCs w:val="22"/>
        </w:rPr>
        <w:t xml:space="preserve">reported that it had examined 24 legislative instruments </w:t>
      </w:r>
      <w:r w:rsidRPr="002C5292">
        <w:rPr>
          <w:rFonts w:asciiTheme="majorHAnsi" w:hAnsiTheme="majorHAnsi" w:cstheme="majorHAnsi"/>
          <w:sz w:val="22"/>
          <w:szCs w:val="22"/>
        </w:rPr>
        <w:t>(</w:t>
      </w:r>
      <w:r w:rsidR="00C50996" w:rsidRPr="002C5292">
        <w:rPr>
          <w:rFonts w:asciiTheme="majorHAnsi" w:hAnsiTheme="majorHAnsi" w:cstheme="majorHAnsi"/>
          <w:sz w:val="22"/>
          <w:szCs w:val="22"/>
        </w:rPr>
        <w:t>that had been published in the Government Gazette</w:t>
      </w:r>
      <w:r w:rsidRPr="002C5292">
        <w:rPr>
          <w:rFonts w:asciiTheme="majorHAnsi" w:hAnsiTheme="majorHAnsi" w:cstheme="majorHAnsi"/>
          <w:sz w:val="22"/>
          <w:szCs w:val="22"/>
        </w:rPr>
        <w:t>)</w:t>
      </w:r>
      <w:r w:rsidR="00C50996" w:rsidRPr="002C5292">
        <w:rPr>
          <w:rFonts w:asciiTheme="majorHAnsi" w:hAnsiTheme="majorHAnsi" w:cstheme="majorHAnsi"/>
          <w:sz w:val="22"/>
          <w:szCs w:val="22"/>
        </w:rPr>
        <w:t xml:space="preserve"> during the 2019 calendar year. Of those instruments, zero were accompanied by a RIS. SARC </w:t>
      </w:r>
      <w:r w:rsidRPr="002C5292">
        <w:rPr>
          <w:rFonts w:asciiTheme="majorHAnsi" w:hAnsiTheme="majorHAnsi" w:cstheme="majorHAnsi"/>
          <w:sz w:val="22"/>
          <w:szCs w:val="22"/>
        </w:rPr>
        <w:t>also reported that all 2019 legislative instruments were exempt from the requirement to provide a RIS. This was the first time since 2011, the first year of operation of the scrutiny of legislative instruments, that there had been zero legislative instruments accompanied by a RIS.</w:t>
      </w:r>
      <w:r w:rsidR="00C50996" w:rsidRPr="002C5292">
        <w:rPr>
          <w:rFonts w:asciiTheme="majorHAnsi" w:hAnsiTheme="majorHAnsi" w:cstheme="majorHAnsi"/>
          <w:sz w:val="22"/>
          <w:szCs w:val="22"/>
        </w:rPr>
        <w:t xml:space="preserve"> </w:t>
      </w:r>
      <w:r w:rsidRPr="002C5292">
        <w:rPr>
          <w:rFonts w:asciiTheme="majorHAnsi" w:hAnsiTheme="majorHAnsi" w:cstheme="majorHAnsi"/>
          <w:sz w:val="22"/>
          <w:szCs w:val="22"/>
        </w:rPr>
        <w:t xml:space="preserve">The </w:t>
      </w:r>
      <w:r w:rsidR="00BC6502" w:rsidRPr="002C5292">
        <w:rPr>
          <w:rFonts w:asciiTheme="majorHAnsi" w:hAnsiTheme="majorHAnsi" w:cstheme="majorHAnsi"/>
          <w:sz w:val="22"/>
          <w:szCs w:val="22"/>
        </w:rPr>
        <w:t>figure</w:t>
      </w:r>
      <w:r w:rsidRPr="002C5292">
        <w:rPr>
          <w:rFonts w:asciiTheme="majorHAnsi" w:hAnsiTheme="majorHAnsi" w:cstheme="majorHAnsi"/>
          <w:sz w:val="22"/>
          <w:szCs w:val="22"/>
        </w:rPr>
        <w:t xml:space="preserve"> below shows how many legislative instruments SARC has reviewed </w:t>
      </w:r>
      <w:r w:rsidR="00C50996" w:rsidRPr="002C5292">
        <w:rPr>
          <w:rFonts w:asciiTheme="majorHAnsi" w:hAnsiTheme="majorHAnsi" w:cstheme="majorHAnsi"/>
          <w:sz w:val="22"/>
          <w:szCs w:val="22"/>
        </w:rPr>
        <w:t xml:space="preserve">over the last 5 years </w:t>
      </w:r>
      <w:r w:rsidRPr="002C5292">
        <w:rPr>
          <w:rFonts w:asciiTheme="majorHAnsi" w:hAnsiTheme="majorHAnsi" w:cstheme="majorHAnsi"/>
          <w:sz w:val="22"/>
          <w:szCs w:val="22"/>
        </w:rPr>
        <w:t>(</w:t>
      </w:r>
      <w:r w:rsidR="00C50996" w:rsidRPr="002C5292">
        <w:rPr>
          <w:rFonts w:asciiTheme="majorHAnsi" w:hAnsiTheme="majorHAnsi" w:cstheme="majorHAnsi"/>
          <w:sz w:val="22"/>
          <w:szCs w:val="22"/>
        </w:rPr>
        <w:t>an average of 39 legislative instruments</w:t>
      </w:r>
      <w:r w:rsidR="00EB7EC8" w:rsidRPr="002C5292">
        <w:rPr>
          <w:rFonts w:asciiTheme="majorHAnsi" w:hAnsiTheme="majorHAnsi" w:cstheme="majorHAnsi"/>
          <w:sz w:val="22"/>
          <w:szCs w:val="22"/>
        </w:rPr>
        <w:t xml:space="preserve"> per year</w:t>
      </w:r>
      <w:r w:rsidR="00263C89" w:rsidRPr="002C5292">
        <w:rPr>
          <w:rFonts w:asciiTheme="majorHAnsi" w:hAnsiTheme="majorHAnsi" w:cstheme="majorHAnsi"/>
          <w:sz w:val="22"/>
          <w:szCs w:val="22"/>
        </w:rPr>
        <w:t>, with an average 3 RISs</w:t>
      </w:r>
      <w:r w:rsidRPr="002C5292">
        <w:rPr>
          <w:rFonts w:asciiTheme="majorHAnsi" w:hAnsiTheme="majorHAnsi" w:cstheme="majorHAnsi"/>
          <w:sz w:val="22"/>
          <w:szCs w:val="22"/>
        </w:rPr>
        <w:t>)</w:t>
      </w:r>
      <w:r w:rsidR="00C50996" w:rsidRPr="002C5292">
        <w:rPr>
          <w:rFonts w:asciiTheme="majorHAnsi" w:hAnsiTheme="majorHAnsi" w:cstheme="majorHAnsi"/>
          <w:sz w:val="22"/>
          <w:szCs w:val="22"/>
        </w:rPr>
        <w:t xml:space="preserve">. </w:t>
      </w:r>
      <w:r w:rsidR="00ED462E" w:rsidRPr="002C5292">
        <w:rPr>
          <w:rFonts w:asciiTheme="majorHAnsi" w:hAnsiTheme="majorHAnsi" w:cstheme="majorHAnsi"/>
          <w:sz w:val="22"/>
          <w:szCs w:val="22"/>
        </w:rPr>
        <w:t>Therefore, a</w:t>
      </w:r>
      <w:r w:rsidR="00A8561C" w:rsidRPr="002C5292">
        <w:rPr>
          <w:rFonts w:asciiTheme="majorHAnsi" w:hAnsiTheme="majorHAnsi" w:cstheme="majorHAnsi"/>
          <w:sz w:val="22"/>
          <w:szCs w:val="22"/>
        </w:rPr>
        <w:t xml:space="preserve">n </w:t>
      </w:r>
      <w:r w:rsidR="00475C1D" w:rsidRPr="002C5292">
        <w:rPr>
          <w:rFonts w:asciiTheme="majorHAnsi" w:hAnsiTheme="majorHAnsi" w:cstheme="majorHAnsi"/>
          <w:sz w:val="22"/>
          <w:szCs w:val="22"/>
        </w:rPr>
        <w:t xml:space="preserve">estimated </w:t>
      </w:r>
      <w:r w:rsidR="00A8561C" w:rsidRPr="002C5292">
        <w:rPr>
          <w:rFonts w:asciiTheme="majorHAnsi" w:hAnsiTheme="majorHAnsi" w:cstheme="majorHAnsi"/>
          <w:sz w:val="22"/>
          <w:szCs w:val="22"/>
        </w:rPr>
        <w:t xml:space="preserve">increase of </w:t>
      </w:r>
      <w:r w:rsidR="00CD14C9" w:rsidRPr="002C5292">
        <w:rPr>
          <w:rFonts w:asciiTheme="majorHAnsi" w:hAnsiTheme="majorHAnsi" w:cstheme="majorHAnsi"/>
          <w:sz w:val="22"/>
          <w:szCs w:val="22"/>
        </w:rPr>
        <w:t>30</w:t>
      </w:r>
      <w:r w:rsidR="00475C1D" w:rsidRPr="002C5292">
        <w:rPr>
          <w:rFonts w:asciiTheme="majorHAnsi" w:hAnsiTheme="majorHAnsi" w:cstheme="majorHAnsi"/>
          <w:sz w:val="22"/>
          <w:szCs w:val="22"/>
        </w:rPr>
        <w:t>0-500</w:t>
      </w:r>
      <w:r w:rsidR="00CD14C9" w:rsidRPr="002C5292">
        <w:rPr>
          <w:rFonts w:asciiTheme="majorHAnsi" w:hAnsiTheme="majorHAnsi" w:cstheme="majorHAnsi"/>
          <w:sz w:val="22"/>
          <w:szCs w:val="22"/>
        </w:rPr>
        <w:t xml:space="preserve"> </w:t>
      </w:r>
      <w:r w:rsidR="00A8561C" w:rsidRPr="002C5292">
        <w:rPr>
          <w:rFonts w:asciiTheme="majorHAnsi" w:hAnsiTheme="majorHAnsi" w:cstheme="majorHAnsi"/>
          <w:sz w:val="22"/>
          <w:szCs w:val="22"/>
        </w:rPr>
        <w:t xml:space="preserve">legislative </w:t>
      </w:r>
      <w:r w:rsidR="007F70E1" w:rsidRPr="002C5292">
        <w:rPr>
          <w:rFonts w:asciiTheme="majorHAnsi" w:hAnsiTheme="majorHAnsi" w:cstheme="majorHAnsi"/>
          <w:sz w:val="22"/>
          <w:szCs w:val="22"/>
        </w:rPr>
        <w:t xml:space="preserve">instruments per year </w:t>
      </w:r>
      <w:r w:rsidR="00E27312" w:rsidRPr="002C5292">
        <w:rPr>
          <w:rFonts w:asciiTheme="majorHAnsi" w:hAnsiTheme="majorHAnsi" w:cstheme="majorHAnsi"/>
          <w:sz w:val="22"/>
          <w:szCs w:val="22"/>
        </w:rPr>
        <w:t xml:space="preserve">for </w:t>
      </w:r>
      <w:r w:rsidR="00C73056" w:rsidRPr="002C5292">
        <w:rPr>
          <w:rFonts w:asciiTheme="majorHAnsi" w:hAnsiTheme="majorHAnsi" w:cstheme="majorHAnsi"/>
          <w:sz w:val="22"/>
          <w:szCs w:val="22"/>
        </w:rPr>
        <w:t xml:space="preserve">review </w:t>
      </w:r>
      <w:r w:rsidR="007F70E1" w:rsidRPr="002C5292">
        <w:rPr>
          <w:rFonts w:asciiTheme="majorHAnsi" w:hAnsiTheme="majorHAnsi" w:cstheme="majorHAnsi"/>
          <w:sz w:val="22"/>
          <w:szCs w:val="22"/>
        </w:rPr>
        <w:t xml:space="preserve">would represent </w:t>
      </w:r>
      <w:r w:rsidR="00DF46F3" w:rsidRPr="002C5292">
        <w:rPr>
          <w:rFonts w:asciiTheme="majorHAnsi" w:hAnsiTheme="majorHAnsi" w:cstheme="majorHAnsi"/>
          <w:sz w:val="22"/>
          <w:szCs w:val="22"/>
        </w:rPr>
        <w:t xml:space="preserve">about </w:t>
      </w:r>
      <w:r w:rsidR="003F47E4" w:rsidRPr="002C5292">
        <w:rPr>
          <w:rFonts w:asciiTheme="majorHAnsi" w:hAnsiTheme="majorHAnsi" w:cstheme="majorHAnsi"/>
          <w:sz w:val="22"/>
          <w:szCs w:val="22"/>
        </w:rPr>
        <w:t>a</w:t>
      </w:r>
      <w:r w:rsidR="00475C1D" w:rsidRPr="002C5292">
        <w:rPr>
          <w:rFonts w:asciiTheme="majorHAnsi" w:hAnsiTheme="majorHAnsi" w:cstheme="majorHAnsi"/>
          <w:sz w:val="22"/>
          <w:szCs w:val="22"/>
        </w:rPr>
        <w:t xml:space="preserve">n eight-fold to thirteen-fold </w:t>
      </w:r>
      <w:r w:rsidR="00ED462E" w:rsidRPr="002C5292">
        <w:rPr>
          <w:rFonts w:asciiTheme="majorHAnsi" w:hAnsiTheme="majorHAnsi" w:cstheme="majorHAnsi"/>
          <w:sz w:val="22"/>
          <w:szCs w:val="22"/>
        </w:rPr>
        <w:t xml:space="preserve">increase in </w:t>
      </w:r>
      <w:r w:rsidR="0062300D" w:rsidRPr="002C5292">
        <w:rPr>
          <w:rFonts w:asciiTheme="majorHAnsi" w:hAnsiTheme="majorHAnsi" w:cstheme="majorHAnsi"/>
          <w:sz w:val="22"/>
          <w:szCs w:val="22"/>
        </w:rPr>
        <w:t xml:space="preserve">their </w:t>
      </w:r>
      <w:r w:rsidR="00ED462E" w:rsidRPr="002C5292">
        <w:rPr>
          <w:rFonts w:asciiTheme="majorHAnsi" w:hAnsiTheme="majorHAnsi" w:cstheme="majorHAnsi"/>
          <w:sz w:val="22"/>
          <w:szCs w:val="22"/>
        </w:rPr>
        <w:t>workload related to legislative instruments</w:t>
      </w:r>
      <w:r w:rsidR="00263C89" w:rsidRPr="002C5292">
        <w:rPr>
          <w:rStyle w:val="FootnoteReference"/>
          <w:rFonts w:asciiTheme="majorHAnsi" w:hAnsiTheme="majorHAnsi" w:cstheme="majorHAnsi"/>
          <w:sz w:val="22"/>
          <w:szCs w:val="22"/>
        </w:rPr>
        <w:footnoteReference w:id="14"/>
      </w:r>
      <w:r w:rsidR="00ED462E" w:rsidRPr="002C5292">
        <w:rPr>
          <w:rFonts w:asciiTheme="majorHAnsi" w:hAnsiTheme="majorHAnsi" w:cstheme="majorHAnsi"/>
          <w:sz w:val="22"/>
          <w:szCs w:val="22"/>
        </w:rPr>
        <w:t>.</w:t>
      </w:r>
    </w:p>
    <w:p w14:paraId="7C87F053" w14:textId="77777777" w:rsidR="00C13F92" w:rsidRPr="002C5292" w:rsidRDefault="00C13F92">
      <w:pPr>
        <w:rPr>
          <w:rFonts w:asciiTheme="majorHAnsi" w:eastAsia="MS Gothic" w:hAnsiTheme="majorHAnsi"/>
          <w:b/>
          <w:bCs/>
          <w:color w:val="53565A"/>
        </w:rPr>
      </w:pPr>
      <w:r w:rsidRPr="002C5292">
        <w:rPr>
          <w:rFonts w:asciiTheme="majorHAnsi" w:eastAsia="MS Gothic" w:hAnsiTheme="majorHAnsi"/>
          <w:b/>
          <w:bCs/>
          <w:color w:val="53565A"/>
        </w:rPr>
        <w:br w:type="page"/>
      </w:r>
    </w:p>
    <w:p w14:paraId="799EC752" w14:textId="7A35997D" w:rsidR="00C13F92" w:rsidRPr="002C5292" w:rsidRDefault="002C5292" w:rsidP="0062300D">
      <w:pPr>
        <w:spacing w:before="120" w:after="120" w:line="280" w:lineRule="exact"/>
        <w:rPr>
          <w:rFonts w:asciiTheme="majorHAnsi" w:hAnsiTheme="majorHAnsi" w:cstheme="majorHAnsi"/>
          <w:sz w:val="22"/>
          <w:szCs w:val="22"/>
        </w:rPr>
      </w:pPr>
      <w:r w:rsidRPr="002C5292">
        <w:rPr>
          <w:rFonts w:asciiTheme="majorHAnsi" w:eastAsia="MS Gothic" w:hAnsiTheme="majorHAnsi"/>
          <w:b/>
          <w:bCs/>
          <w:noProof/>
          <w:color w:val="53565A"/>
        </w:rPr>
        <w:drawing>
          <wp:anchor distT="0" distB="0" distL="114300" distR="114300" simplePos="0" relativeHeight="251662336" behindDoc="0" locked="0" layoutInCell="1" allowOverlap="1" wp14:anchorId="2B95443C" wp14:editId="2C5598B0">
            <wp:simplePos x="0" y="0"/>
            <wp:positionH relativeFrom="column">
              <wp:posOffset>74930</wp:posOffset>
            </wp:positionH>
            <wp:positionV relativeFrom="paragraph">
              <wp:posOffset>360045</wp:posOffset>
            </wp:positionV>
            <wp:extent cx="6405880" cy="2510790"/>
            <wp:effectExtent l="0" t="0" r="0" b="3810"/>
            <wp:wrapTopAndBottom/>
            <wp:docPr id="8" name="Picture 8"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5"/>
                    <a:stretch>
                      <a:fillRect/>
                    </a:stretch>
                  </pic:blipFill>
                  <pic:spPr>
                    <a:xfrm>
                      <a:off x="0" y="0"/>
                      <a:ext cx="6405880" cy="2510790"/>
                    </a:xfrm>
                    <a:prstGeom prst="rect">
                      <a:avLst/>
                    </a:prstGeom>
                  </pic:spPr>
                </pic:pic>
              </a:graphicData>
            </a:graphic>
            <wp14:sizeRelH relativeFrom="margin">
              <wp14:pctWidth>0</wp14:pctWidth>
            </wp14:sizeRelH>
          </wp:anchor>
        </w:drawing>
      </w:r>
      <w:r w:rsidR="00C13F92" w:rsidRPr="002C5292">
        <w:rPr>
          <w:rFonts w:asciiTheme="majorHAnsi" w:eastAsia="MS Gothic" w:hAnsiTheme="majorHAnsi"/>
          <w:b/>
          <w:bCs/>
          <w:color w:val="53565A"/>
        </w:rPr>
        <w:t>Figure - Legislative Instruments scrutinised by SARC 2015 – 2019</w:t>
      </w:r>
    </w:p>
    <w:p w14:paraId="2DEFCAA8" w14:textId="28712ABE" w:rsidR="00C50996" w:rsidRPr="002C5292" w:rsidRDefault="00CB5154" w:rsidP="000C4A15">
      <w:pPr>
        <w:pStyle w:val="DPCbodytext"/>
      </w:pPr>
      <w:r w:rsidRPr="002C5292">
        <w:t>(</w:t>
      </w:r>
      <w:r w:rsidR="00C50996" w:rsidRPr="002C5292">
        <w:t xml:space="preserve">Source </w:t>
      </w:r>
      <w:r w:rsidR="0004070B" w:rsidRPr="002C5292">
        <w:t>–</w:t>
      </w:r>
      <w:r w:rsidR="00C50996" w:rsidRPr="002C5292">
        <w:t xml:space="preserve"> </w:t>
      </w:r>
      <w:r w:rsidR="0004070B" w:rsidRPr="002C5292">
        <w:t xml:space="preserve">SARC </w:t>
      </w:r>
      <w:r w:rsidR="00C50996" w:rsidRPr="002C5292">
        <w:t>Annual Review 2019, Regulations and Legislative Instruments, page 17</w:t>
      </w:r>
      <w:r w:rsidRPr="002C5292">
        <w:t>)</w:t>
      </w:r>
    </w:p>
    <w:p w14:paraId="03576856" w14:textId="6DE80C87" w:rsidR="00B834AF" w:rsidRPr="002C5292" w:rsidRDefault="00B834AF" w:rsidP="00B834AF">
      <w:pPr>
        <w:spacing w:before="120" w:after="120" w:line="280" w:lineRule="exact"/>
        <w:rPr>
          <w:rFonts w:ascii="Arial" w:eastAsia="Arial" w:hAnsi="Arial"/>
          <w:sz w:val="22"/>
          <w:szCs w:val="22"/>
          <w:lang w:eastAsia="en-AU"/>
        </w:rPr>
      </w:pPr>
      <w:r w:rsidRPr="002C5292">
        <w:rPr>
          <w:rFonts w:ascii="Arial" w:eastAsia="Arial" w:hAnsi="Arial"/>
          <w:sz w:val="22"/>
          <w:szCs w:val="22"/>
          <w:lang w:eastAsia="en-AU"/>
        </w:rPr>
        <w:t xml:space="preserve">There is also a burden on all instrument-makers to ensure that any legislative instruments for which they are responsible comply with the requirements in the SLA. This will involve ongoing monitoring to determine which instruments are legislative instruments and therefore subject to the SLA. Where an instrument-maker is unable to determine if a particular instrument is subject to the SLA requirements, legal advice may be required. In these circumstances, it may also be necessary to brief within the relevant department or agency and/or brief a Minister. The cost impact of this cannot be </w:t>
      </w:r>
      <w:r w:rsidR="00D203F5" w:rsidRPr="002C5292">
        <w:rPr>
          <w:rFonts w:ascii="Arial" w:eastAsia="Arial" w:hAnsi="Arial"/>
          <w:sz w:val="22"/>
          <w:szCs w:val="22"/>
          <w:lang w:eastAsia="en-AU"/>
        </w:rPr>
        <w:t>readily estimated due to the lack of data</w:t>
      </w:r>
      <w:r w:rsidRPr="002C5292">
        <w:rPr>
          <w:rFonts w:ascii="Arial" w:eastAsia="Arial" w:hAnsi="Arial"/>
          <w:sz w:val="22"/>
          <w:szCs w:val="22"/>
          <w:lang w:eastAsia="en-AU"/>
        </w:rPr>
        <w:t xml:space="preserve">, as it would become one of the departments’ ‘business as usual’ activities and the demand on resources for that particular activity is not able to be </w:t>
      </w:r>
      <w:r w:rsidR="00475C1D" w:rsidRPr="002C5292">
        <w:rPr>
          <w:rFonts w:ascii="Arial" w:eastAsia="Arial" w:hAnsi="Arial"/>
          <w:sz w:val="22"/>
          <w:szCs w:val="22"/>
          <w:lang w:eastAsia="en-AU"/>
        </w:rPr>
        <w:t xml:space="preserve">accurately </w:t>
      </w:r>
      <w:r w:rsidRPr="002C5292">
        <w:rPr>
          <w:rFonts w:ascii="Arial" w:eastAsia="Arial" w:hAnsi="Arial"/>
          <w:sz w:val="22"/>
          <w:szCs w:val="22"/>
          <w:lang w:eastAsia="en-AU"/>
        </w:rPr>
        <w:t>estimated.</w:t>
      </w:r>
    </w:p>
    <w:p w14:paraId="4B4A67B5" w14:textId="4F828FA0" w:rsidR="00B834AF" w:rsidRPr="002C5292" w:rsidRDefault="00AF5703" w:rsidP="000C4A15">
      <w:pPr>
        <w:pStyle w:val="DPCbodytext"/>
      </w:pPr>
      <w:r w:rsidRPr="002C5292">
        <w:t>An undesired outcome of t</w:t>
      </w:r>
      <w:r w:rsidR="008358D5" w:rsidRPr="002C5292">
        <w:t xml:space="preserve">he base case (no regulation) </w:t>
      </w:r>
      <w:r w:rsidRPr="002C5292">
        <w:t>is the</w:t>
      </w:r>
      <w:r w:rsidR="008358D5" w:rsidRPr="002C5292">
        <w:t xml:space="preserve"> </w:t>
      </w:r>
      <w:r w:rsidR="00B834AF" w:rsidRPr="002C5292">
        <w:t xml:space="preserve">greater uncertainty </w:t>
      </w:r>
      <w:r w:rsidR="004A4708" w:rsidRPr="002C5292">
        <w:t xml:space="preserve">for instrument makers </w:t>
      </w:r>
      <w:r w:rsidR="00B834AF" w:rsidRPr="002C5292">
        <w:t>about whether particular instruments are subject to the SLA</w:t>
      </w:r>
      <w:r w:rsidR="00214146" w:rsidRPr="002C5292">
        <w:t xml:space="preserve"> </w:t>
      </w:r>
      <w:r w:rsidRPr="002C5292">
        <w:t>especially those instruments that have factors that appear to be both administrative and legislative in nature</w:t>
      </w:r>
      <w:r w:rsidR="00B834AF" w:rsidRPr="002C5292">
        <w:t xml:space="preserve">. Instrument-makers may incur costs in complying with the SLA (e.g. costs to prepare a RIS and undertake consultation) where </w:t>
      </w:r>
      <w:r w:rsidR="008D432A" w:rsidRPr="002C5292">
        <w:t xml:space="preserve">a RIS </w:t>
      </w:r>
      <w:r w:rsidR="00B834AF" w:rsidRPr="002C5292">
        <w:t>would not otherwise be required, or may fail to comply w</w:t>
      </w:r>
      <w:r w:rsidR="006F1B93" w:rsidRPr="002C5292">
        <w:t>ith</w:t>
      </w:r>
      <w:r w:rsidR="00B834AF" w:rsidRPr="002C5292">
        <w:t xml:space="preserve"> the SLA requirements</w:t>
      </w:r>
      <w:r w:rsidRPr="002C5292">
        <w:t xml:space="preserve"> which may result in the public challenging the validity of those instruments.</w:t>
      </w:r>
      <w:r w:rsidR="00214146" w:rsidRPr="002C5292">
        <w:t xml:space="preserve"> </w:t>
      </w:r>
      <w:r w:rsidR="008358D5" w:rsidRPr="002C5292">
        <w:t xml:space="preserve">The two options work to clarify any confusion about the characterisation of instruments, ensuring that legislative instruments </w:t>
      </w:r>
      <w:r w:rsidRPr="002C5292">
        <w:t xml:space="preserve">included in the Proposed Regulations </w:t>
      </w:r>
      <w:r w:rsidR="008358D5" w:rsidRPr="002C5292">
        <w:t>comply with the applicable</w:t>
      </w:r>
      <w:r w:rsidRPr="002C5292">
        <w:t xml:space="preserve"> and relevant</w:t>
      </w:r>
      <w:r w:rsidR="008358D5" w:rsidRPr="002C5292">
        <w:t xml:space="preserve"> SLA </w:t>
      </w:r>
      <w:r w:rsidRPr="002C5292">
        <w:t>requirements</w:t>
      </w:r>
      <w:r w:rsidR="008358D5" w:rsidRPr="002C5292">
        <w:t xml:space="preserve">. </w:t>
      </w:r>
      <w:r w:rsidRPr="002C5292">
        <w:t>Inclusion of those instruments</w:t>
      </w:r>
      <w:r w:rsidR="008358D5" w:rsidRPr="002C5292">
        <w:t xml:space="preserve"> will avoid legal ambiguity about the characterisation of </w:t>
      </w:r>
      <w:r w:rsidRPr="002C5292">
        <w:t>those</w:t>
      </w:r>
      <w:r w:rsidR="008358D5" w:rsidRPr="002C5292">
        <w:t xml:space="preserve"> instrument</w:t>
      </w:r>
      <w:r w:rsidRPr="002C5292">
        <w:t>s</w:t>
      </w:r>
      <w:r w:rsidR="008358D5" w:rsidRPr="002C5292">
        <w:t>.</w:t>
      </w:r>
    </w:p>
    <w:p w14:paraId="05956DC1" w14:textId="002B05E1" w:rsidR="00CB2C94" w:rsidRPr="002C5292" w:rsidRDefault="00CB2C94" w:rsidP="000E38E2">
      <w:pPr>
        <w:pStyle w:val="Heading3"/>
      </w:pPr>
      <w:bookmarkStart w:id="43" w:name="_Toc70082365"/>
      <w:r w:rsidRPr="002C5292">
        <w:t>Benefits</w:t>
      </w:r>
      <w:r w:rsidR="00DD2F8B" w:rsidRPr="002C5292">
        <w:t xml:space="preserve"> of allowing the </w:t>
      </w:r>
      <w:r w:rsidR="00D926C5" w:rsidRPr="002C5292">
        <w:t>C</w:t>
      </w:r>
      <w:r w:rsidR="00DD2F8B" w:rsidRPr="002C5292">
        <w:t>urrent Regulations to expire</w:t>
      </w:r>
      <w:bookmarkEnd w:id="43"/>
      <w:r w:rsidR="00DD2F8B" w:rsidRPr="002C5292">
        <w:t xml:space="preserve"> </w:t>
      </w:r>
    </w:p>
    <w:p w14:paraId="49B9F83D" w14:textId="14DB94A7" w:rsidR="00E46FC8" w:rsidRPr="002C5292" w:rsidRDefault="00E46FC8" w:rsidP="005E37D5">
      <w:pPr>
        <w:spacing w:before="120" w:after="120" w:line="280" w:lineRule="exact"/>
        <w:rPr>
          <w:rFonts w:asciiTheme="majorHAnsi" w:eastAsia="Arial" w:hAnsiTheme="majorHAnsi" w:cstheme="majorHAnsi"/>
          <w:sz w:val="22"/>
          <w:szCs w:val="22"/>
          <w:lang w:eastAsia="en-AU"/>
        </w:rPr>
      </w:pPr>
      <w:r w:rsidRPr="002C5292">
        <w:rPr>
          <w:rFonts w:asciiTheme="majorHAnsi" w:hAnsiTheme="majorHAnsi" w:cstheme="majorHAnsi"/>
          <w:sz w:val="22"/>
          <w:szCs w:val="22"/>
        </w:rPr>
        <w:t xml:space="preserve">Without the Proposed Regulations (the Base Case), each legislative instrument that is made would either face an exemption certificate process, if it is eligible to be exempt under section 12F of the SLA, or a RIS and associated consultation process. The benefits of this is that all legislative instruments, including those exempt under section 12F, would be required to undergo a human rights assessment, and be published in the Victoria Government Gazette, tabled in Parliament and reviewed by the SARC. These additional steps provide additional scrutiny that would not be provided for legislative instruments that will be prescribed as exempt legislative instruments under Schedule 3 of the Proposed Regulations. </w:t>
      </w:r>
    </w:p>
    <w:p w14:paraId="3986578E" w14:textId="35211309" w:rsidR="00111B80" w:rsidRPr="002C5292" w:rsidRDefault="00111B80" w:rsidP="000C4A15">
      <w:pPr>
        <w:pStyle w:val="DPCbodytext"/>
      </w:pPr>
      <w:r w:rsidRPr="002C5292">
        <w:t xml:space="preserve">Not making the </w:t>
      </w:r>
      <w:r w:rsidR="001020B3" w:rsidRPr="002C5292">
        <w:t>P</w:t>
      </w:r>
      <w:r w:rsidRPr="002C5292">
        <w:t xml:space="preserve">roposed Regulations provides benefits in that </w:t>
      </w:r>
      <w:r w:rsidR="001020B3" w:rsidRPr="002C5292">
        <w:t>all</w:t>
      </w:r>
      <w:r w:rsidRPr="002C5292">
        <w:t xml:space="preserve"> legislative instrument</w:t>
      </w:r>
      <w:r w:rsidR="00096A0D" w:rsidRPr="002C5292">
        <w:t>s</w:t>
      </w:r>
      <w:r w:rsidRPr="002C5292">
        <w:t xml:space="preserve"> will undergo checks to ensure </w:t>
      </w:r>
      <w:r w:rsidR="00096A0D" w:rsidRPr="002C5292">
        <w:t xml:space="preserve">that </w:t>
      </w:r>
      <w:r w:rsidR="001020B3" w:rsidRPr="002C5292">
        <w:t>they are</w:t>
      </w:r>
      <w:r w:rsidRPr="002C5292">
        <w:t xml:space="preserve"> not in contravention of the </w:t>
      </w:r>
      <w:r w:rsidRPr="002C5292">
        <w:rPr>
          <w:i/>
        </w:rPr>
        <w:t>Charter of Human Rights and Responsibilities Act 2006</w:t>
      </w:r>
      <w:r w:rsidR="001F4EC6" w:rsidRPr="002C5292">
        <w:rPr>
          <w:i/>
        </w:rPr>
        <w:t xml:space="preserve"> </w:t>
      </w:r>
      <w:r w:rsidR="001F4EC6" w:rsidRPr="002C5292">
        <w:rPr>
          <w:iCs/>
        </w:rPr>
        <w:t>(Charter)</w:t>
      </w:r>
      <w:r w:rsidRPr="002C5292">
        <w:rPr>
          <w:iCs/>
        </w:rPr>
        <w:t xml:space="preserve">, </w:t>
      </w:r>
      <w:r w:rsidRPr="002C5292">
        <w:t xml:space="preserve">and </w:t>
      </w:r>
      <w:r w:rsidR="001020B3" w:rsidRPr="002C5292">
        <w:t>they</w:t>
      </w:r>
      <w:r w:rsidRPr="002C5292">
        <w:t xml:space="preserve"> will be reviewed by SARC, even if exempted from the RIS and associated consultation process. </w:t>
      </w:r>
      <w:r w:rsidRPr="002C5292">
        <w:rPr>
          <w:rFonts w:cs="Arial"/>
        </w:rPr>
        <w:t>SARC has responsibility for</w:t>
      </w:r>
      <w:r w:rsidRPr="002C5292">
        <w:t xml:space="preserve"> </w:t>
      </w:r>
      <w:r w:rsidRPr="002C5292">
        <w:rPr>
          <w:rFonts w:cs="Arial"/>
        </w:rPr>
        <w:t xml:space="preserve">scrutinising bills and statutory rules introduced into Parliament. SARC can make recommendations to Parliament in relation to </w:t>
      </w:r>
      <w:r w:rsidR="00F04E25" w:rsidRPr="002C5292">
        <w:rPr>
          <w:rFonts w:cs="Arial"/>
        </w:rPr>
        <w:t xml:space="preserve">legislative instruments </w:t>
      </w:r>
      <w:r w:rsidRPr="002C5292">
        <w:rPr>
          <w:rFonts w:cs="Arial"/>
        </w:rPr>
        <w:t>on a very broad range of grounds. Under section</w:t>
      </w:r>
      <w:r w:rsidR="00225670" w:rsidRPr="002C5292">
        <w:rPr>
          <w:rFonts w:cs="Arial"/>
        </w:rPr>
        <w:t> </w:t>
      </w:r>
      <w:r w:rsidRPr="002C5292">
        <w:rPr>
          <w:rFonts w:cs="Arial"/>
        </w:rPr>
        <w:t xml:space="preserve">25A of the SLA, </w:t>
      </w:r>
      <w:r w:rsidRPr="002C5292">
        <w:t>SARC can report a legislative instrument to Parliament if it:</w:t>
      </w:r>
    </w:p>
    <w:p w14:paraId="71D9B049" w14:textId="77777777" w:rsidR="00111B80" w:rsidRPr="002C5292" w:rsidRDefault="00111B80" w:rsidP="000C4A15">
      <w:pPr>
        <w:pStyle w:val="DPCbodytext"/>
        <w:numPr>
          <w:ilvl w:val="0"/>
          <w:numId w:val="70"/>
        </w:numPr>
      </w:pPr>
      <w:r w:rsidRPr="002C5292">
        <w:t>does not appear to be within the powers conferred to the instrument-maker under the authorising Act;</w:t>
      </w:r>
    </w:p>
    <w:p w14:paraId="474CC838" w14:textId="79B987C0" w:rsidR="00111B80" w:rsidRPr="002C5292" w:rsidRDefault="00111B80" w:rsidP="000C4A15">
      <w:pPr>
        <w:pStyle w:val="DPCbodytext"/>
        <w:numPr>
          <w:ilvl w:val="0"/>
          <w:numId w:val="70"/>
        </w:numPr>
      </w:pPr>
      <w:r w:rsidRPr="002C5292">
        <w:t>is made without clear and express authority, has a retrospective effect; imposes any tax, fee, fine, imprisonment or other penalty; purports to shift the legal burden of proof to a person accused of an offence; or, provides for the sub</w:t>
      </w:r>
      <w:r w:rsidR="00FD43DD" w:rsidRPr="002C5292">
        <w:t>-</w:t>
      </w:r>
      <w:r w:rsidRPr="002C5292">
        <w:t>delegation of powers delegated by the authorising Act or statutory rule;</w:t>
      </w:r>
    </w:p>
    <w:p w14:paraId="67A9F52B" w14:textId="77777777" w:rsidR="00111B80" w:rsidRPr="002C5292" w:rsidRDefault="00111B80" w:rsidP="000C4A15">
      <w:pPr>
        <w:pStyle w:val="DPCbodytext"/>
        <w:numPr>
          <w:ilvl w:val="0"/>
          <w:numId w:val="70"/>
        </w:numPr>
      </w:pPr>
      <w:r w:rsidRPr="002C5292">
        <w:t>is incompatible with the human rights set out in the Charter of Human Rights and Responsibilities; or</w:t>
      </w:r>
    </w:p>
    <w:p w14:paraId="7E2F50E1" w14:textId="77777777" w:rsidR="00111B80" w:rsidRPr="002C5292" w:rsidRDefault="00111B80" w:rsidP="000C4A15">
      <w:pPr>
        <w:pStyle w:val="DPCbodytext"/>
        <w:numPr>
          <w:ilvl w:val="0"/>
          <w:numId w:val="70"/>
        </w:numPr>
      </w:pPr>
      <w:r w:rsidRPr="002C5292">
        <w:t>has been prepared in contravention of any of the provisions of the SLA or guidelines with respect to legislative instruments.</w:t>
      </w:r>
    </w:p>
    <w:p w14:paraId="783EB4E8" w14:textId="0EF34807" w:rsidR="00111B80" w:rsidRPr="002C5292" w:rsidRDefault="00111B80" w:rsidP="005E37D5">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SARC can make any recommendations it sees as appropriate, including a recommendation that the legislative instrument be disallowed in whole or in part. However, only Parliament can actually disallow a legislative instrument, and it may choose not to</w:t>
      </w:r>
      <w:r w:rsidR="001020B3" w:rsidRPr="002C5292">
        <w:rPr>
          <w:rFonts w:asciiTheme="majorHAnsi" w:hAnsiTheme="majorHAnsi" w:cstheme="majorHAnsi"/>
          <w:sz w:val="22"/>
          <w:szCs w:val="22"/>
        </w:rPr>
        <w:t xml:space="preserve"> do so</w:t>
      </w:r>
      <w:r w:rsidRPr="002C5292">
        <w:rPr>
          <w:rFonts w:asciiTheme="majorHAnsi" w:hAnsiTheme="majorHAnsi" w:cstheme="majorHAnsi"/>
          <w:sz w:val="22"/>
          <w:szCs w:val="22"/>
        </w:rPr>
        <w:t>, despite any SARC recommendation. SARC can also recommend a legislative instrument is suspended until a decision is reached by Parliament to disallow or amend the legislative instrument (either in whole or in part), or to leave it in place.</w:t>
      </w:r>
    </w:p>
    <w:p w14:paraId="5C7DA310" w14:textId="5E784CC9" w:rsidR="00111B80" w:rsidRPr="002C5292" w:rsidRDefault="00FD43DD" w:rsidP="005E37D5">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This option carries the lowest risk of unintended or unanticipated outcomes</w:t>
      </w:r>
      <w:r w:rsidR="00FF0582" w:rsidRPr="002C5292">
        <w:rPr>
          <w:rFonts w:asciiTheme="majorHAnsi" w:hAnsiTheme="majorHAnsi" w:cstheme="majorHAnsi"/>
          <w:sz w:val="22"/>
          <w:szCs w:val="22"/>
        </w:rPr>
        <w:t xml:space="preserve"> of Government policy</w:t>
      </w:r>
      <w:r w:rsidRPr="002C5292">
        <w:rPr>
          <w:rFonts w:asciiTheme="majorHAnsi" w:hAnsiTheme="majorHAnsi" w:cstheme="majorHAnsi"/>
          <w:sz w:val="22"/>
          <w:szCs w:val="22"/>
        </w:rPr>
        <w:t>, that is, of a legislative instrument being made that imposes a significant burden without being appropriately scrutinised. This is due to the exemption criteria being assessed against each legislative instrument on a case-by-case basis, where an exemption may apply</w:t>
      </w:r>
      <w:r w:rsidR="00E5426D" w:rsidRPr="002C5292">
        <w:rPr>
          <w:rFonts w:asciiTheme="majorHAnsi" w:hAnsiTheme="majorHAnsi" w:cstheme="majorHAnsi"/>
          <w:sz w:val="22"/>
          <w:szCs w:val="22"/>
        </w:rPr>
        <w:t xml:space="preserve">, and any additional RISs that </w:t>
      </w:r>
      <w:r w:rsidR="00F63CF0" w:rsidRPr="002C5292">
        <w:rPr>
          <w:rFonts w:asciiTheme="majorHAnsi" w:hAnsiTheme="majorHAnsi" w:cstheme="majorHAnsi"/>
          <w:sz w:val="22"/>
          <w:szCs w:val="22"/>
        </w:rPr>
        <w:t>would otherwise not be prepared</w:t>
      </w:r>
      <w:r w:rsidRPr="002C5292">
        <w:rPr>
          <w:rFonts w:asciiTheme="majorHAnsi" w:hAnsiTheme="majorHAnsi" w:cstheme="majorHAnsi"/>
          <w:sz w:val="22"/>
          <w:szCs w:val="22"/>
        </w:rPr>
        <w:t>.</w:t>
      </w:r>
    </w:p>
    <w:p w14:paraId="63649169" w14:textId="51B22DD7" w:rsidR="00FD06C4" w:rsidRPr="002C5292" w:rsidRDefault="00FD06C4" w:rsidP="00CB2C94">
      <w:pPr>
        <w:pStyle w:val="Heading2"/>
      </w:pPr>
      <w:bookmarkStart w:id="44" w:name="_Toc70082366"/>
      <w:r w:rsidRPr="002C5292">
        <w:t>Part 2 Options</w:t>
      </w:r>
      <w:bookmarkEnd w:id="44"/>
    </w:p>
    <w:p w14:paraId="30794A11" w14:textId="6B159EAD" w:rsidR="00CB2C94" w:rsidRPr="002C5292" w:rsidRDefault="00CB01C9" w:rsidP="00CB2C94">
      <w:pPr>
        <w:pStyle w:val="Heading2"/>
      </w:pPr>
      <w:bookmarkStart w:id="45" w:name="_Toc70082367"/>
      <w:r w:rsidRPr="002C5292">
        <w:t xml:space="preserve">Option </w:t>
      </w:r>
      <w:r w:rsidR="00FE24AE" w:rsidRPr="002C5292">
        <w:t>One</w:t>
      </w:r>
      <w:r w:rsidRPr="002C5292">
        <w:t xml:space="preserve"> – </w:t>
      </w:r>
      <w:r w:rsidR="00914B16" w:rsidRPr="002C5292">
        <w:t xml:space="preserve">make the </w:t>
      </w:r>
      <w:r w:rsidR="00095532" w:rsidRPr="002C5292">
        <w:t>Proposed Regulations</w:t>
      </w:r>
      <w:r w:rsidR="00914B16" w:rsidRPr="002C5292">
        <w:t xml:space="preserve"> – which are effectively a </w:t>
      </w:r>
      <w:r w:rsidR="00533A58" w:rsidRPr="002C5292">
        <w:t>re</w:t>
      </w:r>
      <w:r w:rsidR="00623B0F" w:rsidRPr="002C5292">
        <w:t xml:space="preserve">make </w:t>
      </w:r>
      <w:r w:rsidR="00914B16" w:rsidRPr="002C5292">
        <w:t xml:space="preserve">of </w:t>
      </w:r>
      <w:r w:rsidR="00533A58" w:rsidRPr="002C5292">
        <w:t xml:space="preserve">the </w:t>
      </w:r>
      <w:r w:rsidR="00D926C5" w:rsidRPr="002C5292">
        <w:t>C</w:t>
      </w:r>
      <w:r w:rsidR="00533A58" w:rsidRPr="002C5292">
        <w:t xml:space="preserve">urrent </w:t>
      </w:r>
      <w:r w:rsidR="00D926C5" w:rsidRPr="002C5292">
        <w:t>R</w:t>
      </w:r>
      <w:r w:rsidR="00533A58" w:rsidRPr="002C5292">
        <w:t>egulations</w:t>
      </w:r>
      <w:r w:rsidR="00F812BF" w:rsidRPr="002C5292">
        <w:t xml:space="preserve"> with minor modifications</w:t>
      </w:r>
      <w:r w:rsidR="00E1694E" w:rsidRPr="002C5292">
        <w:t xml:space="preserve"> – Preferred Option</w:t>
      </w:r>
      <w:bookmarkEnd w:id="45"/>
    </w:p>
    <w:p w14:paraId="78BA7BB6" w14:textId="3315A650" w:rsidR="004E21B2" w:rsidRPr="002C5292" w:rsidRDefault="00CB2C94" w:rsidP="00DD57ED">
      <w:pPr>
        <w:pStyle w:val="DPCbody"/>
        <w:rPr>
          <w:rFonts w:asciiTheme="majorHAnsi" w:eastAsia="MS Gothic" w:hAnsiTheme="majorHAnsi"/>
          <w:b/>
          <w:bCs/>
          <w:color w:val="53565A"/>
          <w:sz w:val="32"/>
          <w:szCs w:val="32"/>
        </w:rPr>
      </w:pPr>
      <w:r w:rsidRPr="002C5292">
        <w:t xml:space="preserve">Option </w:t>
      </w:r>
      <w:r w:rsidR="00533A58" w:rsidRPr="002C5292">
        <w:t>One</w:t>
      </w:r>
      <w:r w:rsidRPr="002C5292">
        <w:t xml:space="preserve"> </w:t>
      </w:r>
      <w:r w:rsidR="0041669C" w:rsidRPr="002C5292">
        <w:t xml:space="preserve">(the </w:t>
      </w:r>
      <w:r w:rsidR="00095532" w:rsidRPr="002C5292">
        <w:t>Proposed Regulations</w:t>
      </w:r>
      <w:r w:rsidR="0041669C" w:rsidRPr="002C5292">
        <w:t xml:space="preserve">) </w:t>
      </w:r>
      <w:r w:rsidRPr="002C5292">
        <w:t>is</w:t>
      </w:r>
      <w:r w:rsidR="00533A58" w:rsidRPr="002C5292">
        <w:t xml:space="preserve"> </w:t>
      </w:r>
      <w:r w:rsidR="00111B80" w:rsidRPr="002C5292">
        <w:t xml:space="preserve">to </w:t>
      </w:r>
      <w:r w:rsidR="00533A58" w:rsidRPr="002C5292">
        <w:t xml:space="preserve">retain the situation under the </w:t>
      </w:r>
      <w:r w:rsidR="00D926C5" w:rsidRPr="002C5292">
        <w:t>C</w:t>
      </w:r>
      <w:r w:rsidR="00533A58" w:rsidRPr="002C5292">
        <w:t>urrent</w:t>
      </w:r>
      <w:r w:rsidR="00A845B4" w:rsidRPr="002C5292">
        <w:t xml:space="preserve"> Regulations</w:t>
      </w:r>
      <w:r w:rsidR="0041669C" w:rsidRPr="002C5292">
        <w:t xml:space="preserve"> with minor modifications</w:t>
      </w:r>
      <w:r w:rsidR="00111B80" w:rsidRPr="002C5292">
        <w:t xml:space="preserve"> as set out in Attachment B</w:t>
      </w:r>
      <w:r w:rsidR="00533A58" w:rsidRPr="002C5292">
        <w:t xml:space="preserve">. </w:t>
      </w:r>
      <w:r w:rsidR="00FD43DD" w:rsidRPr="002C5292">
        <w:t xml:space="preserve">That is based on the exemption criteria outlined in section 12F of the </w:t>
      </w:r>
      <w:r w:rsidR="00FD43DD" w:rsidRPr="002C5292">
        <w:rPr>
          <w:iCs/>
        </w:rPr>
        <w:t>SLA</w:t>
      </w:r>
      <w:r w:rsidR="00FD43DD" w:rsidRPr="002C5292">
        <w:t xml:space="preserve"> and an additional public interest criterion.</w:t>
      </w:r>
    </w:p>
    <w:p w14:paraId="6441072B" w14:textId="58A97A02" w:rsidR="00FD43DD" w:rsidRPr="002C5292" w:rsidRDefault="00FD43DD" w:rsidP="00FD43DD">
      <w:pPr>
        <w:rPr>
          <w:rFonts w:asciiTheme="majorHAnsi" w:eastAsia="MS Gothic" w:hAnsiTheme="majorHAnsi"/>
          <w:b/>
          <w:bCs/>
          <w:color w:val="53565A"/>
          <w:sz w:val="32"/>
          <w:szCs w:val="32"/>
        </w:rPr>
      </w:pPr>
      <w:r w:rsidRPr="002C5292">
        <w:rPr>
          <w:rFonts w:asciiTheme="majorHAnsi" w:eastAsia="MS Gothic" w:hAnsiTheme="majorHAnsi"/>
          <w:b/>
          <w:bCs/>
          <w:color w:val="53565A"/>
          <w:sz w:val="32"/>
          <w:szCs w:val="32"/>
        </w:rPr>
        <w:t>Exempt legislative instruments</w:t>
      </w:r>
    </w:p>
    <w:p w14:paraId="653E2511" w14:textId="64C5E2C4" w:rsidR="000B07EF" w:rsidRPr="002C5292" w:rsidRDefault="00FD43DD">
      <w:pPr>
        <w:pStyle w:val="DPCbody"/>
      </w:pPr>
      <w:r w:rsidRPr="002C5292">
        <w:t xml:space="preserve">The instruments that are proposed to be exempt from </w:t>
      </w:r>
      <w:r w:rsidR="00F3570D" w:rsidRPr="002C5292">
        <w:t xml:space="preserve">certain requirements of </w:t>
      </w:r>
      <w:r w:rsidRPr="002C5292">
        <w:t xml:space="preserve">the SLA are those which would always or almost always meet at least one of the criteria set out in section 12F of the SLA. In summary, the making of any of these </w:t>
      </w:r>
      <w:r w:rsidR="00A45211" w:rsidRPr="002C5292">
        <w:t xml:space="preserve">exempt </w:t>
      </w:r>
      <w:r w:rsidRPr="002C5292">
        <w:t>instruments</w:t>
      </w:r>
      <w:r w:rsidR="000B07EF" w:rsidRPr="002C5292">
        <w:t>:</w:t>
      </w:r>
    </w:p>
    <w:p w14:paraId="7AC027FD" w14:textId="1131CC39" w:rsidR="000B07EF" w:rsidRPr="002C5292" w:rsidRDefault="00FD43DD" w:rsidP="0006723D">
      <w:pPr>
        <w:pStyle w:val="DPCbody"/>
        <w:numPr>
          <w:ilvl w:val="0"/>
          <w:numId w:val="80"/>
        </w:numPr>
      </w:pPr>
      <w:r w:rsidRPr="002C5292">
        <w:t>is not likely to impose a significant economic or social burden on any sector of the public</w:t>
      </w:r>
      <w:r w:rsidR="000B07EF" w:rsidRPr="002C5292">
        <w:t>;</w:t>
      </w:r>
      <w:r w:rsidR="009B43B8" w:rsidRPr="002C5292">
        <w:t xml:space="preserve"> or</w:t>
      </w:r>
    </w:p>
    <w:p w14:paraId="7CAD9CE8" w14:textId="48999F71" w:rsidR="000B07EF" w:rsidRPr="002C5292" w:rsidRDefault="00BA1573" w:rsidP="006272E2">
      <w:pPr>
        <w:pStyle w:val="DPCbody"/>
        <w:numPr>
          <w:ilvl w:val="0"/>
          <w:numId w:val="80"/>
        </w:numPr>
      </w:pPr>
      <w:r w:rsidRPr="002C5292">
        <w:t xml:space="preserve">will still have </w:t>
      </w:r>
      <w:r w:rsidR="00FD43DD" w:rsidRPr="002C5292">
        <w:t xml:space="preserve">adequate scrutiny </w:t>
      </w:r>
      <w:r w:rsidR="000B07EF" w:rsidRPr="002C5292">
        <w:t>through other processes;</w:t>
      </w:r>
      <w:r w:rsidR="00FD43DD" w:rsidRPr="002C5292">
        <w:t xml:space="preserve"> </w:t>
      </w:r>
      <w:r w:rsidR="009B43B8" w:rsidRPr="002C5292">
        <w:t>or</w:t>
      </w:r>
    </w:p>
    <w:p w14:paraId="0868E713" w14:textId="488681B4" w:rsidR="000B07EF" w:rsidRPr="002C5292" w:rsidRDefault="00FD43DD" w:rsidP="006272E2">
      <w:pPr>
        <w:pStyle w:val="DPCbody"/>
        <w:numPr>
          <w:ilvl w:val="0"/>
          <w:numId w:val="80"/>
        </w:numPr>
      </w:pPr>
      <w:r w:rsidRPr="002C5292">
        <w:t>should be made without the usual provisions of the SLA applying due to public interest</w:t>
      </w:r>
      <w:r w:rsidR="00A45211" w:rsidRPr="002C5292">
        <w:t>; or</w:t>
      </w:r>
      <w:r w:rsidRPr="002C5292">
        <w:t xml:space="preserve"> </w:t>
      </w:r>
    </w:p>
    <w:p w14:paraId="3AA04D62" w14:textId="360703E8" w:rsidR="00A13924" w:rsidRPr="002C5292" w:rsidRDefault="00A45211" w:rsidP="006272E2">
      <w:pPr>
        <w:pStyle w:val="DPCbody"/>
        <w:numPr>
          <w:ilvl w:val="0"/>
          <w:numId w:val="80"/>
        </w:numPr>
      </w:pPr>
      <w:r w:rsidRPr="002C5292">
        <w:t xml:space="preserve">would almost certainly be granted a case-by-case exemption by the responsible Minister under grounds in </w:t>
      </w:r>
      <w:r w:rsidR="00FD43DD" w:rsidRPr="002C5292">
        <w:t xml:space="preserve">section 12F of the SLA. </w:t>
      </w:r>
    </w:p>
    <w:p w14:paraId="68D32B71" w14:textId="4E23487A" w:rsidR="00FD43DD" w:rsidRPr="002C5292" w:rsidRDefault="00FD43DD" w:rsidP="009B43B8">
      <w:pPr>
        <w:pStyle w:val="DPCbody"/>
      </w:pPr>
      <w:r w:rsidRPr="002C5292">
        <w:t>As discussed in the Base Case above, there is a cost to departments in undertaking the section 12F exemption process.</w:t>
      </w:r>
    </w:p>
    <w:p w14:paraId="083688C9" w14:textId="5E7851AC" w:rsidR="00FD43DD" w:rsidRPr="002C5292" w:rsidRDefault="00FD43DD" w:rsidP="009B43B8">
      <w:pPr>
        <w:pStyle w:val="DPCbody"/>
      </w:pPr>
      <w:r w:rsidRPr="002C5292">
        <w:t xml:space="preserve">Legislative instruments that are exempt through </w:t>
      </w:r>
      <w:r w:rsidR="001D7633" w:rsidRPr="002C5292">
        <w:t>the Proposed Regulations</w:t>
      </w:r>
      <w:r w:rsidRPr="002C5292">
        <w:t xml:space="preserve"> will not be required to be tabled in Parliament or examined by SARC. The legislative instrument will be made (by the responsible </w:t>
      </w:r>
      <w:r w:rsidR="001D7633" w:rsidRPr="002C5292">
        <w:t>instrument maker under the authorising Act</w:t>
      </w:r>
      <w:r w:rsidRPr="002C5292">
        <w:t xml:space="preserve">) and published in the Victoria Government Gazette, and will then be in force (other </w:t>
      </w:r>
      <w:r w:rsidR="005A17EB" w:rsidRPr="002C5292">
        <w:t xml:space="preserve">than the instruments in proposed regulations </w:t>
      </w:r>
      <w:r w:rsidR="007B46D2" w:rsidRPr="002C5292">
        <w:t>9</w:t>
      </w:r>
      <w:r w:rsidR="005A17EB" w:rsidRPr="002C5292">
        <w:t xml:space="preserve"> and </w:t>
      </w:r>
      <w:r w:rsidR="007B46D2" w:rsidRPr="002C5292">
        <w:t>10</w:t>
      </w:r>
      <w:r w:rsidR="00225670" w:rsidRPr="002C5292">
        <w:t>)</w:t>
      </w:r>
      <w:r w:rsidRPr="002C5292">
        <w:t>.</w:t>
      </w:r>
    </w:p>
    <w:p w14:paraId="2F2A4EBA" w14:textId="68436853" w:rsidR="00FD43DD" w:rsidRPr="002C5292" w:rsidRDefault="00FD43DD" w:rsidP="009B43B8">
      <w:pPr>
        <w:pStyle w:val="DPCbody"/>
      </w:pPr>
      <w:r w:rsidRPr="002C5292">
        <w:t xml:space="preserve">Two key sets of </w:t>
      </w:r>
      <w:r w:rsidR="005F7CB6" w:rsidRPr="002C5292">
        <w:t xml:space="preserve">provisions to make </w:t>
      </w:r>
      <w:r w:rsidRPr="002C5292">
        <w:t>legislative instruments proposed for exemption, which have been assessed in more detail owing to their nature, are discussed below. The first contains those</w:t>
      </w:r>
      <w:r w:rsidRPr="002C5292" w:rsidDel="00CE1145">
        <w:t xml:space="preserve"> </w:t>
      </w:r>
      <w:r w:rsidR="00CE1145" w:rsidRPr="002C5292">
        <w:t xml:space="preserve">provisions </w:t>
      </w:r>
      <w:r w:rsidRPr="002C5292">
        <w:t>that are more likely to impose a significant burden, but are proposed for exemption because they are part of a national uniform legislation scheme or</w:t>
      </w:r>
      <w:r w:rsidR="0004070B" w:rsidRPr="002C5292">
        <w:t xml:space="preserve"> an</w:t>
      </w:r>
      <w:r w:rsidRPr="002C5292">
        <w:t xml:space="preserve"> equivalent RIS process is required under the instrument’s authorising Act or statutory rule. The second set contains those </w:t>
      </w:r>
      <w:r w:rsidR="00CE1145" w:rsidRPr="002C5292">
        <w:t xml:space="preserve">provisions </w:t>
      </w:r>
      <w:r w:rsidRPr="002C5292">
        <w:t xml:space="preserve">that are being proposed for exemption owing to a range of circumstances that come under the banner of “public interest”. All other </w:t>
      </w:r>
      <w:r w:rsidR="00894C30" w:rsidRPr="002C5292" w:rsidDel="006A250F">
        <w:t xml:space="preserve">provisions </w:t>
      </w:r>
      <w:r w:rsidRPr="002C5292">
        <w:t xml:space="preserve">proposed for </w:t>
      </w:r>
      <w:r w:rsidR="00894C30" w:rsidRPr="002C5292">
        <w:t xml:space="preserve">inclusion in Schedule 3 of the Proposed Regulations </w:t>
      </w:r>
      <w:r w:rsidRPr="002C5292">
        <w:t xml:space="preserve">are included in </w:t>
      </w:r>
      <w:r w:rsidR="00556D2C" w:rsidRPr="002C5292">
        <w:t>A</w:t>
      </w:r>
      <w:r w:rsidRPr="002C5292">
        <w:t xml:space="preserve">ttachment </w:t>
      </w:r>
      <w:r w:rsidR="00556D2C" w:rsidRPr="002C5292">
        <w:t xml:space="preserve">C </w:t>
      </w:r>
      <w:r w:rsidRPr="002C5292">
        <w:t xml:space="preserve">to this RIS, including a brief description for why each is proposed to be </w:t>
      </w:r>
      <w:r w:rsidR="001D7633" w:rsidRPr="002C5292">
        <w:t xml:space="preserve">an </w:t>
      </w:r>
      <w:r w:rsidRPr="002C5292">
        <w:t>exempt</w:t>
      </w:r>
      <w:r w:rsidR="001D7633" w:rsidRPr="002C5292">
        <w:t xml:space="preserve"> legislative instrument</w:t>
      </w:r>
      <w:r w:rsidRPr="002C5292">
        <w:t>.</w:t>
      </w:r>
    </w:p>
    <w:p w14:paraId="33989A65" w14:textId="2539C2E7" w:rsidR="001F4EC6" w:rsidRPr="002C5292" w:rsidRDefault="00FD43DD" w:rsidP="00B778E3">
      <w:pPr>
        <w:pStyle w:val="DPCbody"/>
        <w:rPr>
          <w:rFonts w:asciiTheme="majorHAnsi" w:eastAsia="MS Gothic" w:hAnsiTheme="majorHAnsi"/>
          <w:b/>
          <w:bCs/>
          <w:color w:val="53565A"/>
        </w:rPr>
      </w:pPr>
      <w:r w:rsidRPr="002C5292">
        <w:t xml:space="preserve">Table </w:t>
      </w:r>
      <w:r w:rsidR="0013157F" w:rsidRPr="002C5292">
        <w:t>2</w:t>
      </w:r>
      <w:r w:rsidR="00556D2C" w:rsidRPr="002C5292">
        <w:t xml:space="preserve"> below</w:t>
      </w:r>
      <w:r w:rsidRPr="002C5292">
        <w:t xml:space="preserve"> demonstrates how many </w:t>
      </w:r>
      <w:r w:rsidR="00911F9E" w:rsidRPr="002C5292">
        <w:t xml:space="preserve">provisions </w:t>
      </w:r>
      <w:r w:rsidR="00523F38" w:rsidRPr="002C5292">
        <w:t>in the Proposed Regulations</w:t>
      </w:r>
      <w:r w:rsidRPr="002C5292">
        <w:t xml:space="preserve"> fit under each of the criteria. Given that many </w:t>
      </w:r>
      <w:r w:rsidR="00911F9E" w:rsidRPr="002C5292">
        <w:t xml:space="preserve">provisions </w:t>
      </w:r>
      <w:r w:rsidRPr="002C5292">
        <w:t xml:space="preserve">fall under multiple criteria, the number of </w:t>
      </w:r>
      <w:r w:rsidR="00911F9E" w:rsidRPr="002C5292">
        <w:t xml:space="preserve">provisions </w:t>
      </w:r>
      <w:r w:rsidRPr="002C5292">
        <w:t>listed in the table exceeds the total number of actual instruments.</w:t>
      </w:r>
      <w:r w:rsidR="0013157F" w:rsidRPr="002C5292">
        <w:t xml:space="preserve"> </w:t>
      </w:r>
    </w:p>
    <w:p w14:paraId="15883428" w14:textId="04A7FE39" w:rsidR="00C13F92" w:rsidRPr="002C5292" w:rsidRDefault="00C13F92">
      <w:pPr>
        <w:rPr>
          <w:rFonts w:asciiTheme="majorHAnsi" w:eastAsia="MS Gothic" w:hAnsiTheme="majorHAnsi"/>
          <w:b/>
          <w:bCs/>
          <w:color w:val="53565A"/>
        </w:rPr>
      </w:pPr>
    </w:p>
    <w:p w14:paraId="71DE818C" w14:textId="23E14E5E" w:rsidR="00556D2C" w:rsidRPr="002C5292" w:rsidRDefault="00556D2C" w:rsidP="003F47E4">
      <w:pPr>
        <w:rPr>
          <w:rFonts w:asciiTheme="majorHAnsi" w:eastAsia="MS Gothic" w:hAnsiTheme="majorHAnsi"/>
          <w:b/>
          <w:bCs/>
          <w:color w:val="53565A"/>
        </w:rPr>
      </w:pPr>
      <w:r w:rsidRPr="002C5292">
        <w:rPr>
          <w:rFonts w:asciiTheme="majorHAnsi" w:eastAsia="MS Gothic" w:hAnsiTheme="majorHAnsi"/>
          <w:b/>
          <w:bCs/>
          <w:color w:val="53565A"/>
        </w:rPr>
        <w:t xml:space="preserve">Table </w:t>
      </w:r>
      <w:r w:rsidR="0013157F" w:rsidRPr="002C5292">
        <w:rPr>
          <w:rFonts w:asciiTheme="majorHAnsi" w:eastAsia="MS Gothic" w:hAnsiTheme="majorHAnsi"/>
          <w:b/>
          <w:bCs/>
          <w:color w:val="53565A"/>
        </w:rPr>
        <w:t>2</w:t>
      </w:r>
      <w:r w:rsidR="00CB5154" w:rsidRPr="002C5292">
        <w:rPr>
          <w:rFonts w:asciiTheme="majorHAnsi" w:eastAsia="MS Gothic" w:hAnsiTheme="majorHAnsi"/>
          <w:b/>
          <w:bCs/>
          <w:color w:val="53565A"/>
        </w:rPr>
        <w:t xml:space="preserve"> -</w:t>
      </w:r>
      <w:r w:rsidRPr="002C5292">
        <w:rPr>
          <w:rFonts w:asciiTheme="majorHAnsi" w:eastAsia="MS Gothic" w:hAnsiTheme="majorHAnsi"/>
          <w:b/>
          <w:bCs/>
          <w:color w:val="53565A"/>
        </w:rPr>
        <w:t xml:space="preserve"> Basis for exempting provisions to make</w:t>
      </w:r>
      <w:r w:rsidR="00894C30" w:rsidRPr="002C5292">
        <w:rPr>
          <w:rFonts w:asciiTheme="majorHAnsi" w:eastAsia="MS Gothic" w:hAnsiTheme="majorHAnsi"/>
          <w:b/>
          <w:bCs/>
          <w:color w:val="53565A"/>
        </w:rPr>
        <w:t xml:space="preserve"> legislative</w:t>
      </w:r>
      <w:r w:rsidRPr="002C5292">
        <w:rPr>
          <w:rFonts w:asciiTheme="majorHAnsi" w:eastAsia="MS Gothic" w:hAnsiTheme="majorHAnsi"/>
          <w:b/>
          <w:bCs/>
          <w:color w:val="53565A"/>
        </w:rPr>
        <w:t xml:space="preserve"> instruments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600"/>
      </w:tblGrid>
      <w:tr w:rsidR="00556D2C" w:rsidRPr="002C5292" w14:paraId="7EBB3CA8" w14:textId="77777777" w:rsidTr="00556D2C">
        <w:tc>
          <w:tcPr>
            <w:tcW w:w="5040" w:type="dxa"/>
            <w:shd w:val="clear" w:color="auto" w:fill="auto"/>
          </w:tcPr>
          <w:p w14:paraId="001CD48C" w14:textId="77777777" w:rsidR="00556D2C" w:rsidRPr="002C5292" w:rsidRDefault="00556D2C" w:rsidP="00556D2C">
            <w:pPr>
              <w:spacing w:before="120" w:after="120" w:line="280" w:lineRule="exact"/>
              <w:jc w:val="center"/>
              <w:rPr>
                <w:rFonts w:asciiTheme="minorHAnsi" w:hAnsiTheme="minorHAnsi" w:cstheme="minorHAnsi"/>
                <w:b/>
                <w:bCs/>
              </w:rPr>
            </w:pPr>
            <w:r w:rsidRPr="002C5292">
              <w:rPr>
                <w:rFonts w:asciiTheme="minorHAnsi" w:hAnsiTheme="minorHAnsi" w:cstheme="minorHAnsi"/>
                <w:b/>
                <w:bCs/>
              </w:rPr>
              <w:t>Basis of exemption</w:t>
            </w:r>
          </w:p>
        </w:tc>
        <w:tc>
          <w:tcPr>
            <w:tcW w:w="3600" w:type="dxa"/>
            <w:shd w:val="clear" w:color="auto" w:fill="auto"/>
          </w:tcPr>
          <w:p w14:paraId="6D12A119" w14:textId="3FC7A0B4" w:rsidR="00556D2C" w:rsidRPr="002C5292" w:rsidRDefault="00556D2C" w:rsidP="00556D2C">
            <w:pPr>
              <w:spacing w:before="120" w:after="120" w:line="280" w:lineRule="exact"/>
              <w:jc w:val="center"/>
              <w:rPr>
                <w:rFonts w:asciiTheme="minorHAnsi" w:hAnsiTheme="minorHAnsi" w:cstheme="minorHAnsi"/>
                <w:b/>
                <w:bCs/>
              </w:rPr>
            </w:pPr>
            <w:r w:rsidRPr="002C5292">
              <w:rPr>
                <w:rFonts w:asciiTheme="minorHAnsi" w:hAnsiTheme="minorHAnsi" w:cstheme="minorHAnsi"/>
                <w:b/>
                <w:bCs/>
              </w:rPr>
              <w:t xml:space="preserve">Number of </w:t>
            </w:r>
            <w:r w:rsidR="00F04E25" w:rsidRPr="002C5292">
              <w:rPr>
                <w:rFonts w:asciiTheme="minorHAnsi" w:hAnsiTheme="minorHAnsi" w:cstheme="minorHAnsi"/>
                <w:b/>
                <w:bCs/>
              </w:rPr>
              <w:t>provisions</w:t>
            </w:r>
          </w:p>
        </w:tc>
      </w:tr>
      <w:tr w:rsidR="00556D2C" w:rsidRPr="002C5292" w14:paraId="78694CFD" w14:textId="77777777" w:rsidTr="00556D2C">
        <w:tc>
          <w:tcPr>
            <w:tcW w:w="5040" w:type="dxa"/>
            <w:shd w:val="clear" w:color="auto" w:fill="auto"/>
          </w:tcPr>
          <w:p w14:paraId="7012FBEE" w14:textId="6C78AF61"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No significant burden</w:t>
            </w:r>
            <w:r w:rsidR="00604732" w:rsidRPr="002C5292">
              <w:rPr>
                <w:rFonts w:asciiTheme="minorHAnsi" w:hAnsiTheme="minorHAnsi" w:cstheme="minorHAnsi"/>
              </w:rPr>
              <w:t xml:space="preserve"> (s12F(1)(a))</w:t>
            </w:r>
          </w:p>
        </w:tc>
        <w:tc>
          <w:tcPr>
            <w:tcW w:w="3600" w:type="dxa"/>
            <w:shd w:val="clear" w:color="auto" w:fill="auto"/>
            <w:vAlign w:val="center"/>
          </w:tcPr>
          <w:p w14:paraId="2357BFE4" w14:textId="5AF21E33"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206</w:t>
            </w:r>
          </w:p>
        </w:tc>
      </w:tr>
      <w:tr w:rsidR="00556D2C" w:rsidRPr="002C5292" w14:paraId="69111192" w14:textId="77777777" w:rsidTr="009B43B8">
        <w:tc>
          <w:tcPr>
            <w:tcW w:w="5040" w:type="dxa"/>
            <w:shd w:val="clear" w:color="auto" w:fill="auto"/>
          </w:tcPr>
          <w:p w14:paraId="7ABB8AD4" w14:textId="57399CE4"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Fundamentally declaratory/machinery</w:t>
            </w:r>
            <w:r w:rsidR="00604732" w:rsidRPr="002C5292">
              <w:rPr>
                <w:rFonts w:asciiTheme="minorHAnsi" w:hAnsiTheme="minorHAnsi" w:cstheme="minorHAnsi"/>
              </w:rPr>
              <w:t xml:space="preserve"> (s12F(1)(b))</w:t>
            </w:r>
          </w:p>
        </w:tc>
        <w:tc>
          <w:tcPr>
            <w:tcW w:w="3600" w:type="dxa"/>
            <w:shd w:val="clear" w:color="auto" w:fill="auto"/>
          </w:tcPr>
          <w:p w14:paraId="07C9F037" w14:textId="6F2E2A60"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147</w:t>
            </w:r>
          </w:p>
        </w:tc>
      </w:tr>
      <w:tr w:rsidR="00556D2C" w:rsidRPr="002C5292" w14:paraId="19E2DFE7" w14:textId="77777777" w:rsidTr="009B43B8">
        <w:tc>
          <w:tcPr>
            <w:tcW w:w="5040" w:type="dxa"/>
            <w:shd w:val="clear" w:color="auto" w:fill="auto"/>
          </w:tcPr>
          <w:p w14:paraId="4EDBF298" w14:textId="467CFFDF"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Only increase fees by annual rate approved by the Treasurer</w:t>
            </w:r>
            <w:r w:rsidR="00604732" w:rsidRPr="002C5292">
              <w:rPr>
                <w:rFonts w:asciiTheme="minorHAnsi" w:hAnsiTheme="minorHAnsi" w:cstheme="minorHAnsi"/>
              </w:rPr>
              <w:t xml:space="preserve"> (s12F(1)(c))</w:t>
            </w:r>
          </w:p>
        </w:tc>
        <w:tc>
          <w:tcPr>
            <w:tcW w:w="3600" w:type="dxa"/>
            <w:shd w:val="clear" w:color="auto" w:fill="auto"/>
          </w:tcPr>
          <w:p w14:paraId="66F681EA" w14:textId="2E508D1C" w:rsidR="00556D2C" w:rsidRPr="002C5292" w:rsidRDefault="00AF1D14" w:rsidP="00AF1D14">
            <w:pPr>
              <w:spacing w:before="120" w:after="120" w:line="280" w:lineRule="exact"/>
              <w:jc w:val="center"/>
              <w:rPr>
                <w:rFonts w:asciiTheme="minorHAnsi" w:hAnsiTheme="minorHAnsi" w:cstheme="minorHAnsi"/>
              </w:rPr>
            </w:pPr>
            <w:r w:rsidRPr="002C5292">
              <w:rPr>
                <w:rFonts w:asciiTheme="minorHAnsi" w:hAnsiTheme="minorHAnsi" w:cstheme="minorHAnsi"/>
              </w:rPr>
              <w:t>2</w:t>
            </w:r>
          </w:p>
        </w:tc>
      </w:tr>
      <w:tr w:rsidR="00556D2C" w:rsidRPr="002C5292" w14:paraId="0A483BEE" w14:textId="77777777" w:rsidTr="009B43B8">
        <w:tc>
          <w:tcPr>
            <w:tcW w:w="5040" w:type="dxa"/>
            <w:shd w:val="clear" w:color="auto" w:fill="auto"/>
          </w:tcPr>
          <w:p w14:paraId="2FB457FE" w14:textId="106E2031"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Only imposes burden on a public sector body</w:t>
            </w:r>
            <w:r w:rsidR="00604732" w:rsidRPr="002C5292">
              <w:rPr>
                <w:rFonts w:asciiTheme="minorHAnsi" w:hAnsiTheme="minorHAnsi" w:cstheme="minorHAnsi"/>
              </w:rPr>
              <w:t xml:space="preserve"> (s12F(1)(d))</w:t>
            </w:r>
          </w:p>
        </w:tc>
        <w:tc>
          <w:tcPr>
            <w:tcW w:w="3600" w:type="dxa"/>
            <w:shd w:val="clear" w:color="auto" w:fill="auto"/>
          </w:tcPr>
          <w:p w14:paraId="34A07228" w14:textId="34BCAE0A"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23</w:t>
            </w:r>
          </w:p>
        </w:tc>
      </w:tr>
      <w:tr w:rsidR="00556D2C" w:rsidRPr="002C5292" w14:paraId="0A1ACE05" w14:textId="77777777" w:rsidTr="009B43B8">
        <w:tc>
          <w:tcPr>
            <w:tcW w:w="5040" w:type="dxa"/>
            <w:shd w:val="clear" w:color="auto" w:fill="auto"/>
          </w:tcPr>
          <w:p w14:paraId="102FD34F" w14:textId="36D6ECF1"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 xml:space="preserve">Instrument is made under the </w:t>
            </w:r>
            <w:r w:rsidRPr="002C5292">
              <w:rPr>
                <w:rFonts w:asciiTheme="minorHAnsi" w:hAnsiTheme="minorHAnsi" w:cstheme="minorHAnsi"/>
                <w:i/>
              </w:rPr>
              <w:t>Administrative Arrangements Act 1983</w:t>
            </w:r>
            <w:r w:rsidR="00604732" w:rsidRPr="002C5292">
              <w:rPr>
                <w:rFonts w:asciiTheme="minorHAnsi" w:hAnsiTheme="minorHAnsi" w:cstheme="minorHAnsi"/>
                <w:i/>
              </w:rPr>
              <w:t xml:space="preserve"> </w:t>
            </w:r>
            <w:r w:rsidR="00604732" w:rsidRPr="002C5292">
              <w:rPr>
                <w:rFonts w:asciiTheme="minorHAnsi" w:hAnsiTheme="minorHAnsi" w:cstheme="minorHAnsi"/>
                <w:iCs/>
              </w:rPr>
              <w:t>(s12F(1)(e))</w:t>
            </w:r>
          </w:p>
        </w:tc>
        <w:tc>
          <w:tcPr>
            <w:tcW w:w="3600" w:type="dxa"/>
            <w:shd w:val="clear" w:color="auto" w:fill="auto"/>
          </w:tcPr>
          <w:p w14:paraId="15CA39DF" w14:textId="3ADA89A5"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N/A</w:t>
            </w:r>
          </w:p>
        </w:tc>
      </w:tr>
      <w:tr w:rsidR="00556D2C" w:rsidRPr="002C5292" w14:paraId="3931263E" w14:textId="77777777" w:rsidTr="009B43B8">
        <w:tc>
          <w:tcPr>
            <w:tcW w:w="5040" w:type="dxa"/>
            <w:shd w:val="clear" w:color="auto" w:fill="auto"/>
          </w:tcPr>
          <w:p w14:paraId="415E5D86" w14:textId="4EE68C19"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 xml:space="preserve">National uniform </w:t>
            </w:r>
            <w:r w:rsidR="003310F0" w:rsidRPr="002C5292">
              <w:rPr>
                <w:rFonts w:asciiTheme="minorHAnsi" w:hAnsiTheme="minorHAnsi" w:cstheme="minorHAnsi"/>
              </w:rPr>
              <w:t xml:space="preserve">legislation </w:t>
            </w:r>
            <w:r w:rsidRPr="002C5292">
              <w:rPr>
                <w:rFonts w:asciiTheme="minorHAnsi" w:hAnsiTheme="minorHAnsi" w:cstheme="minorHAnsi"/>
              </w:rPr>
              <w:t>scheme</w:t>
            </w:r>
            <w:r w:rsidR="00604732" w:rsidRPr="002C5292">
              <w:rPr>
                <w:rFonts w:asciiTheme="minorHAnsi" w:hAnsiTheme="minorHAnsi" w:cstheme="minorHAnsi"/>
              </w:rPr>
              <w:t xml:space="preserve"> </w:t>
            </w:r>
            <w:r w:rsidR="00604732" w:rsidRPr="002C5292">
              <w:rPr>
                <w:rFonts w:asciiTheme="minorHAnsi" w:hAnsiTheme="minorHAnsi" w:cstheme="minorHAnsi"/>
                <w:iCs/>
              </w:rPr>
              <w:t>(s12F(1)(f))</w:t>
            </w:r>
          </w:p>
        </w:tc>
        <w:tc>
          <w:tcPr>
            <w:tcW w:w="3600" w:type="dxa"/>
            <w:shd w:val="clear" w:color="auto" w:fill="auto"/>
          </w:tcPr>
          <w:p w14:paraId="5C36B100" w14:textId="507495C8"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3</w:t>
            </w:r>
          </w:p>
        </w:tc>
      </w:tr>
      <w:tr w:rsidR="00556D2C" w:rsidRPr="002C5292" w14:paraId="574D742D" w14:textId="77777777" w:rsidTr="009B43B8">
        <w:tc>
          <w:tcPr>
            <w:tcW w:w="5040" w:type="dxa"/>
            <w:shd w:val="clear" w:color="auto" w:fill="auto"/>
          </w:tcPr>
          <w:p w14:paraId="2D94D8D0" w14:textId="109C59DD"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RIS equivalen</w:t>
            </w:r>
            <w:r w:rsidR="00894C30" w:rsidRPr="002C5292">
              <w:rPr>
                <w:rFonts w:asciiTheme="minorHAnsi" w:hAnsiTheme="minorHAnsi" w:cstheme="minorHAnsi"/>
              </w:rPr>
              <w:t>cy</w:t>
            </w:r>
            <w:r w:rsidR="00604732" w:rsidRPr="002C5292">
              <w:rPr>
                <w:rFonts w:asciiTheme="minorHAnsi" w:hAnsiTheme="minorHAnsi" w:cstheme="minorHAnsi"/>
              </w:rPr>
              <w:t xml:space="preserve"> </w:t>
            </w:r>
            <w:r w:rsidR="00604732" w:rsidRPr="002C5292">
              <w:rPr>
                <w:rFonts w:asciiTheme="minorHAnsi" w:hAnsiTheme="minorHAnsi" w:cstheme="minorHAnsi"/>
                <w:iCs/>
              </w:rPr>
              <w:t>(s12F(1)(g))</w:t>
            </w:r>
          </w:p>
        </w:tc>
        <w:tc>
          <w:tcPr>
            <w:tcW w:w="3600" w:type="dxa"/>
            <w:shd w:val="clear" w:color="auto" w:fill="auto"/>
          </w:tcPr>
          <w:p w14:paraId="424E778F" w14:textId="1E8F4BBC"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8</w:t>
            </w:r>
            <w:r w:rsidR="00C73056" w:rsidRPr="002C5292">
              <w:rPr>
                <w:rFonts w:asciiTheme="minorHAnsi" w:hAnsiTheme="minorHAnsi" w:cstheme="minorHAnsi"/>
              </w:rPr>
              <w:t>4</w:t>
            </w:r>
          </w:p>
        </w:tc>
      </w:tr>
      <w:tr w:rsidR="00556D2C" w:rsidRPr="002C5292" w14:paraId="5A3B8201" w14:textId="77777777" w:rsidTr="009B43B8">
        <w:tc>
          <w:tcPr>
            <w:tcW w:w="5040" w:type="dxa"/>
            <w:shd w:val="clear" w:color="auto" w:fill="auto"/>
          </w:tcPr>
          <w:p w14:paraId="516ECA46" w14:textId="257A2D77"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 xml:space="preserve">Urgent </w:t>
            </w:r>
            <w:r w:rsidR="003310F0" w:rsidRPr="002C5292">
              <w:rPr>
                <w:rFonts w:asciiTheme="minorHAnsi" w:hAnsiTheme="minorHAnsi" w:cstheme="minorHAnsi"/>
              </w:rPr>
              <w:t xml:space="preserve">public emergency, </w:t>
            </w:r>
            <w:r w:rsidRPr="002C5292">
              <w:rPr>
                <w:rFonts w:asciiTheme="minorHAnsi" w:hAnsiTheme="minorHAnsi" w:cstheme="minorHAnsi"/>
              </w:rPr>
              <w:t>public safety</w:t>
            </w:r>
            <w:r w:rsidR="003310F0" w:rsidRPr="002C5292">
              <w:rPr>
                <w:rFonts w:asciiTheme="minorHAnsi" w:hAnsiTheme="minorHAnsi" w:cstheme="minorHAnsi"/>
              </w:rPr>
              <w:t xml:space="preserve"> or </w:t>
            </w:r>
            <w:r w:rsidRPr="002C5292">
              <w:rPr>
                <w:rFonts w:asciiTheme="minorHAnsi" w:hAnsiTheme="minorHAnsi" w:cstheme="minorHAnsi"/>
              </w:rPr>
              <w:t>environmental issue</w:t>
            </w:r>
            <w:r w:rsidR="003310F0" w:rsidRPr="002C5292">
              <w:rPr>
                <w:rFonts w:asciiTheme="minorHAnsi" w:hAnsiTheme="minorHAnsi" w:cstheme="minorHAnsi"/>
              </w:rPr>
              <w:t xml:space="preserve"> – instrument not more than 12 months </w:t>
            </w:r>
            <w:r w:rsidR="0086283E" w:rsidRPr="002C5292">
              <w:rPr>
                <w:rFonts w:asciiTheme="minorHAnsi" w:hAnsiTheme="minorHAnsi" w:cstheme="minorHAnsi"/>
              </w:rPr>
              <w:t>duration</w:t>
            </w:r>
            <w:r w:rsidR="00604732" w:rsidRPr="002C5292">
              <w:rPr>
                <w:rFonts w:asciiTheme="minorHAnsi" w:hAnsiTheme="minorHAnsi" w:cstheme="minorHAnsi"/>
              </w:rPr>
              <w:t xml:space="preserve"> </w:t>
            </w:r>
            <w:r w:rsidR="00604732" w:rsidRPr="002C5292">
              <w:rPr>
                <w:rFonts w:asciiTheme="minorHAnsi" w:hAnsiTheme="minorHAnsi" w:cstheme="minorHAnsi"/>
                <w:iCs/>
              </w:rPr>
              <w:t>(s12F(1)(h))</w:t>
            </w:r>
          </w:p>
        </w:tc>
        <w:tc>
          <w:tcPr>
            <w:tcW w:w="3600" w:type="dxa"/>
            <w:shd w:val="clear" w:color="auto" w:fill="auto"/>
          </w:tcPr>
          <w:p w14:paraId="2252B6CC" w14:textId="03A3000C"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79</w:t>
            </w:r>
          </w:p>
        </w:tc>
      </w:tr>
      <w:tr w:rsidR="003310F0" w:rsidRPr="002C5292" w14:paraId="2AAA55A7" w14:textId="77777777" w:rsidTr="009B43B8">
        <w:tc>
          <w:tcPr>
            <w:tcW w:w="5040" w:type="dxa"/>
            <w:shd w:val="clear" w:color="auto" w:fill="auto"/>
          </w:tcPr>
          <w:p w14:paraId="73A1E533" w14:textId="11F1728A" w:rsidR="003310F0" w:rsidRPr="002C5292" w:rsidRDefault="003310F0" w:rsidP="00556D2C">
            <w:pPr>
              <w:spacing w:before="120" w:after="120" w:line="280" w:lineRule="exact"/>
              <w:rPr>
                <w:rFonts w:asciiTheme="minorHAnsi" w:hAnsiTheme="minorHAnsi" w:cstheme="minorHAnsi"/>
              </w:rPr>
            </w:pPr>
            <w:r w:rsidRPr="002C5292">
              <w:rPr>
                <w:rFonts w:asciiTheme="minorHAnsi" w:hAnsiTheme="minorHAnsi" w:cstheme="minorHAnsi"/>
              </w:rPr>
              <w:t>Administration or procedures within or as between departments</w:t>
            </w:r>
            <w:r w:rsidRPr="002C5292">
              <w:rPr>
                <w:rFonts w:asciiTheme="minorHAnsi" w:hAnsiTheme="minorHAnsi" w:cstheme="minorHAnsi"/>
                <w:iCs/>
              </w:rPr>
              <w:t xml:space="preserve"> (s12F(1)(i))</w:t>
            </w:r>
          </w:p>
        </w:tc>
        <w:tc>
          <w:tcPr>
            <w:tcW w:w="3600" w:type="dxa"/>
            <w:shd w:val="clear" w:color="auto" w:fill="auto"/>
          </w:tcPr>
          <w:p w14:paraId="24E2C4F3" w14:textId="2329B2E0" w:rsidR="003310F0"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N/A</w:t>
            </w:r>
          </w:p>
        </w:tc>
      </w:tr>
      <w:tr w:rsidR="003310F0" w:rsidRPr="002C5292" w14:paraId="2A7347EE" w14:textId="77777777" w:rsidTr="009B43B8">
        <w:tc>
          <w:tcPr>
            <w:tcW w:w="5040" w:type="dxa"/>
            <w:shd w:val="clear" w:color="auto" w:fill="auto"/>
          </w:tcPr>
          <w:p w14:paraId="0048509E" w14:textId="7F3E4970" w:rsidR="003310F0" w:rsidRPr="002C5292" w:rsidRDefault="003310F0" w:rsidP="00556D2C">
            <w:pPr>
              <w:spacing w:before="120" w:after="120" w:line="280" w:lineRule="exact"/>
              <w:rPr>
                <w:rFonts w:asciiTheme="minorHAnsi" w:hAnsiTheme="minorHAnsi" w:cstheme="minorHAnsi"/>
              </w:rPr>
            </w:pPr>
            <w:r w:rsidRPr="002C5292">
              <w:rPr>
                <w:rFonts w:asciiTheme="minorHAnsi" w:hAnsiTheme="minorHAnsi" w:cstheme="minorHAnsi"/>
              </w:rPr>
              <w:t>Render the proposed legislative instrument ineffective or would unfairly advantage or disadvantage any person likely to be affected (s12F(1)(j))</w:t>
            </w:r>
          </w:p>
        </w:tc>
        <w:tc>
          <w:tcPr>
            <w:tcW w:w="3600" w:type="dxa"/>
            <w:shd w:val="clear" w:color="auto" w:fill="auto"/>
          </w:tcPr>
          <w:p w14:paraId="71497751" w14:textId="51C58803" w:rsidR="003310F0"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21</w:t>
            </w:r>
          </w:p>
        </w:tc>
      </w:tr>
      <w:tr w:rsidR="003310F0" w:rsidRPr="002C5292" w14:paraId="33041BBB" w14:textId="77777777" w:rsidTr="009B43B8">
        <w:tc>
          <w:tcPr>
            <w:tcW w:w="5040" w:type="dxa"/>
            <w:shd w:val="clear" w:color="auto" w:fill="auto"/>
          </w:tcPr>
          <w:p w14:paraId="5795B622" w14:textId="3364B633" w:rsidR="003310F0" w:rsidRPr="002C5292" w:rsidRDefault="003310F0" w:rsidP="00556D2C">
            <w:pPr>
              <w:spacing w:before="120" w:after="120" w:line="280" w:lineRule="exact"/>
              <w:rPr>
                <w:rFonts w:asciiTheme="minorHAnsi" w:hAnsiTheme="minorHAnsi" w:cstheme="minorHAnsi"/>
              </w:rPr>
            </w:pPr>
            <w:r w:rsidRPr="002C5292">
              <w:rPr>
                <w:rFonts w:asciiTheme="minorHAnsi" w:hAnsiTheme="minorHAnsi" w:cstheme="minorHAnsi"/>
              </w:rPr>
              <w:t>Made under statutory rule whose RIS has adequately considered impacts of the legislative instrument (s12F(1)(k))</w:t>
            </w:r>
          </w:p>
        </w:tc>
        <w:tc>
          <w:tcPr>
            <w:tcW w:w="3600" w:type="dxa"/>
            <w:shd w:val="clear" w:color="auto" w:fill="auto"/>
          </w:tcPr>
          <w:p w14:paraId="2579216D" w14:textId="0BCF0C87" w:rsidR="003310F0"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N/A</w:t>
            </w:r>
          </w:p>
        </w:tc>
      </w:tr>
      <w:tr w:rsidR="00556D2C" w:rsidRPr="002C5292" w14:paraId="56CC8FDA" w14:textId="77777777" w:rsidTr="009B43B8">
        <w:tc>
          <w:tcPr>
            <w:tcW w:w="5040" w:type="dxa"/>
            <w:shd w:val="clear" w:color="auto" w:fill="auto"/>
          </w:tcPr>
          <w:p w14:paraId="37F74EA9" w14:textId="6EBCE142"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Overriding public interest</w:t>
            </w:r>
            <w:r w:rsidR="00604732" w:rsidRPr="002C5292">
              <w:rPr>
                <w:rFonts w:asciiTheme="minorHAnsi" w:hAnsiTheme="minorHAnsi" w:cstheme="minorHAnsi"/>
              </w:rPr>
              <w:t xml:space="preserve"> </w:t>
            </w:r>
          </w:p>
        </w:tc>
        <w:tc>
          <w:tcPr>
            <w:tcW w:w="3600" w:type="dxa"/>
            <w:shd w:val="clear" w:color="auto" w:fill="auto"/>
          </w:tcPr>
          <w:p w14:paraId="25916B42" w14:textId="27F7416B" w:rsidR="00556D2C" w:rsidRPr="002C5292" w:rsidRDefault="00AF1D14" w:rsidP="00556D2C">
            <w:pPr>
              <w:spacing w:before="120" w:after="120" w:line="280" w:lineRule="exact"/>
              <w:jc w:val="center"/>
              <w:rPr>
                <w:rFonts w:asciiTheme="minorHAnsi" w:hAnsiTheme="minorHAnsi" w:cstheme="minorHAnsi"/>
              </w:rPr>
            </w:pPr>
            <w:r w:rsidRPr="002C5292">
              <w:rPr>
                <w:rFonts w:asciiTheme="minorHAnsi" w:hAnsiTheme="minorHAnsi" w:cstheme="minorHAnsi"/>
              </w:rPr>
              <w:t>89</w:t>
            </w:r>
          </w:p>
        </w:tc>
      </w:tr>
    </w:tbl>
    <w:p w14:paraId="42DAF049" w14:textId="2E6F4945" w:rsidR="00FD43DD" w:rsidRPr="002C5292" w:rsidRDefault="00FD43DD" w:rsidP="00A845B4">
      <w:pPr>
        <w:pStyle w:val="DPCbody"/>
      </w:pPr>
    </w:p>
    <w:p w14:paraId="650D769C" w14:textId="36000A34" w:rsidR="0013157F" w:rsidRPr="002C5292" w:rsidRDefault="0013157F" w:rsidP="0013157F">
      <w:pPr>
        <w:pStyle w:val="DPCbody"/>
      </w:pPr>
      <w:r w:rsidRPr="002C5292">
        <w:t xml:space="preserve">A small number of </w:t>
      </w:r>
      <w:r w:rsidR="00AA25C1" w:rsidRPr="002C5292">
        <w:t xml:space="preserve">provisions to make </w:t>
      </w:r>
      <w:r w:rsidRPr="002C5292">
        <w:t xml:space="preserve">legislative instruments are being prescribed to be </w:t>
      </w:r>
      <w:r w:rsidR="00AA25C1" w:rsidRPr="002C5292">
        <w:t xml:space="preserve">automatically </w:t>
      </w:r>
      <w:r w:rsidRPr="002C5292">
        <w:t>exempt if the legislative instrument has a duration of not more than 12 months.</w:t>
      </w:r>
      <w:r w:rsidRPr="002C5292">
        <w:rPr>
          <w:rStyle w:val="FootnoteReference"/>
          <w:rFonts w:ascii="Times New Roman" w:eastAsia="Times New Roman" w:hAnsi="Times New Roman" w:cs="Times New Roman"/>
          <w:b/>
          <w:color w:val="auto"/>
          <w:sz w:val="24"/>
          <w:szCs w:val="24"/>
        </w:rPr>
        <w:footnoteReference w:id="15"/>
      </w:r>
      <w:r w:rsidRPr="002C5292">
        <w:rPr>
          <w:rStyle w:val="FootnoteReference"/>
          <w:rFonts w:ascii="Times New Roman" w:eastAsia="Times New Roman" w:hAnsi="Times New Roman" w:cs="Times New Roman"/>
          <w:b/>
          <w:color w:val="auto"/>
          <w:sz w:val="24"/>
          <w:szCs w:val="24"/>
        </w:rPr>
        <w:t xml:space="preserve">. </w:t>
      </w:r>
      <w:r w:rsidRPr="002C5292">
        <w:t xml:space="preserve">Table 3 below lists those exempt </w:t>
      </w:r>
      <w:r w:rsidR="00AA25C1" w:rsidRPr="002C5292">
        <w:t>provisions</w:t>
      </w:r>
      <w:r w:rsidRPr="002C5292">
        <w:t>.</w:t>
      </w:r>
    </w:p>
    <w:p w14:paraId="7CCBD78A" w14:textId="3BD081EF" w:rsidR="00C13F92" w:rsidRPr="002C5292" w:rsidRDefault="00C13F92">
      <w:pPr>
        <w:rPr>
          <w:rFonts w:asciiTheme="majorHAnsi" w:eastAsia="MS Gothic" w:hAnsiTheme="majorHAnsi"/>
          <w:b/>
          <w:bCs/>
          <w:color w:val="53565A"/>
        </w:rPr>
      </w:pPr>
    </w:p>
    <w:p w14:paraId="508C23C0" w14:textId="2545AB5D" w:rsidR="0013157F" w:rsidRPr="002C5292" w:rsidRDefault="0013157F" w:rsidP="00311758">
      <w:pPr>
        <w:rPr>
          <w:rFonts w:asciiTheme="majorHAnsi" w:eastAsia="MS Gothic" w:hAnsiTheme="majorHAnsi"/>
          <w:b/>
          <w:bCs/>
          <w:color w:val="53565A"/>
        </w:rPr>
      </w:pPr>
      <w:r w:rsidRPr="002C5292">
        <w:rPr>
          <w:rFonts w:asciiTheme="majorHAnsi" w:eastAsia="MS Gothic" w:hAnsiTheme="majorHAnsi"/>
          <w:b/>
          <w:bCs/>
          <w:color w:val="53565A"/>
        </w:rPr>
        <w:t xml:space="preserve">Table 3 Exempt </w:t>
      </w:r>
      <w:r w:rsidR="00AA25C1" w:rsidRPr="002C5292">
        <w:rPr>
          <w:rFonts w:asciiTheme="majorHAnsi" w:eastAsia="MS Gothic" w:hAnsiTheme="majorHAnsi"/>
          <w:b/>
          <w:bCs/>
          <w:color w:val="53565A"/>
        </w:rPr>
        <w:t xml:space="preserve">provisions to make </w:t>
      </w:r>
      <w:r w:rsidRPr="002C5292">
        <w:rPr>
          <w:rFonts w:asciiTheme="majorHAnsi" w:eastAsia="MS Gothic" w:hAnsiTheme="majorHAnsi"/>
          <w:b/>
          <w:bCs/>
          <w:color w:val="53565A"/>
        </w:rPr>
        <w:t>legislative instruments with a duration not more than 12 months</w:t>
      </w:r>
      <w:r w:rsidR="00945981" w:rsidRPr="002C5292">
        <w:rPr>
          <w:rFonts w:asciiTheme="majorHAnsi" w:eastAsia="MS Gothic" w:hAnsiTheme="majorHAnsi"/>
          <w:b/>
          <w:bCs/>
          <w:color w:val="53565A"/>
        </w:rPr>
        <w:t xml:space="preserve"> (Schedule 3)</w:t>
      </w:r>
    </w:p>
    <w:tbl>
      <w:tblPr>
        <w:tblStyle w:val="TableGrid"/>
        <w:tblW w:w="0" w:type="auto"/>
        <w:tblLook w:val="04A0" w:firstRow="1" w:lastRow="0" w:firstColumn="1" w:lastColumn="0" w:noHBand="0" w:noVBand="1"/>
      </w:tblPr>
      <w:tblGrid>
        <w:gridCol w:w="3431"/>
        <w:gridCol w:w="6208"/>
      </w:tblGrid>
      <w:tr w:rsidR="0013157F" w:rsidRPr="002C5292" w14:paraId="392B9C0A" w14:textId="77777777" w:rsidTr="00AF1D14">
        <w:tc>
          <w:tcPr>
            <w:tcW w:w="3431" w:type="dxa"/>
            <w:tcBorders>
              <w:top w:val="single" w:sz="4" w:space="0" w:color="auto"/>
              <w:left w:val="single" w:sz="4" w:space="0" w:color="auto"/>
              <w:bottom w:val="single" w:sz="4" w:space="0" w:color="auto"/>
              <w:right w:val="single" w:sz="4" w:space="0" w:color="auto"/>
            </w:tcBorders>
          </w:tcPr>
          <w:p w14:paraId="1F64158E" w14:textId="44468846" w:rsidR="0013157F" w:rsidRPr="002C5292" w:rsidRDefault="0013157F" w:rsidP="00AF1D14">
            <w:pPr>
              <w:spacing w:before="120" w:after="120" w:line="280" w:lineRule="exact"/>
              <w:rPr>
                <w:rFonts w:asciiTheme="minorHAnsi" w:hAnsiTheme="minorHAnsi" w:cstheme="minorHAnsi"/>
                <w:b/>
                <w:bCs/>
              </w:rPr>
            </w:pPr>
            <w:r w:rsidRPr="002C5292">
              <w:rPr>
                <w:rFonts w:asciiTheme="minorHAnsi" w:hAnsiTheme="minorHAnsi" w:cstheme="minorHAnsi"/>
                <w:b/>
                <w:bCs/>
              </w:rPr>
              <w:t>Provision</w:t>
            </w:r>
          </w:p>
        </w:tc>
        <w:tc>
          <w:tcPr>
            <w:tcW w:w="6208" w:type="dxa"/>
            <w:tcBorders>
              <w:top w:val="single" w:sz="4" w:space="0" w:color="auto"/>
              <w:left w:val="single" w:sz="4" w:space="0" w:color="auto"/>
              <w:bottom w:val="single" w:sz="4" w:space="0" w:color="auto"/>
              <w:right w:val="single" w:sz="4" w:space="0" w:color="auto"/>
            </w:tcBorders>
          </w:tcPr>
          <w:p w14:paraId="5D9BB2EA" w14:textId="60750EE3" w:rsidR="0013157F" w:rsidRPr="002C5292" w:rsidRDefault="0013157F" w:rsidP="00AF1D14">
            <w:pPr>
              <w:spacing w:before="120" w:after="120" w:line="280" w:lineRule="exact"/>
              <w:rPr>
                <w:rFonts w:asciiTheme="minorHAnsi" w:hAnsiTheme="minorHAnsi" w:cstheme="minorHAnsi"/>
                <w:b/>
                <w:bCs/>
              </w:rPr>
            </w:pPr>
            <w:r w:rsidRPr="002C5292">
              <w:rPr>
                <w:rFonts w:asciiTheme="minorHAnsi" w:hAnsiTheme="minorHAnsi" w:cstheme="minorHAnsi"/>
                <w:b/>
                <w:bCs/>
              </w:rPr>
              <w:t>Exempt legislative instrument</w:t>
            </w:r>
          </w:p>
        </w:tc>
      </w:tr>
      <w:tr w:rsidR="0013157F" w:rsidRPr="002C5292" w14:paraId="3CAF3826"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2B4457DD" w14:textId="08ACCA96" w:rsidR="0013157F" w:rsidRPr="002C5292" w:rsidRDefault="0013157F" w:rsidP="00AF1D14">
            <w:pPr>
              <w:spacing w:before="120" w:after="120" w:line="280" w:lineRule="exact"/>
              <w:rPr>
                <w:rFonts w:asciiTheme="minorHAnsi" w:hAnsiTheme="minorHAnsi" w:cstheme="minorHAnsi"/>
                <w:i/>
                <w:iCs/>
              </w:rPr>
            </w:pPr>
            <w:r w:rsidRPr="002C5292">
              <w:rPr>
                <w:rFonts w:asciiTheme="minorHAnsi" w:hAnsiTheme="minorHAnsi" w:cstheme="minorHAnsi"/>
                <w:i/>
                <w:iCs/>
              </w:rPr>
              <w:t>Catchment and Land Protection Act 1994</w:t>
            </w:r>
          </w:p>
        </w:tc>
        <w:tc>
          <w:tcPr>
            <w:tcW w:w="6208" w:type="dxa"/>
            <w:tcBorders>
              <w:top w:val="single" w:sz="4" w:space="0" w:color="auto"/>
              <w:left w:val="single" w:sz="4" w:space="0" w:color="auto"/>
              <w:bottom w:val="single" w:sz="4" w:space="0" w:color="auto"/>
              <w:right w:val="single" w:sz="4" w:space="0" w:color="auto"/>
            </w:tcBorders>
            <w:hideMark/>
          </w:tcPr>
          <w:p w14:paraId="77EB8E53" w14:textId="77777777" w:rsidR="0013157F" w:rsidRPr="002C5292" w:rsidRDefault="0013157F" w:rsidP="00AF1D14">
            <w:pPr>
              <w:spacing w:before="120" w:after="120" w:line="280" w:lineRule="exact"/>
              <w:rPr>
                <w:rFonts w:asciiTheme="minorHAnsi" w:hAnsiTheme="minorHAnsi" w:cstheme="minorHAnsi"/>
              </w:rPr>
            </w:pPr>
            <w:bookmarkStart w:id="46" w:name="_Hlk69409117"/>
            <w:r w:rsidRPr="002C5292">
              <w:rPr>
                <w:rFonts w:asciiTheme="minorHAnsi" w:hAnsiTheme="minorHAnsi" w:cstheme="minorHAnsi"/>
              </w:rPr>
              <w:t>An Order under section 58(1) of not more than 12 months duration.</w:t>
            </w:r>
            <w:bookmarkEnd w:id="46"/>
          </w:p>
          <w:p w14:paraId="22C00C93" w14:textId="77777777" w:rsidR="0013157F" w:rsidRPr="002C5292" w:rsidRDefault="0013157F" w:rsidP="00AF1D14">
            <w:pPr>
              <w:spacing w:before="120" w:after="120" w:line="280" w:lineRule="exact"/>
              <w:rPr>
                <w:rFonts w:asciiTheme="minorHAnsi" w:hAnsiTheme="minorHAnsi" w:cstheme="minorHAnsi"/>
              </w:rPr>
            </w:pPr>
            <w:bookmarkStart w:id="47" w:name="_Hlk69409429"/>
            <w:r w:rsidRPr="002C5292">
              <w:rPr>
                <w:rFonts w:asciiTheme="minorHAnsi" w:hAnsiTheme="minorHAnsi" w:cstheme="minorHAnsi"/>
              </w:rPr>
              <w:t>An order under section 69A(4) that amends an Order under section 58(1) that has a duration of not more than 12 months.</w:t>
            </w:r>
            <w:bookmarkEnd w:id="47"/>
          </w:p>
        </w:tc>
      </w:tr>
      <w:tr w:rsidR="0013157F" w:rsidRPr="002C5292" w14:paraId="6F469005"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2909CDFE" w14:textId="3D6DD503" w:rsidR="0013157F" w:rsidRPr="002C5292" w:rsidRDefault="0013157F" w:rsidP="00AF1D14">
            <w:pPr>
              <w:spacing w:before="120" w:after="120" w:line="280" w:lineRule="exact"/>
              <w:rPr>
                <w:rFonts w:asciiTheme="minorHAnsi" w:hAnsiTheme="minorHAnsi" w:cstheme="minorHAnsi"/>
                <w:i/>
                <w:iCs/>
              </w:rPr>
            </w:pPr>
            <w:r w:rsidRPr="002C5292">
              <w:rPr>
                <w:rFonts w:asciiTheme="minorHAnsi" w:hAnsiTheme="minorHAnsi" w:cstheme="minorHAnsi"/>
                <w:i/>
                <w:iCs/>
              </w:rPr>
              <w:t>Education and Training Reform Act 2006</w:t>
            </w:r>
          </w:p>
        </w:tc>
        <w:tc>
          <w:tcPr>
            <w:tcW w:w="6208" w:type="dxa"/>
            <w:tcBorders>
              <w:top w:val="single" w:sz="4" w:space="0" w:color="auto"/>
              <w:left w:val="single" w:sz="4" w:space="0" w:color="auto"/>
              <w:bottom w:val="single" w:sz="4" w:space="0" w:color="auto"/>
              <w:right w:val="single" w:sz="4" w:space="0" w:color="auto"/>
            </w:tcBorders>
            <w:hideMark/>
          </w:tcPr>
          <w:p w14:paraId="783047FC"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An Order under section 2.1.5 that is of not more than 12 months duration; and does not exempt a specific child.</w:t>
            </w:r>
          </w:p>
        </w:tc>
      </w:tr>
      <w:tr w:rsidR="0013157F" w:rsidRPr="002C5292" w14:paraId="4CD1AA95"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01100B3A" w14:textId="2479D8C2" w:rsidR="0013157F" w:rsidRPr="002C5292" w:rsidRDefault="0013157F" w:rsidP="00AF1D14">
            <w:pPr>
              <w:spacing w:before="120" w:after="120" w:line="280" w:lineRule="exact"/>
              <w:rPr>
                <w:rFonts w:asciiTheme="minorHAnsi" w:hAnsiTheme="minorHAnsi" w:cstheme="minorHAnsi"/>
                <w:i/>
                <w:iCs/>
              </w:rPr>
            </w:pPr>
            <w:bookmarkStart w:id="48" w:name="_Toc23502679"/>
            <w:r w:rsidRPr="002C5292">
              <w:rPr>
                <w:rFonts w:asciiTheme="minorHAnsi" w:hAnsiTheme="minorHAnsi" w:cstheme="minorHAnsi"/>
                <w:i/>
                <w:iCs/>
              </w:rPr>
              <w:t>Electricity Industry Act 2000</w:t>
            </w:r>
            <w:bookmarkEnd w:id="48"/>
          </w:p>
        </w:tc>
        <w:tc>
          <w:tcPr>
            <w:tcW w:w="6208" w:type="dxa"/>
            <w:tcBorders>
              <w:top w:val="single" w:sz="4" w:space="0" w:color="auto"/>
              <w:left w:val="single" w:sz="4" w:space="0" w:color="auto"/>
              <w:bottom w:val="single" w:sz="4" w:space="0" w:color="auto"/>
              <w:right w:val="single" w:sz="4" w:space="0" w:color="auto"/>
            </w:tcBorders>
            <w:hideMark/>
          </w:tcPr>
          <w:p w14:paraId="5F8B69D7"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proclamation under section 95(1) of not more than 12 months duration.</w:t>
            </w:r>
          </w:p>
          <w:p w14:paraId="026838AC"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direction given under section 96(1) of not more than 12 months duration.</w:t>
            </w:r>
          </w:p>
          <w:p w14:paraId="7352DC13"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direction given under section 96(6) amending a direction given under section 96(1) of not more than 12 months duration.</w:t>
            </w:r>
          </w:p>
        </w:tc>
      </w:tr>
      <w:tr w:rsidR="0013157F" w:rsidRPr="002C5292" w14:paraId="40DE745E"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2289F344" w14:textId="6CB8CB92" w:rsidR="0013157F" w:rsidRPr="002C5292" w:rsidRDefault="0013157F" w:rsidP="00AF1D14">
            <w:pPr>
              <w:spacing w:before="120" w:after="120" w:line="280" w:lineRule="exact"/>
              <w:rPr>
                <w:rFonts w:asciiTheme="minorHAnsi" w:hAnsiTheme="minorHAnsi" w:cstheme="minorHAnsi"/>
                <w:i/>
                <w:iCs/>
              </w:rPr>
            </w:pPr>
            <w:bookmarkStart w:id="49" w:name="_Toc23502680"/>
            <w:r w:rsidRPr="002C5292">
              <w:rPr>
                <w:rFonts w:asciiTheme="minorHAnsi" w:hAnsiTheme="minorHAnsi" w:cstheme="minorHAnsi"/>
                <w:i/>
                <w:iCs/>
              </w:rPr>
              <w:t>Electricity Safety Act 1998</w:t>
            </w:r>
            <w:bookmarkEnd w:id="49"/>
          </w:p>
        </w:tc>
        <w:tc>
          <w:tcPr>
            <w:tcW w:w="6208" w:type="dxa"/>
            <w:tcBorders>
              <w:top w:val="single" w:sz="4" w:space="0" w:color="auto"/>
              <w:left w:val="single" w:sz="4" w:space="0" w:color="auto"/>
              <w:bottom w:val="single" w:sz="4" w:space="0" w:color="auto"/>
              <w:right w:val="single" w:sz="4" w:space="0" w:color="auto"/>
            </w:tcBorders>
            <w:hideMark/>
          </w:tcPr>
          <w:p w14:paraId="21464914"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notice under section 63(1) of not more than 12 months duration.</w:t>
            </w:r>
          </w:p>
          <w:p w14:paraId="206E41C9"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direction given under section 141A(1) of not more than 12 months duration.</w:t>
            </w:r>
          </w:p>
        </w:tc>
      </w:tr>
      <w:tr w:rsidR="0013157F" w:rsidRPr="002C5292" w14:paraId="5B001D5D"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31230467" w14:textId="086681AD" w:rsidR="0013157F" w:rsidRPr="002C5292" w:rsidRDefault="0013157F" w:rsidP="00AF1D14">
            <w:pPr>
              <w:spacing w:before="120" w:after="120" w:line="280" w:lineRule="exact"/>
              <w:rPr>
                <w:rFonts w:asciiTheme="minorHAnsi" w:hAnsiTheme="minorHAnsi" w:cstheme="minorHAnsi"/>
                <w:i/>
                <w:iCs/>
              </w:rPr>
            </w:pPr>
            <w:bookmarkStart w:id="50" w:name="_Toc23502688"/>
            <w:r w:rsidRPr="002C5292">
              <w:rPr>
                <w:rFonts w:asciiTheme="minorHAnsi" w:hAnsiTheme="minorHAnsi" w:cstheme="minorHAnsi"/>
                <w:i/>
                <w:iCs/>
              </w:rPr>
              <w:t>Fisheries Act 1995</w:t>
            </w:r>
            <w:bookmarkEnd w:id="50"/>
          </w:p>
        </w:tc>
        <w:tc>
          <w:tcPr>
            <w:tcW w:w="6208" w:type="dxa"/>
            <w:tcBorders>
              <w:top w:val="single" w:sz="4" w:space="0" w:color="auto"/>
              <w:left w:val="single" w:sz="4" w:space="0" w:color="auto"/>
              <w:bottom w:val="single" w:sz="4" w:space="0" w:color="auto"/>
              <w:right w:val="single" w:sz="4" w:space="0" w:color="auto"/>
            </w:tcBorders>
            <w:hideMark/>
          </w:tcPr>
          <w:p w14:paraId="276CBD7C"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direction given under section 61(1) of not more than 12 months’ duration.</w:t>
            </w:r>
          </w:p>
          <w:p w14:paraId="11ADFE43"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 xml:space="preserve">An amendment or revocation under section 61(3) of a direction of not more than 12 months’ duration. </w:t>
            </w:r>
          </w:p>
        </w:tc>
      </w:tr>
      <w:tr w:rsidR="0013157F" w:rsidRPr="002C5292" w14:paraId="76126BD3"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2E736E80" w14:textId="36C24009" w:rsidR="0013157F" w:rsidRPr="002C5292" w:rsidRDefault="0013157F" w:rsidP="00AF1D14">
            <w:pPr>
              <w:spacing w:before="120" w:after="120" w:line="280" w:lineRule="exact"/>
              <w:rPr>
                <w:rFonts w:asciiTheme="minorHAnsi" w:hAnsiTheme="minorHAnsi" w:cstheme="minorHAnsi"/>
                <w:i/>
                <w:iCs/>
              </w:rPr>
            </w:pPr>
            <w:bookmarkStart w:id="51" w:name="_Toc23502690"/>
            <w:r w:rsidRPr="002C5292">
              <w:rPr>
                <w:rFonts w:asciiTheme="minorHAnsi" w:hAnsiTheme="minorHAnsi" w:cstheme="minorHAnsi"/>
                <w:i/>
                <w:iCs/>
              </w:rPr>
              <w:t>Food Act 1984</w:t>
            </w:r>
            <w:bookmarkEnd w:id="51"/>
          </w:p>
        </w:tc>
        <w:tc>
          <w:tcPr>
            <w:tcW w:w="6208" w:type="dxa"/>
            <w:tcBorders>
              <w:top w:val="single" w:sz="4" w:space="0" w:color="auto"/>
              <w:left w:val="single" w:sz="4" w:space="0" w:color="auto"/>
              <w:bottom w:val="single" w:sz="4" w:space="0" w:color="auto"/>
              <w:right w:val="single" w:sz="4" w:space="0" w:color="auto"/>
            </w:tcBorders>
            <w:hideMark/>
          </w:tcPr>
          <w:p w14:paraId="1D62E5B1"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 xml:space="preserve">A direction given under section 39A(4) in respect of a class or classes of food premises and of not more than 12 months’ duration. </w:t>
            </w:r>
          </w:p>
        </w:tc>
      </w:tr>
      <w:tr w:rsidR="0013157F" w:rsidRPr="002C5292" w14:paraId="0C262C54"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3BBF6428" w14:textId="304B24F8" w:rsidR="0013157F" w:rsidRPr="002C5292" w:rsidRDefault="0013157F" w:rsidP="00AF1D14">
            <w:pPr>
              <w:spacing w:before="120" w:after="120" w:line="280" w:lineRule="exact"/>
              <w:rPr>
                <w:rFonts w:asciiTheme="minorHAnsi" w:hAnsiTheme="minorHAnsi" w:cstheme="minorHAnsi"/>
                <w:i/>
                <w:iCs/>
              </w:rPr>
            </w:pPr>
            <w:bookmarkStart w:id="52" w:name="_Toc23502694"/>
            <w:r w:rsidRPr="002C5292">
              <w:rPr>
                <w:rFonts w:asciiTheme="minorHAnsi" w:hAnsiTheme="minorHAnsi" w:cstheme="minorHAnsi"/>
                <w:i/>
                <w:iCs/>
              </w:rPr>
              <w:t>Gambling Regulation Act 2003</w:t>
            </w:r>
            <w:bookmarkEnd w:id="52"/>
          </w:p>
        </w:tc>
        <w:tc>
          <w:tcPr>
            <w:tcW w:w="6208" w:type="dxa"/>
            <w:tcBorders>
              <w:top w:val="single" w:sz="4" w:space="0" w:color="auto"/>
              <w:left w:val="single" w:sz="4" w:space="0" w:color="auto"/>
              <w:bottom w:val="single" w:sz="4" w:space="0" w:color="auto"/>
              <w:right w:val="single" w:sz="4" w:space="0" w:color="auto"/>
            </w:tcBorders>
            <w:hideMark/>
          </w:tcPr>
          <w:p w14:paraId="38721897"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An instrument under section 4.5AA.2 of not more than 12 months’ duration.</w:t>
            </w:r>
          </w:p>
        </w:tc>
      </w:tr>
      <w:tr w:rsidR="0013157F" w:rsidRPr="002C5292" w14:paraId="72E6A7D7"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2F7F5354" w14:textId="27951231" w:rsidR="0013157F" w:rsidRPr="002C5292" w:rsidRDefault="0013157F" w:rsidP="00AF1D14">
            <w:pPr>
              <w:spacing w:before="120" w:after="120" w:line="280" w:lineRule="exact"/>
              <w:rPr>
                <w:rFonts w:asciiTheme="minorHAnsi" w:hAnsiTheme="minorHAnsi" w:cstheme="minorHAnsi"/>
                <w:i/>
                <w:iCs/>
              </w:rPr>
            </w:pPr>
            <w:r w:rsidRPr="002C5292">
              <w:rPr>
                <w:rFonts w:asciiTheme="minorHAnsi" w:hAnsiTheme="minorHAnsi" w:cstheme="minorHAnsi"/>
                <w:i/>
                <w:iCs/>
              </w:rPr>
              <w:t>Gas Safety Act 1997</w:t>
            </w:r>
          </w:p>
        </w:tc>
        <w:tc>
          <w:tcPr>
            <w:tcW w:w="6208" w:type="dxa"/>
            <w:tcBorders>
              <w:top w:val="single" w:sz="4" w:space="0" w:color="auto"/>
              <w:left w:val="single" w:sz="4" w:space="0" w:color="auto"/>
              <w:bottom w:val="single" w:sz="4" w:space="0" w:color="auto"/>
              <w:right w:val="single" w:sz="4" w:space="0" w:color="auto"/>
            </w:tcBorders>
            <w:hideMark/>
          </w:tcPr>
          <w:p w14:paraId="42AC9BED"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prohibition under section 76(1) of not more than 12 months’ duration.</w:t>
            </w:r>
          </w:p>
        </w:tc>
      </w:tr>
      <w:tr w:rsidR="0013157F" w:rsidRPr="002C5292" w14:paraId="355A8E3E"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15C1CDA8" w14:textId="7C594AD2" w:rsidR="0013157F" w:rsidRPr="002C5292" w:rsidRDefault="0013157F" w:rsidP="00AF1D14">
            <w:pPr>
              <w:spacing w:before="120" w:after="120" w:line="280" w:lineRule="exact"/>
              <w:rPr>
                <w:rFonts w:asciiTheme="minorHAnsi" w:hAnsiTheme="minorHAnsi" w:cstheme="minorHAnsi"/>
                <w:i/>
                <w:iCs/>
              </w:rPr>
            </w:pPr>
            <w:bookmarkStart w:id="53" w:name="_Toc23502709"/>
            <w:r w:rsidRPr="002C5292">
              <w:rPr>
                <w:rFonts w:asciiTheme="minorHAnsi" w:hAnsiTheme="minorHAnsi" w:cstheme="minorHAnsi"/>
                <w:i/>
                <w:iCs/>
              </w:rPr>
              <w:t>Liquor Control Reform Act 1998</w:t>
            </w:r>
            <w:bookmarkEnd w:id="53"/>
          </w:p>
        </w:tc>
        <w:tc>
          <w:tcPr>
            <w:tcW w:w="6208" w:type="dxa"/>
            <w:tcBorders>
              <w:top w:val="single" w:sz="4" w:space="0" w:color="auto"/>
              <w:left w:val="single" w:sz="4" w:space="0" w:color="auto"/>
              <w:bottom w:val="single" w:sz="4" w:space="0" w:color="auto"/>
              <w:right w:val="single" w:sz="4" w:space="0" w:color="auto"/>
            </w:tcBorders>
            <w:hideMark/>
          </w:tcPr>
          <w:p w14:paraId="46FB64E5"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An Order under section 147(1) of not more than 12 months’ duration.</w:t>
            </w:r>
          </w:p>
        </w:tc>
      </w:tr>
      <w:tr w:rsidR="0013157F" w:rsidRPr="002C5292" w14:paraId="454B8FEB"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6E0FAD53" w14:textId="59ABD04F" w:rsidR="0013157F" w:rsidRPr="002C5292" w:rsidRDefault="0013157F" w:rsidP="00AF1D14">
            <w:pPr>
              <w:spacing w:before="120" w:after="120" w:line="280" w:lineRule="exact"/>
              <w:rPr>
                <w:rFonts w:asciiTheme="minorHAnsi" w:hAnsiTheme="minorHAnsi" w:cstheme="minorHAnsi"/>
                <w:i/>
                <w:iCs/>
              </w:rPr>
            </w:pPr>
            <w:bookmarkStart w:id="54" w:name="_Toc23502728"/>
            <w:r w:rsidRPr="002C5292">
              <w:rPr>
                <w:rFonts w:asciiTheme="minorHAnsi" w:hAnsiTheme="minorHAnsi" w:cstheme="minorHAnsi"/>
                <w:i/>
                <w:iCs/>
              </w:rPr>
              <w:t>Pipelines Act 2005</w:t>
            </w:r>
            <w:bookmarkEnd w:id="54"/>
          </w:p>
        </w:tc>
        <w:tc>
          <w:tcPr>
            <w:tcW w:w="6208" w:type="dxa"/>
            <w:tcBorders>
              <w:top w:val="single" w:sz="4" w:space="0" w:color="auto"/>
              <w:left w:val="single" w:sz="4" w:space="0" w:color="auto"/>
              <w:bottom w:val="single" w:sz="4" w:space="0" w:color="auto"/>
              <w:right w:val="single" w:sz="4" w:space="0" w:color="auto"/>
            </w:tcBorders>
            <w:hideMark/>
          </w:tcPr>
          <w:p w14:paraId="6A7929F5" w14:textId="77777777"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declaration of not more than 12 months’ duration under section 11(1).</w:t>
            </w:r>
          </w:p>
        </w:tc>
      </w:tr>
      <w:tr w:rsidR="0013157F" w:rsidRPr="002C5292" w14:paraId="617C4F74"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7EDD0422" w14:textId="2F6355BF" w:rsidR="0013157F" w:rsidRPr="002C5292" w:rsidRDefault="0013157F" w:rsidP="00AF1D14">
            <w:pPr>
              <w:spacing w:before="120" w:after="120" w:line="280" w:lineRule="exact"/>
              <w:rPr>
                <w:rFonts w:asciiTheme="minorHAnsi" w:hAnsiTheme="minorHAnsi" w:cstheme="minorHAnsi"/>
                <w:i/>
                <w:iCs/>
              </w:rPr>
            </w:pPr>
            <w:bookmarkStart w:id="55" w:name="_Toc23502746"/>
            <w:r w:rsidRPr="002C5292">
              <w:rPr>
                <w:rFonts w:asciiTheme="minorHAnsi" w:hAnsiTheme="minorHAnsi" w:cstheme="minorHAnsi"/>
                <w:i/>
                <w:iCs/>
              </w:rPr>
              <w:t>Road Safety Act 1986</w:t>
            </w:r>
            <w:bookmarkEnd w:id="55"/>
          </w:p>
        </w:tc>
        <w:tc>
          <w:tcPr>
            <w:tcW w:w="6208" w:type="dxa"/>
            <w:tcBorders>
              <w:top w:val="single" w:sz="4" w:space="0" w:color="auto"/>
              <w:left w:val="single" w:sz="4" w:space="0" w:color="auto"/>
              <w:bottom w:val="single" w:sz="4" w:space="0" w:color="auto"/>
              <w:right w:val="single" w:sz="4" w:space="0" w:color="auto"/>
            </w:tcBorders>
            <w:hideMark/>
          </w:tcPr>
          <w:p w14:paraId="7FF47D6A" w14:textId="069280B4"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declaration under section 96A(1) of not more than 12 months’ duration.</w:t>
            </w:r>
          </w:p>
        </w:tc>
      </w:tr>
      <w:tr w:rsidR="0013157F" w:rsidRPr="002C5292" w14:paraId="5AF0FA2F" w14:textId="77777777" w:rsidTr="00AF1D14">
        <w:tc>
          <w:tcPr>
            <w:tcW w:w="3431" w:type="dxa"/>
            <w:tcBorders>
              <w:top w:val="single" w:sz="4" w:space="0" w:color="auto"/>
              <w:left w:val="single" w:sz="4" w:space="0" w:color="auto"/>
              <w:bottom w:val="single" w:sz="4" w:space="0" w:color="auto"/>
              <w:right w:val="single" w:sz="4" w:space="0" w:color="auto"/>
            </w:tcBorders>
            <w:hideMark/>
          </w:tcPr>
          <w:p w14:paraId="79011065" w14:textId="10DD3B35" w:rsidR="0013157F" w:rsidRPr="002C5292" w:rsidRDefault="0013157F" w:rsidP="00AF1D14">
            <w:pPr>
              <w:spacing w:before="120" w:after="120" w:line="280" w:lineRule="exact"/>
              <w:rPr>
                <w:rFonts w:asciiTheme="minorHAnsi" w:hAnsiTheme="minorHAnsi" w:cstheme="minorHAnsi"/>
                <w:i/>
                <w:iCs/>
              </w:rPr>
            </w:pPr>
            <w:bookmarkStart w:id="56" w:name="_Toc23502753"/>
            <w:r w:rsidRPr="002C5292">
              <w:rPr>
                <w:rFonts w:asciiTheme="minorHAnsi" w:hAnsiTheme="minorHAnsi" w:cstheme="minorHAnsi"/>
                <w:i/>
                <w:iCs/>
              </w:rPr>
              <w:t>Safety on Public Land Act 2004</w:t>
            </w:r>
            <w:bookmarkEnd w:id="56"/>
          </w:p>
        </w:tc>
        <w:tc>
          <w:tcPr>
            <w:tcW w:w="6208" w:type="dxa"/>
            <w:tcBorders>
              <w:top w:val="single" w:sz="4" w:space="0" w:color="auto"/>
              <w:left w:val="single" w:sz="4" w:space="0" w:color="auto"/>
              <w:bottom w:val="single" w:sz="4" w:space="0" w:color="auto"/>
              <w:right w:val="single" w:sz="4" w:space="0" w:color="auto"/>
            </w:tcBorders>
            <w:hideMark/>
          </w:tcPr>
          <w:p w14:paraId="38DEEB2D" w14:textId="3D60321D" w:rsidR="0013157F" w:rsidRPr="002C5292" w:rsidRDefault="0013157F" w:rsidP="00AF1D14">
            <w:pPr>
              <w:spacing w:before="120" w:after="120" w:line="280" w:lineRule="exact"/>
              <w:rPr>
                <w:rFonts w:asciiTheme="minorHAnsi" w:hAnsiTheme="minorHAnsi" w:cstheme="minorHAnsi"/>
              </w:rPr>
            </w:pPr>
            <w:r w:rsidRPr="002C5292">
              <w:rPr>
                <w:rFonts w:asciiTheme="minorHAnsi" w:hAnsiTheme="minorHAnsi" w:cstheme="minorHAnsi"/>
              </w:rPr>
              <w:t>A declaration of not more than 12 months’ duration made under Part 2.</w:t>
            </w:r>
          </w:p>
        </w:tc>
      </w:tr>
    </w:tbl>
    <w:p w14:paraId="2A6DD34C" w14:textId="148620AA" w:rsidR="003F77ED" w:rsidRPr="002C5292" w:rsidRDefault="00693A02" w:rsidP="00693A02">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Each of the </w:t>
      </w:r>
      <w:r w:rsidR="005E37D5" w:rsidRPr="002C5292">
        <w:rPr>
          <w:rFonts w:asciiTheme="minorHAnsi" w:hAnsiTheme="minorHAnsi" w:cstheme="minorHAnsi"/>
          <w:sz w:val="22"/>
          <w:szCs w:val="22"/>
        </w:rPr>
        <w:t xml:space="preserve">provisions in the Proposed Regulations </w:t>
      </w:r>
      <w:r w:rsidRPr="002C5292">
        <w:rPr>
          <w:rFonts w:asciiTheme="minorHAnsi" w:hAnsiTheme="minorHAnsi" w:cstheme="minorHAnsi"/>
          <w:sz w:val="22"/>
          <w:szCs w:val="22"/>
        </w:rPr>
        <w:t>ha</w:t>
      </w:r>
      <w:r w:rsidR="005E37D5" w:rsidRPr="002C5292">
        <w:rPr>
          <w:rFonts w:asciiTheme="minorHAnsi" w:hAnsiTheme="minorHAnsi" w:cstheme="minorHAnsi"/>
          <w:sz w:val="22"/>
          <w:szCs w:val="22"/>
        </w:rPr>
        <w:t>ve</w:t>
      </w:r>
      <w:r w:rsidRPr="002C5292">
        <w:rPr>
          <w:rFonts w:asciiTheme="minorHAnsi" w:hAnsiTheme="minorHAnsi" w:cstheme="minorHAnsi"/>
          <w:sz w:val="22"/>
          <w:szCs w:val="22"/>
        </w:rPr>
        <w:t xml:space="preserve"> been carefully examined and has been proposed for </w:t>
      </w:r>
      <w:r w:rsidR="005E37D5" w:rsidRPr="002C5292">
        <w:rPr>
          <w:rFonts w:asciiTheme="minorHAnsi" w:hAnsiTheme="minorHAnsi" w:cstheme="minorHAnsi"/>
          <w:sz w:val="22"/>
          <w:szCs w:val="22"/>
        </w:rPr>
        <w:t xml:space="preserve">automatic </w:t>
      </w:r>
      <w:r w:rsidRPr="002C5292">
        <w:rPr>
          <w:rFonts w:asciiTheme="minorHAnsi" w:hAnsiTheme="minorHAnsi" w:cstheme="minorHAnsi"/>
          <w:sz w:val="22"/>
          <w:szCs w:val="22"/>
        </w:rPr>
        <w:t xml:space="preserve">exemption as they </w:t>
      </w:r>
      <w:r w:rsidR="00C036A0" w:rsidRPr="002C5292">
        <w:rPr>
          <w:rFonts w:asciiTheme="minorHAnsi" w:hAnsiTheme="minorHAnsi" w:cstheme="minorHAnsi"/>
          <w:sz w:val="22"/>
          <w:szCs w:val="22"/>
        </w:rPr>
        <w:t xml:space="preserve">either </w:t>
      </w:r>
      <w:r w:rsidRPr="002C5292">
        <w:rPr>
          <w:rFonts w:asciiTheme="minorHAnsi" w:hAnsiTheme="minorHAnsi" w:cstheme="minorHAnsi"/>
          <w:sz w:val="22"/>
          <w:szCs w:val="22"/>
        </w:rPr>
        <w:t>meet one or more criteria and would most likely be granted an exemption by the responsible Minister on a case-by-case basis anyway</w:t>
      </w:r>
      <w:r w:rsidR="00C036A0" w:rsidRPr="002C5292">
        <w:rPr>
          <w:rFonts w:asciiTheme="minorHAnsi" w:hAnsiTheme="minorHAnsi" w:cstheme="minorHAnsi"/>
          <w:sz w:val="22"/>
          <w:szCs w:val="22"/>
        </w:rPr>
        <w:t>;</w:t>
      </w:r>
      <w:r w:rsidRPr="002C5292">
        <w:rPr>
          <w:rFonts w:asciiTheme="minorHAnsi" w:hAnsiTheme="minorHAnsi" w:cstheme="minorHAnsi"/>
          <w:sz w:val="22"/>
          <w:szCs w:val="22"/>
        </w:rPr>
        <w:t xml:space="preserve"> or because the </w:t>
      </w:r>
      <w:r w:rsidR="009B43B8" w:rsidRPr="002C5292">
        <w:rPr>
          <w:rFonts w:asciiTheme="minorHAnsi" w:hAnsiTheme="minorHAnsi" w:cstheme="minorHAnsi"/>
          <w:sz w:val="22"/>
          <w:szCs w:val="22"/>
        </w:rPr>
        <w:t xml:space="preserve">expected </w:t>
      </w:r>
      <w:r w:rsidRPr="002C5292">
        <w:rPr>
          <w:rFonts w:asciiTheme="minorHAnsi" w:hAnsiTheme="minorHAnsi" w:cstheme="minorHAnsi"/>
          <w:sz w:val="22"/>
          <w:szCs w:val="22"/>
        </w:rPr>
        <w:t xml:space="preserve">benefits of additional scrutiny are outweighed by the additional costs involved. Due to the nature of these instruments, it is also not necessary that these instruments go through as high a level of scrutiny as more significant subordinate legislation, with the exception of those </w:t>
      </w:r>
      <w:r w:rsidR="00894C30" w:rsidRPr="002C5292">
        <w:rPr>
          <w:rFonts w:asciiTheme="minorHAnsi" w:hAnsiTheme="minorHAnsi" w:cstheme="minorHAnsi"/>
          <w:sz w:val="22"/>
          <w:szCs w:val="22"/>
        </w:rPr>
        <w:t xml:space="preserve">under the public interest criterion or those </w:t>
      </w:r>
      <w:r w:rsidRPr="002C5292">
        <w:rPr>
          <w:rFonts w:asciiTheme="minorHAnsi" w:hAnsiTheme="minorHAnsi" w:cstheme="minorHAnsi"/>
          <w:sz w:val="22"/>
          <w:szCs w:val="22"/>
        </w:rPr>
        <w:t xml:space="preserve">being exempted due to equivalent assessments being made elsewhere. This latter category of instrument is discussed in more detail below </w:t>
      </w:r>
      <w:r w:rsidR="003D11F0" w:rsidRPr="002C5292">
        <w:rPr>
          <w:rFonts w:asciiTheme="minorHAnsi" w:hAnsiTheme="minorHAnsi" w:cstheme="minorHAnsi"/>
          <w:sz w:val="22"/>
          <w:szCs w:val="22"/>
        </w:rPr>
        <w:t xml:space="preserve">and </w:t>
      </w:r>
      <w:r w:rsidRPr="002C5292">
        <w:rPr>
          <w:rFonts w:asciiTheme="minorHAnsi" w:hAnsiTheme="minorHAnsi" w:cstheme="minorHAnsi"/>
          <w:sz w:val="22"/>
          <w:szCs w:val="22"/>
        </w:rPr>
        <w:t>as part of Option 2.</w:t>
      </w:r>
    </w:p>
    <w:p w14:paraId="28E26063" w14:textId="77777777" w:rsidR="00556D2C" w:rsidRPr="002C5292" w:rsidRDefault="00556D2C" w:rsidP="00866FCF">
      <w:pPr>
        <w:pStyle w:val="Heading3"/>
      </w:pPr>
      <w:bookmarkStart w:id="57" w:name="_Toc70082368"/>
      <w:r w:rsidRPr="002C5292">
        <w:t>Exemptions for RIS-equivalence or national uniform legislation</w:t>
      </w:r>
      <w:bookmarkEnd w:id="57"/>
    </w:p>
    <w:p w14:paraId="0F988338" w14:textId="77777777" w:rsidR="00556D2C" w:rsidRPr="002C5292" w:rsidRDefault="00556D2C" w:rsidP="004803AD">
      <w:pPr>
        <w:pStyle w:val="DPCbody"/>
      </w:pPr>
      <w:r w:rsidRPr="002C5292">
        <w:t>As noted above, some of the criteria relate to proposals where a significant cost or burden may be imposed, but a RIS or equivalent document has been prepared and assessed elsewhere, and consultation has been undertaken, or the instrument is required under a national uniform legislation scheme and an assessment of the costs and benefits was undertaken. This is the case for the exemption criteria where a proposed instrument is:</w:t>
      </w:r>
    </w:p>
    <w:p w14:paraId="68EEB93B" w14:textId="77777777" w:rsidR="00556D2C" w:rsidRPr="002C5292" w:rsidRDefault="00556D2C" w:rsidP="000C4A15">
      <w:pPr>
        <w:pStyle w:val="DPCbodytext"/>
        <w:numPr>
          <w:ilvl w:val="0"/>
          <w:numId w:val="71"/>
        </w:numPr>
      </w:pPr>
      <w:r w:rsidRPr="002C5292">
        <w:t>required under a national uniform legislation scheme; or</w:t>
      </w:r>
    </w:p>
    <w:p w14:paraId="29450DFC" w14:textId="77777777" w:rsidR="00556D2C" w:rsidRPr="002C5292" w:rsidRDefault="00556D2C" w:rsidP="000C4A15">
      <w:pPr>
        <w:pStyle w:val="DPCbodytext"/>
        <w:numPr>
          <w:ilvl w:val="0"/>
          <w:numId w:val="71"/>
        </w:numPr>
      </w:pPr>
      <w:r w:rsidRPr="002C5292">
        <w:t>required to undergo or has undergone a process deemed equivalent to a RIS.</w:t>
      </w:r>
    </w:p>
    <w:p w14:paraId="5936588F" w14:textId="28053AAF" w:rsidR="00556D2C" w:rsidRPr="002C5292" w:rsidRDefault="00556D2C" w:rsidP="004803AD">
      <w:pPr>
        <w:pStyle w:val="DPCbody"/>
      </w:pPr>
      <w:r w:rsidRPr="002C5292">
        <w:t xml:space="preserve">A total of </w:t>
      </w:r>
      <w:r w:rsidR="00AF1D14" w:rsidRPr="002C5292">
        <w:t>8</w:t>
      </w:r>
      <w:r w:rsidR="00C73056" w:rsidRPr="002C5292">
        <w:t>7</w:t>
      </w:r>
      <w:r w:rsidR="00AF1D14" w:rsidRPr="002C5292">
        <w:t xml:space="preserve"> </w:t>
      </w:r>
      <w:r w:rsidRPr="002C5292">
        <w:t>provisions for legislative instruments have been assessed as meeting one of these criteria</w:t>
      </w:r>
      <w:r w:rsidR="00A4238E" w:rsidRPr="002C5292">
        <w:t xml:space="preserve"> </w:t>
      </w:r>
      <w:r w:rsidR="00214146" w:rsidRPr="002C5292">
        <w:t>in the Proposed Regulations</w:t>
      </w:r>
      <w:r w:rsidRPr="002C5292">
        <w:t>. Each category is discussed briefly below, including examples of instruments meeting the criteri</w:t>
      </w:r>
      <w:r w:rsidR="00A4238E" w:rsidRPr="002C5292">
        <w:t>on</w:t>
      </w:r>
      <w:r w:rsidRPr="002C5292">
        <w:t>.</w:t>
      </w:r>
    </w:p>
    <w:p w14:paraId="14F041E4" w14:textId="1FF9788F" w:rsidR="00556D2C" w:rsidRPr="002C5292" w:rsidRDefault="00556D2C" w:rsidP="00894C30">
      <w:pPr>
        <w:pStyle w:val="Heading3"/>
        <w:rPr>
          <w:sz w:val="22"/>
          <w:szCs w:val="22"/>
        </w:rPr>
      </w:pPr>
      <w:bookmarkStart w:id="58" w:name="_Toc70082369"/>
      <w:r w:rsidRPr="002C5292">
        <w:rPr>
          <w:sz w:val="22"/>
          <w:szCs w:val="22"/>
        </w:rPr>
        <w:t>RIS-equivalent processes</w:t>
      </w:r>
      <w:bookmarkEnd w:id="58"/>
    </w:p>
    <w:p w14:paraId="601C766F" w14:textId="77777777" w:rsidR="00556D2C" w:rsidRPr="002C5292" w:rsidRDefault="00556D2C" w:rsidP="00556D2C">
      <w:pPr>
        <w:spacing w:before="120" w:after="120" w:line="280" w:lineRule="exact"/>
        <w:rPr>
          <w:rFonts w:asciiTheme="minorHAnsi" w:hAnsiTheme="minorHAnsi" w:cstheme="minorHAnsi"/>
        </w:rPr>
      </w:pPr>
      <w:r w:rsidRPr="002C5292">
        <w:rPr>
          <w:rFonts w:asciiTheme="minorHAnsi" w:hAnsiTheme="minorHAnsi" w:cstheme="minorHAnsi"/>
        </w:rPr>
        <w:t>This analysis considers that in order to be RIS-equivalent, the following criteria must be met:</w:t>
      </w:r>
    </w:p>
    <w:p w14:paraId="3EF8596A" w14:textId="77777777" w:rsidR="00556D2C" w:rsidRPr="002C5292" w:rsidRDefault="00556D2C" w:rsidP="000C4A15">
      <w:pPr>
        <w:pStyle w:val="DPCbodytext"/>
        <w:numPr>
          <w:ilvl w:val="0"/>
          <w:numId w:val="72"/>
        </w:numPr>
      </w:pPr>
      <w:r w:rsidRPr="002C5292">
        <w:t>The preparation of a policy assessment that includes the nature and extent of the problem being addressed and an assessment of the options considered, including an assessment of the costs and benefits, to justify the introduction of the legislative instrument; and</w:t>
      </w:r>
    </w:p>
    <w:p w14:paraId="588B1039" w14:textId="77777777" w:rsidR="00556D2C" w:rsidRPr="002C5292" w:rsidRDefault="00556D2C" w:rsidP="000C4A15">
      <w:pPr>
        <w:pStyle w:val="DPCbodytext"/>
        <w:numPr>
          <w:ilvl w:val="0"/>
          <w:numId w:val="72"/>
        </w:numPr>
      </w:pPr>
      <w:r w:rsidRPr="002C5292">
        <w:t>An independent assessment that advises the adequacy of the policy assessment; and</w:t>
      </w:r>
    </w:p>
    <w:p w14:paraId="69FA36F1" w14:textId="77777777" w:rsidR="00556D2C" w:rsidRPr="002C5292" w:rsidRDefault="00556D2C" w:rsidP="000C4A15">
      <w:pPr>
        <w:pStyle w:val="DPCbodytext"/>
        <w:numPr>
          <w:ilvl w:val="0"/>
          <w:numId w:val="72"/>
        </w:numPr>
      </w:pPr>
      <w:r w:rsidRPr="002C5292">
        <w:t>A structured consultation process that includes public release of an exposure draft of the legislative instrument, with no less than 28 days of formal consultation.</w:t>
      </w:r>
    </w:p>
    <w:p w14:paraId="3F1AAC65" w14:textId="475B0467" w:rsidR="00556D2C" w:rsidRPr="002C5292" w:rsidRDefault="00556D2C" w:rsidP="004803AD">
      <w:pPr>
        <w:pStyle w:val="DPCbody"/>
      </w:pPr>
      <w:r w:rsidRPr="002C5292">
        <w:t xml:space="preserve">A number of instruments currently undergo a process very similar to the RIS process. Some of these are legislative requirements that are set out in the authorising Acts for these instruments. </w:t>
      </w:r>
      <w:r w:rsidR="003C4495" w:rsidRPr="002C5292">
        <w:t>DPC</w:t>
      </w:r>
      <w:r w:rsidRPr="002C5292">
        <w:t xml:space="preserve"> consider</w:t>
      </w:r>
      <w:r w:rsidR="003C4495" w:rsidRPr="002C5292">
        <w:t>s it</w:t>
      </w:r>
      <w:r w:rsidRPr="002C5292">
        <w:t xml:space="preserve"> inefficient to require instrument-makers to go through duplicate processes when making legislative instruments. It is also not considered appropriate to amend each of the authorising Acts to avoid such duplication, particularly given that the processes in authorising Acts may be tailored to the particular instruments and regimes to which they relate.</w:t>
      </w:r>
    </w:p>
    <w:p w14:paraId="7D54674B" w14:textId="77777777" w:rsidR="00556D2C" w:rsidRPr="002C5292" w:rsidRDefault="00556D2C" w:rsidP="004803AD">
      <w:pPr>
        <w:pStyle w:val="DPCbody"/>
      </w:pPr>
      <w:r w:rsidRPr="002C5292">
        <w:t xml:space="preserve">Further, in other cases where RIS equivalency applies, a RIS may not actually be suitable for the legislative instrument concerned. An equivalent, but more suitable process may be more appropriate, provided it meets the three criteria for RIS equivalency above. The equivalent processes in the relevant Acts for the instruments that this applies to are thought to be more suitable than the RIS process. </w:t>
      </w:r>
    </w:p>
    <w:p w14:paraId="572B63C8" w14:textId="68B8FE06" w:rsidR="00374A0D" w:rsidRPr="002C5292" w:rsidRDefault="00556D2C" w:rsidP="004803AD">
      <w:pPr>
        <w:pStyle w:val="DPCbody"/>
      </w:pPr>
      <w:r w:rsidRPr="002C5292">
        <w:t xml:space="preserve">There are </w:t>
      </w:r>
      <w:r w:rsidR="00AF1D14" w:rsidRPr="002C5292">
        <w:t>8</w:t>
      </w:r>
      <w:r w:rsidR="003A67F2" w:rsidRPr="002C5292">
        <w:t>4</w:t>
      </w:r>
      <w:r w:rsidR="00AF1D14" w:rsidRPr="002C5292">
        <w:t xml:space="preserve"> </w:t>
      </w:r>
      <w:r w:rsidRPr="002C5292">
        <w:t xml:space="preserve">provisions for making legislative instruments where a RIS-equivalent process is also required. These are </w:t>
      </w:r>
      <w:r w:rsidR="00AF1D14" w:rsidRPr="002C5292">
        <w:t xml:space="preserve">summarised </w:t>
      </w:r>
      <w:r w:rsidRPr="002C5292">
        <w:t>in the table below.</w:t>
      </w:r>
    </w:p>
    <w:p w14:paraId="28404990" w14:textId="63C9D78C" w:rsidR="00CD14C9" w:rsidRPr="002C5292" w:rsidRDefault="00CD14C9">
      <w:pPr>
        <w:rPr>
          <w:rFonts w:asciiTheme="minorHAnsi" w:eastAsia="MS Gothic" w:hAnsiTheme="minorHAnsi" w:cstheme="minorHAnsi"/>
          <w:b/>
          <w:bCs/>
          <w:color w:val="53565A"/>
        </w:rPr>
      </w:pPr>
    </w:p>
    <w:p w14:paraId="1C5874CE" w14:textId="3318B149" w:rsidR="00556D2C" w:rsidRPr="002C5292" w:rsidRDefault="00556D2C" w:rsidP="00311758">
      <w:pPr>
        <w:rPr>
          <w:rFonts w:asciiTheme="majorHAnsi" w:eastAsia="MS Gothic" w:hAnsiTheme="majorHAnsi"/>
          <w:b/>
          <w:bCs/>
          <w:color w:val="53565A"/>
        </w:rPr>
      </w:pPr>
      <w:r w:rsidRPr="002C5292">
        <w:rPr>
          <w:rFonts w:asciiTheme="majorHAnsi" w:eastAsia="MS Gothic" w:hAnsiTheme="majorHAnsi"/>
          <w:b/>
          <w:bCs/>
          <w:color w:val="53565A"/>
        </w:rPr>
        <w:t xml:space="preserve">Table </w:t>
      </w:r>
      <w:r w:rsidR="00CB5154" w:rsidRPr="002C5292">
        <w:rPr>
          <w:rFonts w:asciiTheme="majorHAnsi" w:eastAsia="MS Gothic" w:hAnsiTheme="majorHAnsi"/>
          <w:b/>
          <w:bCs/>
          <w:color w:val="53565A"/>
        </w:rPr>
        <w:t>4 -</w:t>
      </w:r>
      <w:r w:rsidRPr="002C5292">
        <w:rPr>
          <w:rFonts w:asciiTheme="majorHAnsi" w:eastAsia="MS Gothic" w:hAnsiTheme="majorHAnsi"/>
          <w:b/>
          <w:bCs/>
          <w:color w:val="53565A"/>
        </w:rPr>
        <w:t xml:space="preserve"> Rationale for proposed RIS-equivalent exemptions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6372"/>
      </w:tblGrid>
      <w:tr w:rsidR="00556D2C" w:rsidRPr="002C5292" w14:paraId="55A34E6E" w14:textId="77777777" w:rsidTr="007216FA">
        <w:tc>
          <w:tcPr>
            <w:tcW w:w="2666" w:type="dxa"/>
            <w:shd w:val="clear" w:color="auto" w:fill="auto"/>
          </w:tcPr>
          <w:p w14:paraId="0885C7A0" w14:textId="77777777" w:rsidR="00556D2C" w:rsidRPr="002C5292" w:rsidRDefault="00556D2C" w:rsidP="000C4A15">
            <w:pPr>
              <w:pStyle w:val="DPCbodytext"/>
            </w:pPr>
            <w:r w:rsidRPr="002C5292">
              <w:t>Instrument</w:t>
            </w:r>
          </w:p>
        </w:tc>
        <w:tc>
          <w:tcPr>
            <w:tcW w:w="6372" w:type="dxa"/>
            <w:shd w:val="clear" w:color="auto" w:fill="auto"/>
            <w:vAlign w:val="center"/>
          </w:tcPr>
          <w:p w14:paraId="0F47EEDD" w14:textId="77777777" w:rsidR="00556D2C" w:rsidRPr="002C5292" w:rsidRDefault="00556D2C" w:rsidP="000C4A15">
            <w:pPr>
              <w:pStyle w:val="DPCbodytext"/>
            </w:pPr>
            <w:r w:rsidRPr="002C5292">
              <w:t>Rationale for exemption</w:t>
            </w:r>
          </w:p>
        </w:tc>
      </w:tr>
      <w:tr w:rsidR="00A47AE1" w:rsidRPr="002C5292" w14:paraId="359D23BD" w14:textId="77777777" w:rsidTr="007216FA">
        <w:tc>
          <w:tcPr>
            <w:tcW w:w="2666" w:type="dxa"/>
            <w:shd w:val="clear" w:color="auto" w:fill="auto"/>
          </w:tcPr>
          <w:p w14:paraId="03805715" w14:textId="560223EC" w:rsidR="00A47AE1" w:rsidRPr="002C5292" w:rsidRDefault="0059539F" w:rsidP="000C4A15">
            <w:pPr>
              <w:pStyle w:val="DPCbodytext"/>
            </w:pPr>
            <w:r w:rsidRPr="002C5292">
              <w:t xml:space="preserve">Instrument </w:t>
            </w:r>
            <w:r w:rsidR="00A47AE1" w:rsidRPr="002C5292">
              <w:t>to determine charges for accident towing services (</w:t>
            </w:r>
            <w:r w:rsidR="00A47AE1" w:rsidRPr="002C5292">
              <w:rPr>
                <w:i/>
              </w:rPr>
              <w:t>Accident Towing Service Act 2007</w:t>
            </w:r>
            <w:r w:rsidR="00A47AE1" w:rsidRPr="002C5292">
              <w:t xml:space="preserve"> s 211)</w:t>
            </w:r>
          </w:p>
        </w:tc>
        <w:tc>
          <w:tcPr>
            <w:tcW w:w="6372" w:type="dxa"/>
            <w:shd w:val="clear" w:color="auto" w:fill="auto"/>
            <w:vAlign w:val="center"/>
          </w:tcPr>
          <w:p w14:paraId="6D998556" w14:textId="54C2834A" w:rsidR="00A47AE1" w:rsidRPr="002C5292" w:rsidRDefault="00A47AE1" w:rsidP="000C4A15">
            <w:pPr>
              <w:pStyle w:val="DPCbodytext"/>
            </w:pPr>
            <w:r w:rsidRPr="002C5292">
              <w:t>Instruments are required to undergo, or have undergone, an analytical and consultation process which is equivalent to the process for a RIS. The Essential Services Commission (ESC), which undertakes the process, will have its analysis independently assessed as part of the process for future instruments that are made.</w:t>
            </w:r>
          </w:p>
        </w:tc>
      </w:tr>
      <w:tr w:rsidR="00A47AE1" w:rsidRPr="002C5292" w14:paraId="65B4749C" w14:textId="77777777" w:rsidTr="007216FA">
        <w:tc>
          <w:tcPr>
            <w:tcW w:w="2666" w:type="dxa"/>
            <w:shd w:val="clear" w:color="auto" w:fill="auto"/>
          </w:tcPr>
          <w:p w14:paraId="6870C7EC" w14:textId="4533A29F" w:rsidR="00A47AE1" w:rsidRPr="002C5292" w:rsidRDefault="00A47AE1" w:rsidP="000C4A15">
            <w:pPr>
              <w:pStyle w:val="DPCbodytext"/>
            </w:pPr>
            <w:r w:rsidRPr="002C5292">
              <w:t>Instruments made by the Essential Services Commission under various Acts (</w:t>
            </w:r>
            <w:r w:rsidRPr="002C5292">
              <w:rPr>
                <w:i/>
              </w:rPr>
              <w:t xml:space="preserve">Essential Services Commission Act </w:t>
            </w:r>
            <w:r w:rsidRPr="002C5292">
              <w:t>2001 s 34(1);Grain</w:t>
            </w:r>
            <w:r w:rsidRPr="002C5292">
              <w:rPr>
                <w:i/>
              </w:rPr>
              <w:t xml:space="preserve"> Handling and Storage Act 1995</w:t>
            </w:r>
            <w:r w:rsidRPr="002C5292">
              <w:t xml:space="preserve"> ss 15, 18, 19</w:t>
            </w:r>
            <w:r w:rsidR="0059539F" w:rsidRPr="002C5292">
              <w:t xml:space="preserve"> and</w:t>
            </w:r>
            <w:r w:rsidRPr="002C5292">
              <w:t xml:space="preserve"> 20)</w:t>
            </w:r>
          </w:p>
        </w:tc>
        <w:tc>
          <w:tcPr>
            <w:tcW w:w="6372" w:type="dxa"/>
            <w:shd w:val="clear" w:color="auto" w:fill="auto"/>
            <w:vAlign w:val="center"/>
          </w:tcPr>
          <w:p w14:paraId="49B2A6C3" w14:textId="69604D9B" w:rsidR="00A47AE1" w:rsidRPr="002C5292" w:rsidRDefault="00A47AE1" w:rsidP="000C4A15">
            <w:pPr>
              <w:pStyle w:val="DPCbodytext"/>
            </w:pPr>
            <w:r w:rsidRPr="002C5292">
              <w:t xml:space="preserve">The ESC conducts thorough analysis for these instruments that are released for public consultation. Participation in the public consultation is high by those affected by the instruments. </w:t>
            </w:r>
            <w:r w:rsidR="0059539F" w:rsidRPr="002C5292">
              <w:t>T</w:t>
            </w:r>
            <w:r w:rsidRPr="002C5292">
              <w:t>he ESC</w:t>
            </w:r>
            <w:r w:rsidR="007330D6" w:rsidRPr="002C5292">
              <w:t xml:space="preserve"> will ordinarily seek</w:t>
            </w:r>
            <w:r w:rsidRPr="002C5292">
              <w:t xml:space="preserve"> independent advice as to the adequacy of its analysis for </w:t>
            </w:r>
            <w:r w:rsidR="0059539F" w:rsidRPr="002C5292">
              <w:t xml:space="preserve">any </w:t>
            </w:r>
            <w:r w:rsidRPr="002C5292">
              <w:t xml:space="preserve">instruments that are made. The exemption from </w:t>
            </w:r>
            <w:r w:rsidR="0059539F" w:rsidRPr="002C5292">
              <w:t xml:space="preserve">certain </w:t>
            </w:r>
            <w:r w:rsidRPr="002C5292">
              <w:t xml:space="preserve">SLA </w:t>
            </w:r>
            <w:r w:rsidR="0059539F" w:rsidRPr="002C5292">
              <w:t xml:space="preserve">requirements </w:t>
            </w:r>
            <w:r w:rsidRPr="002C5292">
              <w:t xml:space="preserve">will only apply to instruments made by the ESC; where an instrument is made by any other department or agency under the same provisions, </w:t>
            </w:r>
            <w:r w:rsidR="0059539F" w:rsidRPr="002C5292">
              <w:t xml:space="preserve">those instruments </w:t>
            </w:r>
            <w:r w:rsidRPr="002C5292">
              <w:t>will not be exempt</w:t>
            </w:r>
            <w:r w:rsidR="0059539F" w:rsidRPr="002C5292">
              <w:t xml:space="preserve"> from the SLA</w:t>
            </w:r>
            <w:r w:rsidRPr="002C5292">
              <w:t>.</w:t>
            </w:r>
          </w:p>
        </w:tc>
      </w:tr>
      <w:tr w:rsidR="00A47AE1" w:rsidRPr="002C5292" w14:paraId="02F064F0" w14:textId="77777777" w:rsidTr="007216FA">
        <w:tc>
          <w:tcPr>
            <w:tcW w:w="2666" w:type="dxa"/>
            <w:shd w:val="clear" w:color="auto" w:fill="auto"/>
          </w:tcPr>
          <w:p w14:paraId="56EA627B" w14:textId="513CEDD7" w:rsidR="00A47AE1" w:rsidRPr="002C5292" w:rsidRDefault="00A47AE1" w:rsidP="000C4A15">
            <w:pPr>
              <w:pStyle w:val="DPCbodytext"/>
            </w:pPr>
            <w:r w:rsidRPr="002C5292">
              <w:t xml:space="preserve">State Environment Protection Policy </w:t>
            </w:r>
            <w:r w:rsidR="0059539F" w:rsidRPr="002C5292">
              <w:t xml:space="preserve">declaration </w:t>
            </w:r>
            <w:r w:rsidRPr="002C5292">
              <w:t>(</w:t>
            </w:r>
            <w:r w:rsidRPr="002C5292">
              <w:rPr>
                <w:i/>
              </w:rPr>
              <w:t>Environment Protection Act 1970</w:t>
            </w:r>
            <w:r w:rsidRPr="002C5292">
              <w:t xml:space="preserve"> s 16(1), (1B), (1C))</w:t>
            </w:r>
          </w:p>
        </w:tc>
        <w:tc>
          <w:tcPr>
            <w:tcW w:w="6372" w:type="dxa"/>
            <w:shd w:val="clear" w:color="auto" w:fill="auto"/>
            <w:vAlign w:val="center"/>
          </w:tcPr>
          <w:p w14:paraId="78D0F267" w14:textId="37ED8DC6" w:rsidR="00A47AE1" w:rsidRPr="002C5292" w:rsidRDefault="00A47AE1" w:rsidP="000C4A15">
            <w:pPr>
              <w:pStyle w:val="DPCbodytext"/>
            </w:pPr>
            <w:r w:rsidRPr="002C5292">
              <w:t xml:space="preserve">The Act sets up specific requirements for analysis and consultation equivalent to or more stringent than for a RIS; for example, the consultation period is required to be for a minimum three months. </w:t>
            </w:r>
            <w:r w:rsidR="0059539F" w:rsidRPr="002C5292">
              <w:t>T</w:t>
            </w:r>
            <w:r w:rsidRPr="002C5292">
              <w:t xml:space="preserve">he Environmental Protection </w:t>
            </w:r>
            <w:r w:rsidR="00560DC2" w:rsidRPr="002C5292">
              <w:t xml:space="preserve">Authority </w:t>
            </w:r>
            <w:r w:rsidRPr="002C5292">
              <w:t>(</w:t>
            </w:r>
            <w:r w:rsidRPr="002C5292">
              <w:rPr>
                <w:rFonts w:ascii="Helv" w:eastAsia="Times New Roman" w:hAnsi="Helv" w:cs="Helv"/>
                <w:color w:val="000000"/>
                <w:szCs w:val="20"/>
              </w:rPr>
              <w:t xml:space="preserve">EPA) </w:t>
            </w:r>
            <w:r w:rsidR="0059539F" w:rsidRPr="002C5292">
              <w:rPr>
                <w:rFonts w:ascii="Helv" w:eastAsia="Times New Roman" w:hAnsi="Helv" w:cs="Helv"/>
                <w:color w:val="000000"/>
                <w:szCs w:val="20"/>
              </w:rPr>
              <w:t xml:space="preserve">also </w:t>
            </w:r>
            <w:r w:rsidRPr="002C5292">
              <w:rPr>
                <w:rFonts w:ascii="Helv" w:eastAsia="Times New Roman" w:hAnsi="Helv" w:cs="Helv"/>
                <w:color w:val="000000"/>
                <w:szCs w:val="20"/>
              </w:rPr>
              <w:t>requires independent review of its draft Policy Impact Assessments before they are released for public comment along with the draft statutory policy.</w:t>
            </w:r>
          </w:p>
        </w:tc>
      </w:tr>
      <w:tr w:rsidR="00A47AE1" w:rsidRPr="002C5292" w14:paraId="4B806D1B" w14:textId="77777777" w:rsidTr="007216FA">
        <w:tc>
          <w:tcPr>
            <w:tcW w:w="2666" w:type="dxa"/>
            <w:shd w:val="clear" w:color="auto" w:fill="auto"/>
          </w:tcPr>
          <w:p w14:paraId="5B5D070E" w14:textId="1ECFD2B1" w:rsidR="00A47AE1" w:rsidRPr="002C5292" w:rsidRDefault="00A47AE1" w:rsidP="000C4A15">
            <w:pPr>
              <w:pStyle w:val="DPCbodytext"/>
            </w:pPr>
            <w:r w:rsidRPr="002C5292">
              <w:t xml:space="preserve">Waste Management Policy </w:t>
            </w:r>
            <w:r w:rsidR="0059539F" w:rsidRPr="002C5292">
              <w:t xml:space="preserve">declaration </w:t>
            </w:r>
            <w:r w:rsidRPr="002C5292">
              <w:t>(</w:t>
            </w:r>
            <w:r w:rsidRPr="002C5292">
              <w:rPr>
                <w:i/>
              </w:rPr>
              <w:t>Environment Protection Act 1970</w:t>
            </w:r>
            <w:r w:rsidRPr="002C5292">
              <w:t xml:space="preserve"> s 16A)</w:t>
            </w:r>
          </w:p>
        </w:tc>
        <w:tc>
          <w:tcPr>
            <w:tcW w:w="6372" w:type="dxa"/>
            <w:shd w:val="clear" w:color="auto" w:fill="auto"/>
            <w:vAlign w:val="center"/>
          </w:tcPr>
          <w:p w14:paraId="1AE482F3" w14:textId="7E975408" w:rsidR="00A47AE1" w:rsidRPr="002C5292" w:rsidRDefault="00A47AE1" w:rsidP="000C4A15">
            <w:pPr>
              <w:pStyle w:val="DPCbodytext"/>
            </w:pPr>
            <w:r w:rsidRPr="002C5292">
              <w:t>The Act sets up specific requirements for analysis and consultation equivalent to or more stringent than for a RIS; for example, the consultation period is required to be for a minimum three months.</w:t>
            </w:r>
            <w:r w:rsidR="00560DC2" w:rsidRPr="002C5292">
              <w:t xml:space="preserve"> </w:t>
            </w:r>
            <w:r w:rsidR="0059539F" w:rsidRPr="002C5292">
              <w:t>T</w:t>
            </w:r>
            <w:r w:rsidRPr="002C5292">
              <w:t xml:space="preserve">he </w:t>
            </w:r>
            <w:r w:rsidRPr="002C5292">
              <w:rPr>
                <w:rFonts w:ascii="Helv" w:eastAsia="Times New Roman" w:hAnsi="Helv" w:cs="Helv"/>
                <w:color w:val="000000"/>
                <w:szCs w:val="20"/>
              </w:rPr>
              <w:t xml:space="preserve">EPA </w:t>
            </w:r>
            <w:r w:rsidR="0059539F" w:rsidRPr="002C5292">
              <w:rPr>
                <w:rFonts w:ascii="Helv" w:eastAsia="Times New Roman" w:hAnsi="Helv" w:cs="Helv"/>
                <w:color w:val="000000"/>
                <w:szCs w:val="20"/>
              </w:rPr>
              <w:t xml:space="preserve">also </w:t>
            </w:r>
            <w:r w:rsidRPr="002C5292">
              <w:rPr>
                <w:rFonts w:ascii="Helv" w:eastAsia="Times New Roman" w:hAnsi="Helv" w:cs="Helv"/>
                <w:color w:val="000000"/>
                <w:szCs w:val="20"/>
              </w:rPr>
              <w:t>requires independent review of its draft Policy Impact Assessments before they are released for public comment along with the draft statutory policy.</w:t>
            </w:r>
          </w:p>
        </w:tc>
      </w:tr>
      <w:tr w:rsidR="00A47AE1" w:rsidRPr="002C5292" w14:paraId="20460429" w14:textId="77777777" w:rsidTr="007216FA">
        <w:tc>
          <w:tcPr>
            <w:tcW w:w="2666" w:type="dxa"/>
            <w:shd w:val="clear" w:color="auto" w:fill="auto"/>
          </w:tcPr>
          <w:p w14:paraId="18E693EE" w14:textId="3E0A90F2" w:rsidR="00A47AE1" w:rsidRPr="002C5292" w:rsidRDefault="00A47AE1" w:rsidP="000C4A15">
            <w:pPr>
              <w:pStyle w:val="DPCbodytext"/>
            </w:pPr>
            <w:r w:rsidRPr="002C5292">
              <w:t xml:space="preserve">Price </w:t>
            </w:r>
            <w:r w:rsidR="0059539F" w:rsidRPr="002C5292">
              <w:t>d</w:t>
            </w:r>
            <w:r w:rsidRPr="002C5292">
              <w:t>eterminations (Essential Services Commission Act 2001 s33(5))</w:t>
            </w:r>
          </w:p>
        </w:tc>
        <w:tc>
          <w:tcPr>
            <w:tcW w:w="6372" w:type="dxa"/>
            <w:shd w:val="clear" w:color="auto" w:fill="auto"/>
            <w:vAlign w:val="center"/>
          </w:tcPr>
          <w:p w14:paraId="60C5D33F" w14:textId="2D1D8600" w:rsidR="00A47AE1" w:rsidRPr="002C5292" w:rsidRDefault="00A47AE1" w:rsidP="000C4A15">
            <w:pPr>
              <w:pStyle w:val="DPCbodytext"/>
            </w:pPr>
            <w:r w:rsidRPr="002C5292">
              <w:t xml:space="preserve">The ESC conducts thorough analysis for these instruments that are released for public consultation. Participation in the public consultation is high by those affected by the instruments. The authorising Acts do not require independent analysis, however the ESC </w:t>
            </w:r>
            <w:r w:rsidR="00560DC2" w:rsidRPr="002C5292">
              <w:t xml:space="preserve">provides </w:t>
            </w:r>
            <w:r w:rsidRPr="002C5292">
              <w:t xml:space="preserve">independent advice as to the adequacy of its analysis for </w:t>
            </w:r>
            <w:r w:rsidR="00560DC2" w:rsidRPr="002C5292">
              <w:t xml:space="preserve">any </w:t>
            </w:r>
            <w:r w:rsidRPr="002C5292">
              <w:t xml:space="preserve">instruments that are made. </w:t>
            </w:r>
          </w:p>
        </w:tc>
      </w:tr>
      <w:tr w:rsidR="00A47AE1" w:rsidRPr="002C5292" w14:paraId="3C07561D" w14:textId="77777777" w:rsidTr="007216FA">
        <w:tc>
          <w:tcPr>
            <w:tcW w:w="2666" w:type="dxa"/>
            <w:shd w:val="clear" w:color="auto" w:fill="auto"/>
          </w:tcPr>
          <w:p w14:paraId="391A5E6E" w14:textId="566F4732" w:rsidR="00A47AE1" w:rsidRPr="002C5292" w:rsidRDefault="00A47AE1" w:rsidP="000C4A15">
            <w:pPr>
              <w:pStyle w:val="DPCbodytext"/>
            </w:pPr>
            <w:r w:rsidRPr="002C5292">
              <w:t xml:space="preserve">Codes of Practice </w:t>
            </w:r>
            <w:r w:rsidR="0059539F" w:rsidRPr="002C5292">
              <w:t xml:space="preserve">made by the ESC </w:t>
            </w:r>
            <w:r w:rsidRPr="002C5292">
              <w:t>(</w:t>
            </w:r>
            <w:r w:rsidRPr="002C5292">
              <w:rPr>
                <w:i/>
              </w:rPr>
              <w:t xml:space="preserve">Essential Services Commission </w:t>
            </w:r>
            <w:r w:rsidR="00560DC2" w:rsidRPr="002C5292">
              <w:rPr>
                <w:i/>
              </w:rPr>
              <w:t>Act </w:t>
            </w:r>
            <w:r w:rsidRPr="002C5292">
              <w:rPr>
                <w:i/>
              </w:rPr>
              <w:t>2001</w:t>
            </w:r>
            <w:r w:rsidRPr="002C5292">
              <w:t xml:space="preserve"> s 47(1))</w:t>
            </w:r>
          </w:p>
        </w:tc>
        <w:tc>
          <w:tcPr>
            <w:tcW w:w="6372" w:type="dxa"/>
            <w:shd w:val="clear" w:color="auto" w:fill="auto"/>
            <w:vAlign w:val="center"/>
          </w:tcPr>
          <w:p w14:paraId="43A56B04" w14:textId="77777777" w:rsidR="00A47AE1" w:rsidRPr="002C5292" w:rsidRDefault="00A47AE1" w:rsidP="000C4A15">
            <w:pPr>
              <w:pStyle w:val="DPCbodytext"/>
            </w:pPr>
            <w:r w:rsidRPr="002C5292">
              <w:t>Instruments are required to undergo, or have undergone, an analytical and consultation process which is equivalent to the process for a RIS. The ESC, which undertakes the process, will have its analysis independently assessed as part of the process for future instruments that are made.</w:t>
            </w:r>
          </w:p>
        </w:tc>
      </w:tr>
      <w:tr w:rsidR="00A47AE1" w:rsidRPr="002C5292" w14:paraId="3AA16968" w14:textId="77777777" w:rsidTr="00560DC2">
        <w:tc>
          <w:tcPr>
            <w:tcW w:w="2666" w:type="dxa"/>
            <w:shd w:val="clear" w:color="auto" w:fill="auto"/>
          </w:tcPr>
          <w:p w14:paraId="007F7254" w14:textId="36C58018" w:rsidR="00A47AE1" w:rsidRPr="002C5292" w:rsidRDefault="00A47AE1" w:rsidP="000C4A15">
            <w:pPr>
              <w:pStyle w:val="DPCbodytext"/>
            </w:pPr>
            <w:r w:rsidRPr="002C5292">
              <w:t xml:space="preserve">Standards and </w:t>
            </w:r>
            <w:r w:rsidR="00560DC2" w:rsidRPr="002C5292">
              <w:t>c</w:t>
            </w:r>
            <w:r w:rsidRPr="002C5292">
              <w:t xml:space="preserve">onditions of </w:t>
            </w:r>
            <w:r w:rsidR="00560DC2" w:rsidRPr="002C5292">
              <w:t>s</w:t>
            </w:r>
            <w:r w:rsidRPr="002C5292">
              <w:t xml:space="preserve">ervice </w:t>
            </w:r>
            <w:r w:rsidR="00560DC2" w:rsidRPr="002C5292">
              <w:t xml:space="preserve">and supply </w:t>
            </w:r>
            <w:r w:rsidRPr="002C5292">
              <w:t>(</w:t>
            </w:r>
            <w:r w:rsidRPr="002C5292">
              <w:rPr>
                <w:i/>
              </w:rPr>
              <w:t xml:space="preserve">Port Management </w:t>
            </w:r>
            <w:r w:rsidR="00560DC2" w:rsidRPr="002C5292">
              <w:rPr>
                <w:i/>
              </w:rPr>
              <w:t>Act </w:t>
            </w:r>
            <w:r w:rsidRPr="002C5292">
              <w:rPr>
                <w:i/>
              </w:rPr>
              <w:t>1995</w:t>
            </w:r>
            <w:r w:rsidRPr="002C5292">
              <w:t xml:space="preserve"> </w:t>
            </w:r>
            <w:r w:rsidR="00560DC2" w:rsidRPr="002C5292">
              <w:t>s </w:t>
            </w:r>
            <w:r w:rsidRPr="002C5292">
              <w:t>55(1)(a))</w:t>
            </w:r>
          </w:p>
        </w:tc>
        <w:tc>
          <w:tcPr>
            <w:tcW w:w="6372" w:type="dxa"/>
            <w:shd w:val="clear" w:color="auto" w:fill="auto"/>
            <w:vAlign w:val="center"/>
          </w:tcPr>
          <w:p w14:paraId="3451A12F" w14:textId="66BE089C" w:rsidR="00A47AE1" w:rsidRPr="002C5292" w:rsidRDefault="00A47AE1" w:rsidP="000C4A15">
            <w:pPr>
              <w:pStyle w:val="DPCbodytext"/>
            </w:pPr>
            <w:r w:rsidRPr="002C5292">
              <w:t>Instruments are required to undergo, or have undergone, an analytical and consultation process which is equivalent to the process for a RIS. The ESC, which undertakes the process, will have its analysis independently assessed as part of the process for future instruments that are made.</w:t>
            </w:r>
          </w:p>
        </w:tc>
      </w:tr>
      <w:tr w:rsidR="00A47AE1" w:rsidRPr="002C5292" w14:paraId="17A3E6FC" w14:textId="77777777" w:rsidTr="00560DC2">
        <w:tc>
          <w:tcPr>
            <w:tcW w:w="2666" w:type="dxa"/>
            <w:shd w:val="clear" w:color="auto" w:fill="auto"/>
          </w:tcPr>
          <w:p w14:paraId="60420E2A" w14:textId="78BC4296" w:rsidR="00A47AE1" w:rsidRPr="002C5292" w:rsidRDefault="00A47AE1" w:rsidP="000C4A15">
            <w:pPr>
              <w:pStyle w:val="DPCbodytext"/>
            </w:pPr>
            <w:r w:rsidRPr="002C5292">
              <w:t>Rural water customer codes, standards and conditions of service (</w:t>
            </w:r>
            <w:r w:rsidRPr="002C5292">
              <w:rPr>
                <w:i/>
              </w:rPr>
              <w:t xml:space="preserve">Water Industry </w:t>
            </w:r>
            <w:r w:rsidR="00560DC2" w:rsidRPr="002C5292">
              <w:rPr>
                <w:i/>
              </w:rPr>
              <w:t>Act </w:t>
            </w:r>
            <w:r w:rsidRPr="002C5292">
              <w:rPr>
                <w:i/>
              </w:rPr>
              <w:t>1994</w:t>
            </w:r>
            <w:r w:rsidRPr="002C5292">
              <w:t>, ss 4E and 4F)</w:t>
            </w:r>
          </w:p>
        </w:tc>
        <w:tc>
          <w:tcPr>
            <w:tcW w:w="6372" w:type="dxa"/>
            <w:shd w:val="clear" w:color="auto" w:fill="auto"/>
            <w:vAlign w:val="center"/>
          </w:tcPr>
          <w:p w14:paraId="61265BFD" w14:textId="7BD5E518" w:rsidR="00A47AE1" w:rsidRPr="002C5292" w:rsidRDefault="00A47AE1" w:rsidP="000C4A15">
            <w:pPr>
              <w:pStyle w:val="DPCbodytext"/>
            </w:pPr>
            <w:r w:rsidRPr="002C5292">
              <w:t xml:space="preserve">These instruments are required to undergo, or have undergone, an analytical and consultation process which is equivalent to the process for a RIS. The </w:t>
            </w:r>
            <w:r w:rsidR="00560DC2" w:rsidRPr="002C5292">
              <w:t xml:space="preserve">ESC </w:t>
            </w:r>
            <w:r w:rsidRPr="002C5292">
              <w:t>undertakes an extensive public consultation process before making such Codes and as part of that process carries out a full assessment of the economic and social impacts of the proposed Codes. In line with the requirements of the SLA, the ESC will have independent advice as to the adequacy of the analysis for future instruments that are made.</w:t>
            </w:r>
          </w:p>
        </w:tc>
      </w:tr>
    </w:tbl>
    <w:p w14:paraId="4B0849F7" w14:textId="7B7123A7" w:rsidR="00556D2C" w:rsidRPr="002C5292" w:rsidRDefault="00556D2C" w:rsidP="003439E0">
      <w:pPr>
        <w:pStyle w:val="DPCbody"/>
      </w:pPr>
      <w:r w:rsidRPr="002C5292">
        <w:t>There is a small risk that the RIS-equivalent process</w:t>
      </w:r>
      <w:r w:rsidR="002E6F7C" w:rsidRPr="002C5292">
        <w:t xml:space="preserve"> in those Acts</w:t>
      </w:r>
      <w:r w:rsidRPr="002C5292">
        <w:t xml:space="preserve"> may change in future. This is not considered likely; however, in the event that the process does change for a particular instrument, the provision for making that instrument could have its exemption removed in a future amendment to the </w:t>
      </w:r>
      <w:r w:rsidR="00A47AE1" w:rsidRPr="002C5292">
        <w:t xml:space="preserve">Proposed </w:t>
      </w:r>
      <w:r w:rsidRPr="002C5292">
        <w:t>Regulations.</w:t>
      </w:r>
    </w:p>
    <w:p w14:paraId="180A6FC2" w14:textId="08A77C43" w:rsidR="00556D2C" w:rsidRPr="002C5292" w:rsidRDefault="00556D2C" w:rsidP="00894C30">
      <w:pPr>
        <w:pStyle w:val="Heading3"/>
        <w:rPr>
          <w:sz w:val="22"/>
          <w:szCs w:val="22"/>
        </w:rPr>
      </w:pPr>
      <w:bookmarkStart w:id="59" w:name="_Toc70082370"/>
      <w:r w:rsidRPr="002C5292">
        <w:rPr>
          <w:sz w:val="22"/>
          <w:szCs w:val="22"/>
        </w:rPr>
        <w:t>National uniform legislation schemes</w:t>
      </w:r>
      <w:bookmarkEnd w:id="59"/>
    </w:p>
    <w:p w14:paraId="23B19F1A" w14:textId="2EB4C9DA" w:rsidR="003B0DBC" w:rsidRPr="002C5292" w:rsidRDefault="00556D2C" w:rsidP="00556D2C">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For proposals under a national uniform legislation scheme, an assessment of costs and benefits must have been </w:t>
      </w:r>
      <w:r w:rsidR="003B0DBC" w:rsidRPr="002C5292">
        <w:rPr>
          <w:rFonts w:asciiTheme="minorHAnsi" w:hAnsiTheme="minorHAnsi" w:cstheme="minorHAnsi"/>
          <w:sz w:val="22"/>
          <w:szCs w:val="22"/>
        </w:rPr>
        <w:t xml:space="preserve">recently </w:t>
      </w:r>
      <w:r w:rsidRPr="002C5292">
        <w:rPr>
          <w:rFonts w:asciiTheme="minorHAnsi" w:hAnsiTheme="minorHAnsi" w:cstheme="minorHAnsi"/>
          <w:sz w:val="22"/>
          <w:szCs w:val="22"/>
        </w:rPr>
        <w:t>undertaken</w:t>
      </w:r>
      <w:r w:rsidR="003B0DBC" w:rsidRPr="002C5292">
        <w:rPr>
          <w:rFonts w:asciiTheme="minorHAnsi" w:hAnsiTheme="minorHAnsi" w:cstheme="minorHAnsi"/>
          <w:sz w:val="22"/>
          <w:szCs w:val="22"/>
        </w:rPr>
        <w:t xml:space="preserve"> (i.e. in the past three to five years)</w:t>
      </w:r>
      <w:r w:rsidRPr="002C5292">
        <w:rPr>
          <w:rFonts w:asciiTheme="minorHAnsi" w:hAnsiTheme="minorHAnsi" w:cstheme="minorHAnsi"/>
          <w:sz w:val="22"/>
          <w:szCs w:val="22"/>
        </w:rPr>
        <w:t xml:space="preserve">. The exemption ground reflects the unusual nature of national uniform legislation schemes and the cross-jurisdictional nature of the process leading to their establishment and agreement to them by the Victorian Government. </w:t>
      </w:r>
      <w:r w:rsidR="003B0DBC" w:rsidRPr="002C5292">
        <w:rPr>
          <w:rFonts w:asciiTheme="minorHAnsi" w:hAnsiTheme="minorHAnsi" w:cstheme="minorHAnsi"/>
          <w:sz w:val="22"/>
          <w:szCs w:val="22"/>
        </w:rPr>
        <w:t xml:space="preserve">There is an expectation that </w:t>
      </w:r>
      <w:r w:rsidR="00DB3ABE" w:rsidRPr="002C5292">
        <w:rPr>
          <w:rFonts w:asciiTheme="minorHAnsi" w:hAnsiTheme="minorHAnsi" w:cstheme="minorHAnsi"/>
          <w:sz w:val="22"/>
          <w:szCs w:val="22"/>
        </w:rPr>
        <w:t xml:space="preserve">impacted Victorian stakeholders have </w:t>
      </w:r>
      <w:r w:rsidR="00A97965" w:rsidRPr="002C5292">
        <w:rPr>
          <w:rFonts w:asciiTheme="minorHAnsi" w:hAnsiTheme="minorHAnsi" w:cstheme="minorHAnsi"/>
          <w:sz w:val="22"/>
          <w:szCs w:val="22"/>
        </w:rPr>
        <w:t>had an opportunity to comment and that either</w:t>
      </w:r>
      <w:r w:rsidR="00DB3ABE" w:rsidRPr="002C5292">
        <w:rPr>
          <w:rFonts w:asciiTheme="minorHAnsi" w:hAnsiTheme="minorHAnsi" w:cstheme="minorHAnsi"/>
          <w:sz w:val="22"/>
          <w:szCs w:val="22"/>
        </w:rPr>
        <w:t xml:space="preserve"> </w:t>
      </w:r>
      <w:r w:rsidR="009E5FD9" w:rsidRPr="002C5292">
        <w:rPr>
          <w:rFonts w:asciiTheme="minorHAnsi" w:hAnsiTheme="minorHAnsi" w:cstheme="minorHAnsi"/>
          <w:sz w:val="22"/>
          <w:szCs w:val="22"/>
        </w:rPr>
        <w:t xml:space="preserve">impacts on Victoria have been considered or that </w:t>
      </w:r>
      <w:r w:rsidR="003B0DBC" w:rsidRPr="002C5292">
        <w:rPr>
          <w:rFonts w:asciiTheme="minorHAnsi" w:hAnsiTheme="minorHAnsi" w:cstheme="minorHAnsi"/>
          <w:sz w:val="22"/>
          <w:szCs w:val="22"/>
        </w:rPr>
        <w:t xml:space="preserve">any national impacts identified in that consultation will be </w:t>
      </w:r>
      <w:r w:rsidR="00315169" w:rsidRPr="002C5292">
        <w:rPr>
          <w:rFonts w:asciiTheme="minorHAnsi" w:hAnsiTheme="minorHAnsi" w:cstheme="minorHAnsi"/>
          <w:sz w:val="22"/>
          <w:szCs w:val="22"/>
        </w:rPr>
        <w:t xml:space="preserve">equally </w:t>
      </w:r>
      <w:r w:rsidR="003B0DBC" w:rsidRPr="002C5292">
        <w:rPr>
          <w:rFonts w:asciiTheme="minorHAnsi" w:hAnsiTheme="minorHAnsi" w:cstheme="minorHAnsi"/>
          <w:sz w:val="22"/>
          <w:szCs w:val="22"/>
        </w:rPr>
        <w:t>applicable to Victoria.</w:t>
      </w:r>
    </w:p>
    <w:p w14:paraId="16188844" w14:textId="7FA91D70" w:rsidR="00556D2C" w:rsidRPr="002C5292" w:rsidRDefault="00556D2C" w:rsidP="00556D2C">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Further to this are considerations such as the impact on State-Commonwealth relations. For example, if a commitment has been made to implement a particular policy (which has undergone a national assessment of costs and benefits) within a set timeframe, and Victoria were to delay this through its own requirements under the SLA, then this could affect the overall implementation of the policy to the detriment</w:t>
      </w:r>
      <w:r w:rsidR="00E114C6"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of those benefiting (both Victorians and all Australians) and to the relationship with other State </w:t>
      </w:r>
      <w:r w:rsidR="00E114C6" w:rsidRPr="002C5292">
        <w:rPr>
          <w:rFonts w:asciiTheme="minorHAnsi" w:hAnsiTheme="minorHAnsi" w:cstheme="minorHAnsi"/>
          <w:sz w:val="22"/>
          <w:szCs w:val="22"/>
        </w:rPr>
        <w:t xml:space="preserve">and Territory </w:t>
      </w:r>
      <w:r w:rsidRPr="002C5292">
        <w:rPr>
          <w:rFonts w:asciiTheme="minorHAnsi" w:hAnsiTheme="minorHAnsi" w:cstheme="minorHAnsi"/>
          <w:sz w:val="22"/>
          <w:szCs w:val="22"/>
        </w:rPr>
        <w:t>governments and the Commonwealth.</w:t>
      </w:r>
    </w:p>
    <w:p w14:paraId="46305C23" w14:textId="4D736463" w:rsidR="00556D2C" w:rsidRPr="002C5292" w:rsidRDefault="00556D2C" w:rsidP="004224CB">
      <w:pPr>
        <w:pStyle w:val="DPCbody"/>
      </w:pPr>
      <w:r w:rsidRPr="002C5292">
        <w:t xml:space="preserve">There are </w:t>
      </w:r>
      <w:r w:rsidR="00AF1D14" w:rsidRPr="002C5292">
        <w:t xml:space="preserve">3 </w:t>
      </w:r>
      <w:r w:rsidRPr="002C5292">
        <w:t>provisions in total for making legislative instruments where instruments are made under national uniform legislation.</w:t>
      </w:r>
    </w:p>
    <w:p w14:paraId="484B96D6" w14:textId="7189AA26" w:rsidR="00556D2C" w:rsidRPr="002C5292" w:rsidRDefault="00022AA0" w:rsidP="004224CB">
      <w:pPr>
        <w:pStyle w:val="DPCbody"/>
      </w:pPr>
      <w:r w:rsidRPr="002C5292">
        <w:t>The Proposed Regulations include</w:t>
      </w:r>
      <w:r w:rsidR="00556D2C" w:rsidRPr="002C5292">
        <w:t xml:space="preserve"> provisions </w:t>
      </w:r>
      <w:r w:rsidR="007B6A73" w:rsidRPr="002C5292">
        <w:t>in relation to</w:t>
      </w:r>
      <w:r w:rsidR="00556D2C" w:rsidRPr="002C5292">
        <w:t xml:space="preserve"> the making of instruments made under the </w:t>
      </w:r>
      <w:r w:rsidR="00556D2C" w:rsidRPr="002C5292">
        <w:rPr>
          <w:i/>
        </w:rPr>
        <w:t>Road Safety Act 1986</w:t>
      </w:r>
      <w:r w:rsidR="00EE2179" w:rsidRPr="002C5292">
        <w:rPr>
          <w:i/>
        </w:rPr>
        <w:t xml:space="preserve">, </w:t>
      </w:r>
      <w:r w:rsidR="00EE2179" w:rsidRPr="002C5292">
        <w:rPr>
          <w:iCs/>
        </w:rPr>
        <w:t>Road Safety (Vehicles) Interim Regulations 2020</w:t>
      </w:r>
      <w:r w:rsidR="00556D2C" w:rsidRPr="002C5292">
        <w:rPr>
          <w:iCs/>
        </w:rPr>
        <w:t xml:space="preserve"> </w:t>
      </w:r>
      <w:r w:rsidR="004224CB" w:rsidRPr="002C5292">
        <w:t>and</w:t>
      </w:r>
      <w:r w:rsidR="00556D2C" w:rsidRPr="002C5292">
        <w:t xml:space="preserve"> </w:t>
      </w:r>
      <w:r w:rsidR="004B2C9E" w:rsidRPr="002C5292">
        <w:t xml:space="preserve">the </w:t>
      </w:r>
      <w:r w:rsidR="00556D2C" w:rsidRPr="002C5292">
        <w:rPr>
          <w:iCs/>
        </w:rPr>
        <w:t>Road Safety Road Rules 20</w:t>
      </w:r>
      <w:r w:rsidR="004B2C9E" w:rsidRPr="002C5292">
        <w:rPr>
          <w:iCs/>
        </w:rPr>
        <w:t>17</w:t>
      </w:r>
      <w:r w:rsidRPr="002C5292">
        <w:rPr>
          <w:iCs/>
        </w:rPr>
        <w:t>, falling under this criteria</w:t>
      </w:r>
      <w:r w:rsidR="00556D2C" w:rsidRPr="002C5292">
        <w:t xml:space="preserve">. In addition to </w:t>
      </w:r>
      <w:r w:rsidRPr="002C5292">
        <w:t xml:space="preserve">the </w:t>
      </w:r>
      <w:r w:rsidR="00556D2C" w:rsidRPr="002C5292">
        <w:t>national uniform legislation</w:t>
      </w:r>
      <w:r w:rsidRPr="002C5292">
        <w:t xml:space="preserve"> criterion</w:t>
      </w:r>
      <w:r w:rsidR="00556D2C" w:rsidRPr="002C5292">
        <w:t xml:space="preserve">, many of these </w:t>
      </w:r>
      <w:r w:rsidRPr="002C5292">
        <w:t xml:space="preserve">provisions </w:t>
      </w:r>
      <w:r w:rsidR="00556D2C" w:rsidRPr="002C5292">
        <w:t xml:space="preserve">satisfy </w:t>
      </w:r>
      <w:r w:rsidRPr="002C5292">
        <w:t xml:space="preserve">a section 12F SLA </w:t>
      </w:r>
      <w:r w:rsidR="00556D2C" w:rsidRPr="002C5292">
        <w:t>criterion, and when</w:t>
      </w:r>
      <w:r w:rsidRPr="002C5292">
        <w:t xml:space="preserve"> the</w:t>
      </w:r>
      <w:r w:rsidR="00556D2C" w:rsidRPr="002C5292">
        <w:t xml:space="preserve"> criteria </w:t>
      </w:r>
      <w:r w:rsidR="00B77B17" w:rsidRPr="002C5292">
        <w:t>are</w:t>
      </w:r>
      <w:r w:rsidRPr="002C5292">
        <w:t xml:space="preserve"> </w:t>
      </w:r>
      <w:r w:rsidR="00556D2C" w:rsidRPr="002C5292">
        <w:t xml:space="preserve">combined, </w:t>
      </w:r>
      <w:r w:rsidR="003A4855" w:rsidRPr="002C5292">
        <w:t>those provisions should be</w:t>
      </w:r>
      <w:r w:rsidR="00556D2C" w:rsidRPr="002C5292">
        <w:t xml:space="preserve"> exempted on balance. For example, </w:t>
      </w:r>
      <w:r w:rsidR="007B6A73" w:rsidRPr="002C5292">
        <w:t>a n</w:t>
      </w:r>
      <w:r w:rsidR="00556D2C" w:rsidRPr="002C5292">
        <w:t>otice approving portable warning triangles are also fundamentally declaratory or machinery in nature</w:t>
      </w:r>
      <w:r w:rsidR="003A4855" w:rsidRPr="002C5292">
        <w:t xml:space="preserve"> (Road Safety Road Rules 2017, r407</w:t>
      </w:r>
      <w:r w:rsidR="00214381" w:rsidRPr="002C5292">
        <w:t>)</w:t>
      </w:r>
      <w:r w:rsidR="00556D2C" w:rsidRPr="002C5292">
        <w:t xml:space="preserve">. </w:t>
      </w:r>
    </w:p>
    <w:p w14:paraId="16E66DB5" w14:textId="4951597B" w:rsidR="00556D2C" w:rsidRPr="002C5292" w:rsidRDefault="00556D2C" w:rsidP="004224CB">
      <w:pPr>
        <w:pStyle w:val="DPCbody"/>
      </w:pPr>
      <w:r w:rsidRPr="002C5292">
        <w:t xml:space="preserve">One provision </w:t>
      </w:r>
      <w:r w:rsidR="002B713A" w:rsidRPr="002C5292">
        <w:t>under</w:t>
      </w:r>
      <w:r w:rsidR="00315169" w:rsidRPr="002C5292">
        <w:t xml:space="preserve"> a national unform framework </w:t>
      </w:r>
      <w:r w:rsidRPr="002C5292">
        <w:t xml:space="preserve">allows for the making of Orders to suspend or vary the operation of the </w:t>
      </w:r>
      <w:r w:rsidRPr="002C5292">
        <w:rPr>
          <w:i/>
        </w:rPr>
        <w:t>Dangerous Goods Act 1985</w:t>
      </w:r>
      <w:r w:rsidRPr="002C5292">
        <w:t>, which may be required urgently for possible emergencies or unfor</w:t>
      </w:r>
      <w:r w:rsidR="00382BBB" w:rsidRPr="002C5292">
        <w:t>e</w:t>
      </w:r>
      <w:r w:rsidRPr="002C5292">
        <w:t>seen consequences of the scheme that applies to the transport of dangerous goods</w:t>
      </w:r>
      <w:r w:rsidR="00606C8D" w:rsidRPr="002C5292">
        <w:t xml:space="preserve"> (section 9C(1))</w:t>
      </w:r>
      <w:r w:rsidRPr="002C5292">
        <w:t>. A RIS for the national legislative scheme was prepared by the Commonwealth, and found the costs to industry are likely to be offset by improved safety outcomes.</w:t>
      </w:r>
      <w:r w:rsidR="00022AA0" w:rsidRPr="002C5292">
        <w:t xml:space="preserve"> This provision satisfies the national uniform legislation criteria and the </w:t>
      </w:r>
      <w:r w:rsidR="003310F0" w:rsidRPr="002C5292">
        <w:t xml:space="preserve">public </w:t>
      </w:r>
      <w:r w:rsidR="00022AA0" w:rsidRPr="002C5292">
        <w:t xml:space="preserve">emergency exemption </w:t>
      </w:r>
      <w:r w:rsidR="003310F0" w:rsidRPr="002C5292">
        <w:t xml:space="preserve">(if instrument is </w:t>
      </w:r>
      <w:r w:rsidR="00C33CEB" w:rsidRPr="002C5292">
        <w:t>not more</w:t>
      </w:r>
      <w:r w:rsidR="003310F0" w:rsidRPr="002C5292">
        <w:t xml:space="preserve"> 12 months duration) </w:t>
      </w:r>
      <w:r w:rsidR="00022AA0" w:rsidRPr="002C5292">
        <w:t>under section 12F of the SLA.</w:t>
      </w:r>
    </w:p>
    <w:p w14:paraId="210B63B1" w14:textId="75921A09" w:rsidR="00556D2C" w:rsidRPr="002C5292" w:rsidRDefault="00315169" w:rsidP="004224CB">
      <w:pPr>
        <w:pStyle w:val="DPCbody"/>
      </w:pPr>
      <w:r w:rsidRPr="002C5292">
        <w:t xml:space="preserve">Another </w:t>
      </w:r>
      <w:r w:rsidR="00556D2C" w:rsidRPr="002C5292">
        <w:t xml:space="preserve">provision allows for the making of National Electricity Rules and Regulations (under the </w:t>
      </w:r>
      <w:r w:rsidR="00556D2C" w:rsidRPr="002C5292">
        <w:rPr>
          <w:i/>
        </w:rPr>
        <w:t>National Electricity (Victoria) Act 2005</w:t>
      </w:r>
      <w:r w:rsidR="00556D2C" w:rsidRPr="002C5292">
        <w:t>), and constitutes a national uniform legislation scheme as part of a national energy market reform scheme</w:t>
      </w:r>
      <w:r w:rsidR="00606C8D" w:rsidRPr="002C5292">
        <w:t xml:space="preserve"> (order under section</w:t>
      </w:r>
      <w:r w:rsidR="00FD3294" w:rsidRPr="002C5292">
        <w:t xml:space="preserve"> 15</w:t>
      </w:r>
      <w:r w:rsidR="00606C8D" w:rsidRPr="002C5292">
        <w:t>)</w:t>
      </w:r>
      <w:r w:rsidR="00556D2C" w:rsidRPr="002C5292">
        <w:t xml:space="preserve">. Cost-benefit analysis and consultation are required under the </w:t>
      </w:r>
      <w:r w:rsidR="00FD3294" w:rsidRPr="002C5292">
        <w:t>N</w:t>
      </w:r>
      <w:r w:rsidR="00556D2C" w:rsidRPr="002C5292">
        <w:t xml:space="preserve">ational </w:t>
      </w:r>
      <w:r w:rsidR="00FD3294" w:rsidRPr="002C5292">
        <w:t xml:space="preserve">Electricity system </w:t>
      </w:r>
      <w:r w:rsidR="00556D2C" w:rsidRPr="002C5292">
        <w:t>program.</w:t>
      </w:r>
    </w:p>
    <w:p w14:paraId="4CFC33D9" w14:textId="53E28819" w:rsidR="00556D2C" w:rsidRPr="002C5292" w:rsidRDefault="00556D2C" w:rsidP="007F71DA">
      <w:pPr>
        <w:pStyle w:val="Heading3"/>
        <w:rPr>
          <w:sz w:val="22"/>
          <w:szCs w:val="22"/>
        </w:rPr>
      </w:pPr>
      <w:bookmarkStart w:id="60" w:name="_Toc70082371"/>
      <w:r w:rsidRPr="002C5292">
        <w:rPr>
          <w:sz w:val="22"/>
          <w:szCs w:val="22"/>
        </w:rPr>
        <w:t>Public intere</w:t>
      </w:r>
      <w:r w:rsidR="00225670" w:rsidRPr="002C5292">
        <w:rPr>
          <w:sz w:val="22"/>
          <w:szCs w:val="22"/>
        </w:rPr>
        <w:t>st</w:t>
      </w:r>
      <w:bookmarkEnd w:id="60"/>
    </w:p>
    <w:p w14:paraId="32C9C119" w14:textId="51DE9A2A" w:rsidR="00225670" w:rsidRPr="002C5292" w:rsidRDefault="00556D2C" w:rsidP="00BB032A">
      <w:pPr>
        <w:pStyle w:val="DPCbody"/>
      </w:pPr>
      <w:r w:rsidRPr="002C5292">
        <w:t>The criterion referred to as ‘public interest’ has been used for legislative instruments where, on balance,</w:t>
      </w:r>
      <w:r w:rsidR="004D310C" w:rsidRPr="002C5292">
        <w:t xml:space="preserve"> DPC</w:t>
      </w:r>
      <w:r w:rsidRPr="002C5292">
        <w:t xml:space="preserve"> consider</w:t>
      </w:r>
      <w:r w:rsidR="004D310C" w:rsidRPr="002C5292">
        <w:t>s</w:t>
      </w:r>
      <w:r w:rsidRPr="002C5292">
        <w:t xml:space="preserve"> that the benefits of exempting an instrument outweigh the benefits of additional scrutiny before the instrument is made. </w:t>
      </w:r>
    </w:p>
    <w:p w14:paraId="025DEEAB" w14:textId="1FF775E9" w:rsidR="00556D2C" w:rsidRPr="002C5292" w:rsidRDefault="00CD14C9" w:rsidP="00BB032A">
      <w:pPr>
        <w:pStyle w:val="DPCbody"/>
      </w:pPr>
      <w:r w:rsidRPr="002C5292">
        <w:t>S</w:t>
      </w:r>
      <w:r w:rsidR="00556D2C" w:rsidRPr="002C5292">
        <w:t xml:space="preserve">ome common themes </w:t>
      </w:r>
      <w:r w:rsidRPr="002C5292">
        <w:t xml:space="preserve">for the public interest criterion </w:t>
      </w:r>
      <w:r w:rsidR="00556D2C" w:rsidRPr="002C5292">
        <w:t>are outlined in the table below.</w:t>
      </w:r>
    </w:p>
    <w:p w14:paraId="6C737FCD" w14:textId="73732004" w:rsidR="00556D2C" w:rsidRPr="002C5292" w:rsidRDefault="00556D2C">
      <w:pPr>
        <w:rPr>
          <w:rFonts w:asciiTheme="majorHAnsi" w:eastAsia="MS Gothic" w:hAnsiTheme="majorHAnsi"/>
          <w:b/>
          <w:bCs/>
          <w:color w:val="53565A"/>
        </w:rPr>
      </w:pPr>
      <w:r w:rsidRPr="002C5292">
        <w:rPr>
          <w:rFonts w:asciiTheme="majorHAnsi" w:eastAsia="MS Gothic" w:hAnsiTheme="majorHAnsi"/>
          <w:b/>
          <w:bCs/>
          <w:color w:val="53565A"/>
        </w:rPr>
        <w:t xml:space="preserve">Table </w:t>
      </w:r>
      <w:r w:rsidR="00CB5154" w:rsidRPr="002C5292">
        <w:rPr>
          <w:rFonts w:asciiTheme="majorHAnsi" w:eastAsia="MS Gothic" w:hAnsiTheme="majorHAnsi"/>
          <w:b/>
          <w:bCs/>
          <w:color w:val="53565A"/>
        </w:rPr>
        <w:t>5 -</w:t>
      </w:r>
      <w:r w:rsidRPr="002C5292">
        <w:rPr>
          <w:rFonts w:asciiTheme="majorHAnsi" w:eastAsia="MS Gothic" w:hAnsiTheme="majorHAnsi"/>
          <w:b/>
          <w:bCs/>
          <w:color w:val="53565A"/>
        </w:rPr>
        <w:t xml:space="preserve"> Common themes for the rationale for proposed “public interest” exemption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5760"/>
      </w:tblGrid>
      <w:tr w:rsidR="00556D2C" w:rsidRPr="002C5292" w14:paraId="783F1E50" w14:textId="77777777" w:rsidTr="00EA6128">
        <w:tc>
          <w:tcPr>
            <w:tcW w:w="3379" w:type="dxa"/>
            <w:shd w:val="clear" w:color="auto" w:fill="auto"/>
          </w:tcPr>
          <w:p w14:paraId="25FAC74C" w14:textId="77777777" w:rsidR="00556D2C" w:rsidRPr="002C5292" w:rsidRDefault="00556D2C" w:rsidP="000C4A15">
            <w:pPr>
              <w:pStyle w:val="DPCbodytext"/>
            </w:pPr>
            <w:r w:rsidRPr="002C5292">
              <w:t>Rationale</w:t>
            </w:r>
          </w:p>
        </w:tc>
        <w:tc>
          <w:tcPr>
            <w:tcW w:w="5760" w:type="dxa"/>
            <w:shd w:val="clear" w:color="auto" w:fill="auto"/>
          </w:tcPr>
          <w:p w14:paraId="20BC70C6" w14:textId="77777777" w:rsidR="00556D2C" w:rsidRPr="002C5292" w:rsidRDefault="00556D2C" w:rsidP="000C4A15">
            <w:pPr>
              <w:pStyle w:val="DPCbodytext"/>
            </w:pPr>
            <w:r w:rsidRPr="002C5292">
              <w:t>Example</w:t>
            </w:r>
          </w:p>
        </w:tc>
      </w:tr>
      <w:tr w:rsidR="00556D2C" w:rsidRPr="002C5292" w14:paraId="212696C1" w14:textId="77777777" w:rsidTr="003A4F60">
        <w:tc>
          <w:tcPr>
            <w:tcW w:w="3379" w:type="dxa"/>
            <w:shd w:val="clear" w:color="auto" w:fill="auto"/>
          </w:tcPr>
          <w:p w14:paraId="287AE0B8" w14:textId="77777777" w:rsidR="00556D2C" w:rsidRPr="002C5292" w:rsidRDefault="00556D2C" w:rsidP="000C4A15">
            <w:pPr>
              <w:pStyle w:val="DPCbodytext"/>
            </w:pPr>
            <w:r w:rsidRPr="002C5292">
              <w:t>The instruments need to be made under restricted timeframes or there is a need to act quickly.</w:t>
            </w:r>
            <w:r w:rsidRPr="002C5292">
              <w:rPr>
                <w:rStyle w:val="FootnoteReference"/>
                <w:rFonts w:asciiTheme="minorHAnsi" w:hAnsiTheme="minorHAnsi" w:cstheme="minorHAnsi"/>
                <w:szCs w:val="20"/>
              </w:rPr>
              <w:footnoteReference w:id="16"/>
            </w:r>
          </w:p>
        </w:tc>
        <w:tc>
          <w:tcPr>
            <w:tcW w:w="5760" w:type="dxa"/>
            <w:shd w:val="clear" w:color="auto" w:fill="auto"/>
          </w:tcPr>
          <w:p w14:paraId="0D0BBDDA" w14:textId="77777777" w:rsidR="00556D2C" w:rsidRPr="002C5292" w:rsidRDefault="00556D2C" w:rsidP="000C4A15">
            <w:pPr>
              <w:pStyle w:val="DPCbodytext"/>
            </w:pPr>
            <w:r w:rsidRPr="002C5292">
              <w:t>Further fisheries quota orders (</w:t>
            </w:r>
            <w:r w:rsidRPr="002C5292">
              <w:rPr>
                <w:i/>
              </w:rPr>
              <w:t>Fisheries Act 1995</w:t>
            </w:r>
            <w:r w:rsidRPr="002C5292">
              <w:t xml:space="preserve"> ss64A(1) and 66D(1)).</w:t>
            </w:r>
          </w:p>
          <w:p w14:paraId="167F00DB" w14:textId="2CC3127A" w:rsidR="00556D2C" w:rsidRPr="002C5292" w:rsidRDefault="00556D2C" w:rsidP="000C4A15">
            <w:pPr>
              <w:pStyle w:val="DPCbodytext"/>
            </w:pPr>
            <w:r w:rsidRPr="002C5292">
              <w:t>Declarations for prohibited period regarding fire protection area and prohibition of the use of fire where acute fire danger exists (</w:t>
            </w:r>
            <w:r w:rsidRPr="002C5292">
              <w:rPr>
                <w:i/>
              </w:rPr>
              <w:t>Forests Act 1958</w:t>
            </w:r>
            <w:r w:rsidRPr="002C5292">
              <w:t xml:space="preserve"> ss3(2)).</w:t>
            </w:r>
          </w:p>
          <w:p w14:paraId="2A87EADF" w14:textId="2B74377B" w:rsidR="00556D2C" w:rsidRPr="002C5292" w:rsidRDefault="00556D2C" w:rsidP="000C4A15">
            <w:pPr>
              <w:pStyle w:val="DPCbodytext"/>
            </w:pPr>
            <w:r w:rsidRPr="002C5292">
              <w:t>Written directions of the harbour master (</w:t>
            </w:r>
            <w:r w:rsidRPr="002C5292">
              <w:rPr>
                <w:i/>
              </w:rPr>
              <w:t xml:space="preserve">Marine </w:t>
            </w:r>
            <w:r w:rsidR="00FD3294" w:rsidRPr="002C5292">
              <w:rPr>
                <w:i/>
              </w:rPr>
              <w:t>Safety Act</w:t>
            </w:r>
            <w:r w:rsidRPr="002C5292">
              <w:t xml:space="preserve"> s </w:t>
            </w:r>
            <w:r w:rsidR="00FD3294" w:rsidRPr="002C5292">
              <w:t>232(1)</w:t>
            </w:r>
            <w:r w:rsidRPr="002C5292">
              <w:t>.</w:t>
            </w:r>
          </w:p>
          <w:p w14:paraId="3B4A3F82" w14:textId="6FA18484" w:rsidR="00556D2C" w:rsidRPr="002C5292" w:rsidRDefault="00556D2C" w:rsidP="000C4A15">
            <w:pPr>
              <w:pStyle w:val="DPCbodytext"/>
            </w:pPr>
            <w:r w:rsidRPr="002C5292">
              <w:t>Order certifying outbreak of, an exotic pest or disease (</w:t>
            </w:r>
            <w:r w:rsidRPr="002C5292">
              <w:rPr>
                <w:i/>
              </w:rPr>
              <w:t xml:space="preserve">Plant </w:t>
            </w:r>
            <w:r w:rsidR="00A95A54" w:rsidRPr="002C5292">
              <w:rPr>
                <w:i/>
              </w:rPr>
              <w:t>Biosecurity</w:t>
            </w:r>
            <w:r w:rsidRPr="002C5292">
              <w:rPr>
                <w:i/>
              </w:rPr>
              <w:t xml:space="preserve"> Act 1995</w:t>
            </w:r>
            <w:r w:rsidRPr="002C5292">
              <w:t xml:space="preserve"> s </w:t>
            </w:r>
            <w:r w:rsidR="00A95A54" w:rsidRPr="002C5292">
              <w:t>42</w:t>
            </w:r>
            <w:r w:rsidRPr="002C5292">
              <w:t>(1)).</w:t>
            </w:r>
          </w:p>
          <w:p w14:paraId="2A73378B" w14:textId="77777777" w:rsidR="00556D2C" w:rsidRPr="002C5292" w:rsidRDefault="00556D2C" w:rsidP="000C4A15">
            <w:pPr>
              <w:pStyle w:val="DPCbodytext"/>
            </w:pPr>
            <w:r w:rsidRPr="002C5292">
              <w:t>Notice of closure, realignment or relocation of road (</w:t>
            </w:r>
            <w:r w:rsidRPr="002C5292">
              <w:rPr>
                <w:i/>
              </w:rPr>
              <w:t>Project Development and Construction Management Act 1994</w:t>
            </w:r>
            <w:r w:rsidRPr="002C5292">
              <w:t xml:space="preserve"> s 24).</w:t>
            </w:r>
          </w:p>
        </w:tc>
      </w:tr>
      <w:tr w:rsidR="00556D2C" w:rsidRPr="002C5292" w14:paraId="182E07FF" w14:textId="77777777" w:rsidTr="003A4F60">
        <w:tc>
          <w:tcPr>
            <w:tcW w:w="3379" w:type="dxa"/>
            <w:shd w:val="clear" w:color="auto" w:fill="auto"/>
          </w:tcPr>
          <w:p w14:paraId="607239FC" w14:textId="77777777" w:rsidR="00556D2C" w:rsidRPr="002C5292" w:rsidRDefault="00556D2C" w:rsidP="000C4A15">
            <w:pPr>
              <w:pStyle w:val="DPCbodytext"/>
            </w:pPr>
            <w:r w:rsidRPr="002C5292">
              <w:t>The instruments reflect the outcome of detailed, sensitive commercial negotiations that would be undermined by the RIS process.</w:t>
            </w:r>
          </w:p>
        </w:tc>
        <w:tc>
          <w:tcPr>
            <w:tcW w:w="5760" w:type="dxa"/>
            <w:shd w:val="clear" w:color="auto" w:fill="auto"/>
          </w:tcPr>
          <w:p w14:paraId="19276A84" w14:textId="1EA6EDA3" w:rsidR="00556D2C" w:rsidRPr="002C5292" w:rsidRDefault="00556D2C" w:rsidP="000C4A15">
            <w:pPr>
              <w:pStyle w:val="DPCbodytext"/>
            </w:pPr>
            <w:r w:rsidRPr="002C5292">
              <w:t>Orders regarding architects’, builders’ and plumbers’ insurance cover</w:t>
            </w:r>
            <w:r w:rsidR="00FD3294" w:rsidRPr="002C5292">
              <w:t xml:space="preserve"> (</w:t>
            </w:r>
            <w:r w:rsidR="0086283E" w:rsidRPr="002C5292">
              <w:t xml:space="preserve">s17A(1) or (4) Architects Act 1991, </w:t>
            </w:r>
            <w:r w:rsidR="00FD3294" w:rsidRPr="002C5292">
              <w:rPr>
                <w:i/>
                <w:iCs/>
              </w:rPr>
              <w:t>Building Act 1993</w:t>
            </w:r>
            <w:r w:rsidR="0086283E" w:rsidRPr="002C5292">
              <w:rPr>
                <w:i/>
                <w:iCs/>
              </w:rPr>
              <w:t xml:space="preserve"> </w:t>
            </w:r>
            <w:r w:rsidR="0086283E" w:rsidRPr="002C5292">
              <w:t>s135(1) or (4) and s 221ZQ(1) or (4)</w:t>
            </w:r>
            <w:r w:rsidR="00FD3294" w:rsidRPr="002C5292">
              <w:t>)</w:t>
            </w:r>
            <w:r w:rsidRPr="002C5292">
              <w:t>.</w:t>
            </w:r>
          </w:p>
        </w:tc>
      </w:tr>
      <w:tr w:rsidR="008C5F3C" w:rsidRPr="002C5292" w14:paraId="17C34B57" w14:textId="77777777" w:rsidTr="00EA6128">
        <w:tc>
          <w:tcPr>
            <w:tcW w:w="3379" w:type="dxa"/>
            <w:shd w:val="clear" w:color="auto" w:fill="auto"/>
          </w:tcPr>
          <w:p w14:paraId="38F58466" w14:textId="0B1A6BB4" w:rsidR="008C5F3C" w:rsidRPr="002C5292" w:rsidRDefault="008C5F3C" w:rsidP="000C4A15">
            <w:pPr>
              <w:pStyle w:val="DPCbodytext"/>
            </w:pPr>
            <w:r w:rsidRPr="002C5292">
              <w:t>There is a need to maintain the autonomy of an independent entity.</w:t>
            </w:r>
          </w:p>
        </w:tc>
        <w:tc>
          <w:tcPr>
            <w:tcW w:w="5760" w:type="dxa"/>
            <w:shd w:val="clear" w:color="auto" w:fill="auto"/>
          </w:tcPr>
          <w:p w14:paraId="6925B96E" w14:textId="250B5451" w:rsidR="001225C1" w:rsidRPr="002C5292" w:rsidRDefault="008C5F3C" w:rsidP="000C4A15">
            <w:pPr>
              <w:pStyle w:val="DPCbodytext"/>
            </w:pPr>
            <w:r w:rsidRPr="002C5292">
              <w:t xml:space="preserve">Instruments that relate to </w:t>
            </w:r>
            <w:r w:rsidR="00A95A54" w:rsidRPr="002C5292">
              <w:t>U</w:t>
            </w:r>
            <w:r w:rsidRPr="002C5292">
              <w:t>niversity statutes and regulations</w:t>
            </w:r>
            <w:r w:rsidR="001225C1" w:rsidRPr="002C5292">
              <w:t>.</w:t>
            </w:r>
          </w:p>
          <w:p w14:paraId="3DE510D3" w14:textId="350437EF" w:rsidR="008C5F3C" w:rsidRPr="002C5292" w:rsidRDefault="008C5F3C" w:rsidP="000C4A15">
            <w:pPr>
              <w:pStyle w:val="DPCbodytext"/>
            </w:pPr>
            <w:r w:rsidRPr="002C5292">
              <w:t xml:space="preserve">(Australian Catholic University (Victoria) </w:t>
            </w:r>
            <w:r w:rsidR="00FD3294" w:rsidRPr="002C5292">
              <w:t>Act </w:t>
            </w:r>
            <w:r w:rsidRPr="002C5292">
              <w:t xml:space="preserve">1991 ss5(1) and 5(3)); Deakin University Act 2009 s 28; La Trobe University Act 2009 s 28; Melbourne College of Divinity Act 1910 s 30; Monash University </w:t>
            </w:r>
            <w:r w:rsidR="00FD3294" w:rsidRPr="002C5292">
              <w:t>Act </w:t>
            </w:r>
            <w:r w:rsidRPr="002C5292">
              <w:t xml:space="preserve">2009 s 28; Royal Melbourne Institute of Technology Act 2010 s 28; Swinburne University of Technology </w:t>
            </w:r>
            <w:r w:rsidR="00FD3294" w:rsidRPr="002C5292">
              <w:t>Act </w:t>
            </w:r>
            <w:r w:rsidRPr="002C5292">
              <w:t xml:space="preserve">2010 s 28; University of Ballarat Act 2010 s 28; University of Melbourne Act 2009 s 28; Victoria University Act 2010 </w:t>
            </w:r>
            <w:r w:rsidR="001225C1" w:rsidRPr="002C5292">
              <w:t>s </w:t>
            </w:r>
            <w:r w:rsidRPr="002C5292">
              <w:t>28).</w:t>
            </w:r>
          </w:p>
        </w:tc>
      </w:tr>
      <w:tr w:rsidR="00556D2C" w:rsidRPr="002C5292" w14:paraId="7F56196B" w14:textId="77777777" w:rsidTr="00767B4E">
        <w:tc>
          <w:tcPr>
            <w:tcW w:w="3379" w:type="dxa"/>
            <w:shd w:val="clear" w:color="auto" w:fill="auto"/>
          </w:tcPr>
          <w:p w14:paraId="3A2E1688" w14:textId="77777777" w:rsidR="00556D2C" w:rsidRPr="002C5292" w:rsidRDefault="00556D2C" w:rsidP="000C4A15">
            <w:pPr>
              <w:pStyle w:val="DPCbodytext"/>
            </w:pPr>
            <w:r w:rsidRPr="002C5292">
              <w:t>Instruments where the RIS process and consultation may undermine the purposes of the authorising Act.</w:t>
            </w:r>
          </w:p>
        </w:tc>
        <w:tc>
          <w:tcPr>
            <w:tcW w:w="5760" w:type="dxa"/>
            <w:shd w:val="clear" w:color="auto" w:fill="auto"/>
          </w:tcPr>
          <w:p w14:paraId="152335A7" w14:textId="50E420B4" w:rsidR="00556D2C" w:rsidRPr="002C5292" w:rsidRDefault="00556D2C" w:rsidP="000C4A15">
            <w:pPr>
              <w:pStyle w:val="DPCbodytext"/>
            </w:pPr>
            <w:r w:rsidRPr="002C5292">
              <w:t xml:space="preserve">A range of instruments that can be made under </w:t>
            </w:r>
            <w:r w:rsidRPr="002C5292">
              <w:rPr>
                <w:i/>
              </w:rPr>
              <w:t>the Land Acquisition and Compensation Act 1986</w:t>
            </w:r>
            <w:r w:rsidRPr="002C5292">
              <w:t xml:space="preserve"> (ss 5(3), </w:t>
            </w:r>
            <w:r w:rsidR="001225C1" w:rsidRPr="002C5292">
              <w:t xml:space="preserve">and </w:t>
            </w:r>
            <w:r w:rsidRPr="002C5292">
              <w:t xml:space="preserve">7(1)(c)). These instruments are made in extreme circumstances where importance and urgency of a project and fairness to the property owner are relevant factors. </w:t>
            </w:r>
            <w:r w:rsidR="00604732" w:rsidRPr="002C5292">
              <w:t>These instruments may also fa</w:t>
            </w:r>
            <w:r w:rsidR="00AA25C1" w:rsidRPr="002C5292">
              <w:t>i</w:t>
            </w:r>
            <w:r w:rsidR="00604732" w:rsidRPr="002C5292">
              <w:t xml:space="preserve">l satisfy </w:t>
            </w:r>
            <w:r w:rsidR="003310F0" w:rsidRPr="002C5292">
              <w:t xml:space="preserve">the Ministerial exemption criteria in </w:t>
            </w:r>
            <w:r w:rsidR="003310F0" w:rsidRPr="002C5292">
              <w:rPr>
                <w:rFonts w:asciiTheme="minorHAnsi" w:hAnsiTheme="minorHAnsi" w:cstheme="minorHAnsi"/>
              </w:rPr>
              <w:t>s12F(1)(j).</w:t>
            </w:r>
          </w:p>
          <w:p w14:paraId="4934881A" w14:textId="5BDA530A" w:rsidR="00556D2C" w:rsidRPr="002C5292" w:rsidRDefault="00556D2C" w:rsidP="000C4A15">
            <w:pPr>
              <w:pStyle w:val="DPCbodytext"/>
            </w:pPr>
            <w:r w:rsidRPr="002C5292">
              <w:t xml:space="preserve">Order that </w:t>
            </w:r>
            <w:r w:rsidRPr="002C5292">
              <w:rPr>
                <w:i/>
              </w:rPr>
              <w:t>Major Events Act 2009</w:t>
            </w:r>
            <w:r w:rsidRPr="002C5292">
              <w:t xml:space="preserve"> (s 15) does not apply to the development or use of an event venue, where the aim of the provision is to streamline processes for particular occasions.</w:t>
            </w:r>
          </w:p>
        </w:tc>
      </w:tr>
      <w:tr w:rsidR="00556D2C" w:rsidRPr="002C5292" w14:paraId="44B7292B" w14:textId="77777777" w:rsidTr="00767B4E">
        <w:tc>
          <w:tcPr>
            <w:tcW w:w="3379" w:type="dxa"/>
            <w:shd w:val="clear" w:color="auto" w:fill="auto"/>
          </w:tcPr>
          <w:p w14:paraId="251A251E" w14:textId="70B03D91" w:rsidR="00556D2C" w:rsidRPr="002C5292" w:rsidRDefault="00556D2C" w:rsidP="000C4A15">
            <w:pPr>
              <w:pStyle w:val="DPCbodytext"/>
            </w:pPr>
            <w:r w:rsidRPr="002C5292">
              <w:t>Instruments that implement agreements previously made between the Victoria Government and Commonwealth Government.</w:t>
            </w:r>
          </w:p>
        </w:tc>
        <w:tc>
          <w:tcPr>
            <w:tcW w:w="5760" w:type="dxa"/>
            <w:shd w:val="clear" w:color="auto" w:fill="auto"/>
          </w:tcPr>
          <w:p w14:paraId="770EC47D" w14:textId="77777777" w:rsidR="00556D2C" w:rsidRPr="002C5292" w:rsidRDefault="00556D2C" w:rsidP="000C4A15">
            <w:pPr>
              <w:pStyle w:val="DPCbodytext"/>
            </w:pPr>
            <w:r w:rsidRPr="002C5292">
              <w:t>Order with respect to fees paid by overseas students applying to be enrolled or enrolled in Government schools (</w:t>
            </w:r>
            <w:r w:rsidRPr="002C5292">
              <w:rPr>
                <w:i/>
              </w:rPr>
              <w:t>Education and Training Reform Act 2006</w:t>
            </w:r>
            <w:r w:rsidRPr="002C5292">
              <w:t xml:space="preserve"> s2.2.9).</w:t>
            </w:r>
          </w:p>
          <w:p w14:paraId="492386EC" w14:textId="25093D19" w:rsidR="00556D2C" w:rsidRPr="002C5292" w:rsidRDefault="00556D2C" w:rsidP="000C4A15">
            <w:pPr>
              <w:pStyle w:val="DPCbodytext"/>
            </w:pPr>
            <w:r w:rsidRPr="002C5292">
              <w:t>Notice of substituted public holidays (</w:t>
            </w:r>
            <w:r w:rsidRPr="002C5292">
              <w:rPr>
                <w:i/>
              </w:rPr>
              <w:t xml:space="preserve">Public Holidays </w:t>
            </w:r>
            <w:r w:rsidR="00463410" w:rsidRPr="002C5292">
              <w:rPr>
                <w:i/>
              </w:rPr>
              <w:t>Act </w:t>
            </w:r>
            <w:r w:rsidRPr="002C5292">
              <w:rPr>
                <w:i/>
              </w:rPr>
              <w:t>1993</w:t>
            </w:r>
            <w:r w:rsidRPr="002C5292">
              <w:t xml:space="preserve"> s 8(1)).</w:t>
            </w:r>
          </w:p>
          <w:p w14:paraId="72FBE618" w14:textId="23805818" w:rsidR="00556D2C" w:rsidRPr="002C5292" w:rsidRDefault="00556D2C" w:rsidP="000C4A15">
            <w:pPr>
              <w:pStyle w:val="DPCbodytext"/>
            </w:pPr>
            <w:r w:rsidRPr="002C5292">
              <w:t xml:space="preserve">A number of instruments able to be made under the </w:t>
            </w:r>
            <w:r w:rsidRPr="002C5292">
              <w:rPr>
                <w:i/>
              </w:rPr>
              <w:t>Electricity Industry Act 2000</w:t>
            </w:r>
            <w:r w:rsidRPr="002C5292">
              <w:t xml:space="preserve"> and </w:t>
            </w:r>
            <w:r w:rsidRPr="002C5292">
              <w:rPr>
                <w:i/>
              </w:rPr>
              <w:t>Gas Industry Act 200</w:t>
            </w:r>
            <w:r w:rsidR="00CA5EF6" w:rsidRPr="002C5292">
              <w:rPr>
                <w:i/>
              </w:rPr>
              <w:t>1</w:t>
            </w:r>
            <w:r w:rsidRPr="002C5292">
              <w:t>.</w:t>
            </w:r>
          </w:p>
        </w:tc>
      </w:tr>
      <w:tr w:rsidR="00556D2C" w:rsidRPr="002C5292" w14:paraId="282996A5" w14:textId="77777777" w:rsidTr="00767B4E">
        <w:tc>
          <w:tcPr>
            <w:tcW w:w="3379" w:type="dxa"/>
            <w:shd w:val="clear" w:color="auto" w:fill="auto"/>
          </w:tcPr>
          <w:p w14:paraId="41B3399A" w14:textId="77777777" w:rsidR="00556D2C" w:rsidRPr="002C5292" w:rsidRDefault="00556D2C" w:rsidP="000C4A15">
            <w:pPr>
              <w:pStyle w:val="DPCbodytext"/>
            </w:pPr>
            <w:r w:rsidRPr="002C5292">
              <w:t>The instrument is part of a process of comprehensive consultation that would be undermined by a RIS process and RIS consultation.</w:t>
            </w:r>
          </w:p>
        </w:tc>
        <w:tc>
          <w:tcPr>
            <w:tcW w:w="5760" w:type="dxa"/>
            <w:shd w:val="clear" w:color="auto" w:fill="auto"/>
          </w:tcPr>
          <w:p w14:paraId="13B5A0C4" w14:textId="77777777" w:rsidR="00556D2C" w:rsidRPr="002C5292" w:rsidRDefault="00556D2C" w:rsidP="000C4A15">
            <w:pPr>
              <w:pStyle w:val="DPCbodytext"/>
            </w:pPr>
            <w:r w:rsidRPr="002C5292">
              <w:t xml:space="preserve">Interim protection orders under the </w:t>
            </w:r>
            <w:r w:rsidRPr="002C5292">
              <w:rPr>
                <w:i/>
              </w:rPr>
              <w:t>Aboriginal Heritage Act 2006</w:t>
            </w:r>
            <w:r w:rsidRPr="002C5292">
              <w:t xml:space="preserve"> s96, where requiring a RIS may undermine the role of registered Aboriginal parties and the Council in maintaining the relationship between Aboriginal people and a place or object.</w:t>
            </w:r>
          </w:p>
          <w:p w14:paraId="39E52E2F" w14:textId="77777777" w:rsidR="00556D2C" w:rsidRPr="002C5292" w:rsidRDefault="00556D2C" w:rsidP="000C4A15">
            <w:pPr>
              <w:pStyle w:val="DPCbodytext"/>
            </w:pPr>
            <w:r w:rsidRPr="002C5292">
              <w:t xml:space="preserve">Orders applying to a commodity, under the </w:t>
            </w:r>
            <w:r w:rsidRPr="002C5292">
              <w:rPr>
                <w:i/>
              </w:rPr>
              <w:t>Agricultural Industry Development Act 1990</w:t>
            </w:r>
            <w:r w:rsidRPr="002C5292">
              <w:t xml:space="preserve"> s 8(1), which are made after a request from the industry and following a public meeting of these producers. The final stage is an industry poll on the draft Order, requiring the producers affected to vote on the Order (majority required). The poll is conducted by the Victorian Electoral Commission. </w:t>
            </w:r>
          </w:p>
        </w:tc>
      </w:tr>
      <w:tr w:rsidR="00556D2C" w:rsidRPr="002C5292" w14:paraId="0AE4369E" w14:textId="77777777" w:rsidTr="00767B4E">
        <w:tc>
          <w:tcPr>
            <w:tcW w:w="3379" w:type="dxa"/>
            <w:shd w:val="clear" w:color="auto" w:fill="auto"/>
          </w:tcPr>
          <w:p w14:paraId="5E84FC0D" w14:textId="77777777" w:rsidR="00556D2C" w:rsidRPr="002C5292" w:rsidRDefault="00556D2C" w:rsidP="000C4A15">
            <w:pPr>
              <w:pStyle w:val="DPCbodytext"/>
            </w:pPr>
            <w:r w:rsidRPr="002C5292">
              <w:t>The instrument is developed following a process predetermined under the authorising Act.</w:t>
            </w:r>
          </w:p>
        </w:tc>
        <w:tc>
          <w:tcPr>
            <w:tcW w:w="5760" w:type="dxa"/>
            <w:shd w:val="clear" w:color="auto" w:fill="auto"/>
          </w:tcPr>
          <w:p w14:paraId="2EC65CD5" w14:textId="440F3330" w:rsidR="00556D2C" w:rsidRPr="002C5292" w:rsidRDefault="00556D2C" w:rsidP="000C4A15">
            <w:pPr>
              <w:pStyle w:val="DPCbodytext"/>
            </w:pPr>
            <w:r w:rsidRPr="002C5292">
              <w:t>WorkCover premiums, which are determined annually based on an independent actuarial assessment (</w:t>
            </w:r>
            <w:r w:rsidR="0059539F" w:rsidRPr="002C5292">
              <w:rPr>
                <w:i/>
                <w:iCs/>
              </w:rPr>
              <w:t>Workplace Injury Rehabilitation and Compensation Act 2013</w:t>
            </w:r>
            <w:r w:rsidR="0059539F" w:rsidRPr="002C5292">
              <w:t xml:space="preserve"> s 448(1)</w:t>
            </w:r>
            <w:r w:rsidRPr="002C5292">
              <w:t>)</w:t>
            </w:r>
          </w:p>
        </w:tc>
      </w:tr>
    </w:tbl>
    <w:p w14:paraId="1CE218E9" w14:textId="779FD60C" w:rsidR="00556D2C" w:rsidRPr="002C5292" w:rsidRDefault="007F71DA" w:rsidP="00A845B4">
      <w:pPr>
        <w:pStyle w:val="DPCbody"/>
        <w:rPr>
          <w:rFonts w:cstheme="minorHAnsi"/>
          <w:lang w:eastAsia="en-AU"/>
        </w:rPr>
      </w:pPr>
      <w:r w:rsidRPr="002C5292">
        <w:rPr>
          <w:rFonts w:cstheme="minorHAnsi"/>
          <w:lang w:eastAsia="en-AU"/>
        </w:rPr>
        <w:t xml:space="preserve">For an assessment of the costs and benefits </w:t>
      </w:r>
      <w:r w:rsidR="006163AF" w:rsidRPr="002C5292">
        <w:rPr>
          <w:rFonts w:cstheme="minorHAnsi"/>
          <w:lang w:eastAsia="en-AU"/>
        </w:rPr>
        <w:t xml:space="preserve">relevant to Option 1 </w:t>
      </w:r>
      <w:r w:rsidRPr="002C5292">
        <w:rPr>
          <w:rFonts w:cstheme="minorHAnsi"/>
          <w:lang w:eastAsia="en-AU"/>
        </w:rPr>
        <w:t xml:space="preserve">see </w:t>
      </w:r>
      <w:r w:rsidR="00404911" w:rsidRPr="002C5292">
        <w:rPr>
          <w:rFonts w:cstheme="minorHAnsi"/>
          <w:lang w:eastAsia="en-AU"/>
        </w:rPr>
        <w:t xml:space="preserve">Chapter 4 </w:t>
      </w:r>
      <w:r w:rsidR="00430739" w:rsidRPr="002C5292">
        <w:rPr>
          <w:rFonts w:cstheme="minorHAnsi"/>
          <w:lang w:eastAsia="en-AU"/>
        </w:rPr>
        <w:t>below</w:t>
      </w:r>
      <w:r w:rsidRPr="002C5292">
        <w:rPr>
          <w:rFonts w:cstheme="minorHAnsi"/>
          <w:lang w:eastAsia="en-AU"/>
        </w:rPr>
        <w:t>.</w:t>
      </w:r>
    </w:p>
    <w:p w14:paraId="7524D650" w14:textId="7E63694E" w:rsidR="007141B9" w:rsidRPr="002C5292" w:rsidRDefault="007141B9" w:rsidP="002C2C5F">
      <w:pPr>
        <w:pStyle w:val="Heading2"/>
      </w:pPr>
      <w:bookmarkStart w:id="61" w:name="_Toc70082372"/>
      <w:r w:rsidRPr="002C5292">
        <w:t xml:space="preserve">Option </w:t>
      </w:r>
      <w:r w:rsidR="00FE24AE" w:rsidRPr="002C5292">
        <w:t>Two</w:t>
      </w:r>
      <w:r w:rsidR="00124654" w:rsidRPr="002C5292">
        <w:t xml:space="preserve"> </w:t>
      </w:r>
      <w:r w:rsidR="006E5F5B" w:rsidRPr="002C5292">
        <w:t>–</w:t>
      </w:r>
      <w:r w:rsidRPr="002C5292">
        <w:t xml:space="preserve"> </w:t>
      </w:r>
      <w:r w:rsidR="002C2C5F" w:rsidRPr="002C5292">
        <w:t xml:space="preserve">make the Proposed Regulations </w:t>
      </w:r>
      <w:r w:rsidR="003D11F0" w:rsidRPr="002C5292">
        <w:t xml:space="preserve">as in Option 1 </w:t>
      </w:r>
      <w:r w:rsidR="002C2C5F" w:rsidRPr="002C5292">
        <w:t xml:space="preserve">but </w:t>
      </w:r>
      <w:r w:rsidR="003D11F0" w:rsidRPr="002C5292">
        <w:t xml:space="preserve">with the </w:t>
      </w:r>
      <w:r w:rsidR="002C2C5F" w:rsidRPr="002C5292">
        <w:t>exclu</w:t>
      </w:r>
      <w:r w:rsidR="003D11F0" w:rsidRPr="002C5292">
        <w:t xml:space="preserve">sion of two </w:t>
      </w:r>
      <w:r w:rsidR="002C2C5F" w:rsidRPr="002C5292">
        <w:t xml:space="preserve">categories of </w:t>
      </w:r>
      <w:r w:rsidR="003D11F0" w:rsidRPr="002C5292">
        <w:t xml:space="preserve">legislative </w:t>
      </w:r>
      <w:r w:rsidR="002C2C5F" w:rsidRPr="002C5292">
        <w:t>instruments</w:t>
      </w:r>
      <w:r w:rsidR="003D11F0" w:rsidRPr="002C5292">
        <w:t xml:space="preserve"> that face alternative scrutiny processes</w:t>
      </w:r>
      <w:bookmarkEnd w:id="61"/>
    </w:p>
    <w:p w14:paraId="485F9771" w14:textId="4CD5ECF4" w:rsidR="003D11F0" w:rsidRPr="002C5292" w:rsidRDefault="00111B80" w:rsidP="003D11F0">
      <w:pPr>
        <w:pStyle w:val="DPCbody"/>
        <w:rPr>
          <w:rFonts w:asciiTheme="majorHAnsi" w:hAnsiTheme="majorHAnsi" w:cstheme="majorHAnsi"/>
        </w:rPr>
      </w:pPr>
      <w:r w:rsidRPr="002C5292">
        <w:rPr>
          <w:rFonts w:asciiTheme="majorHAnsi" w:hAnsiTheme="majorHAnsi" w:cstheme="majorHAnsi"/>
        </w:rPr>
        <w:t xml:space="preserve">Option </w:t>
      </w:r>
      <w:r w:rsidR="00216AFD" w:rsidRPr="002C5292">
        <w:rPr>
          <w:rFonts w:asciiTheme="majorHAnsi" w:hAnsiTheme="majorHAnsi" w:cstheme="majorHAnsi"/>
        </w:rPr>
        <w:t>2</w:t>
      </w:r>
      <w:r w:rsidRPr="002C5292">
        <w:rPr>
          <w:rFonts w:asciiTheme="majorHAnsi" w:hAnsiTheme="majorHAnsi" w:cstheme="majorHAnsi"/>
        </w:rPr>
        <w:t xml:space="preserve"> is </w:t>
      </w:r>
      <w:r w:rsidR="00034561" w:rsidRPr="002C5292">
        <w:rPr>
          <w:rFonts w:asciiTheme="majorHAnsi" w:hAnsiTheme="majorHAnsi" w:cstheme="majorHAnsi"/>
        </w:rPr>
        <w:t>the same as Option 1</w:t>
      </w:r>
      <w:r w:rsidR="005A1ED5" w:rsidRPr="002C5292">
        <w:rPr>
          <w:rFonts w:asciiTheme="majorHAnsi" w:hAnsiTheme="majorHAnsi" w:cstheme="majorHAnsi"/>
        </w:rPr>
        <w:t xml:space="preserve"> except</w:t>
      </w:r>
      <w:r w:rsidR="003D11F0" w:rsidRPr="002C5292">
        <w:rPr>
          <w:rFonts w:asciiTheme="majorHAnsi" w:hAnsiTheme="majorHAnsi" w:cstheme="majorHAnsi"/>
        </w:rPr>
        <w:t xml:space="preserve"> with the e</w:t>
      </w:r>
      <w:r w:rsidRPr="002C5292">
        <w:rPr>
          <w:rFonts w:asciiTheme="majorHAnsi" w:hAnsiTheme="majorHAnsi" w:cstheme="majorHAnsi"/>
        </w:rPr>
        <w:t xml:space="preserve">xclusion of </w:t>
      </w:r>
      <w:r w:rsidR="003D11F0" w:rsidRPr="002C5292">
        <w:rPr>
          <w:rFonts w:asciiTheme="majorHAnsi" w:hAnsiTheme="majorHAnsi" w:cstheme="majorHAnsi"/>
        </w:rPr>
        <w:t>legislative instruments that are subject to analytical and consultation processes (set out in their respective authorising Acts</w:t>
      </w:r>
      <w:r w:rsidR="00126785" w:rsidRPr="002C5292">
        <w:rPr>
          <w:rFonts w:asciiTheme="majorHAnsi" w:hAnsiTheme="majorHAnsi" w:cstheme="majorHAnsi"/>
        </w:rPr>
        <w:t xml:space="preserve"> or required under a national uniform legislation scheme</w:t>
      </w:r>
      <w:r w:rsidR="003D11F0" w:rsidRPr="002C5292">
        <w:rPr>
          <w:rFonts w:asciiTheme="majorHAnsi" w:hAnsiTheme="majorHAnsi" w:cstheme="majorHAnsi"/>
        </w:rPr>
        <w:t xml:space="preserve">) which are considered as, or more, stringent than the RIS process. </w:t>
      </w:r>
      <w:r w:rsidR="00126785" w:rsidRPr="002C5292">
        <w:rPr>
          <w:rFonts w:asciiTheme="majorHAnsi" w:hAnsiTheme="majorHAnsi" w:cstheme="majorHAnsi"/>
        </w:rPr>
        <w:t xml:space="preserve">Under Option 2, fewer automatic exemptions from the SLA requirements would be allowed.  </w:t>
      </w:r>
    </w:p>
    <w:p w14:paraId="331D5E72" w14:textId="093CC6A6" w:rsidR="003D11F0" w:rsidRPr="002C5292" w:rsidRDefault="003D11F0" w:rsidP="005B0633">
      <w:pPr>
        <w:pStyle w:val="DPCbody"/>
        <w:rPr>
          <w:rFonts w:asciiTheme="majorHAnsi" w:hAnsiTheme="majorHAnsi" w:cstheme="majorHAnsi"/>
        </w:rPr>
      </w:pPr>
      <w:r w:rsidRPr="002C5292">
        <w:rPr>
          <w:rFonts w:asciiTheme="majorHAnsi" w:hAnsiTheme="majorHAnsi" w:cstheme="majorHAnsi"/>
        </w:rPr>
        <w:t xml:space="preserve">Under Option 1, </w:t>
      </w:r>
      <w:r w:rsidR="00AF1D14" w:rsidRPr="002C5292">
        <w:rPr>
          <w:rFonts w:asciiTheme="majorHAnsi" w:hAnsiTheme="majorHAnsi" w:cstheme="majorHAnsi"/>
        </w:rPr>
        <w:t>8</w:t>
      </w:r>
      <w:r w:rsidR="00C73056" w:rsidRPr="002C5292">
        <w:rPr>
          <w:rFonts w:asciiTheme="majorHAnsi" w:hAnsiTheme="majorHAnsi" w:cstheme="majorHAnsi"/>
        </w:rPr>
        <w:t>7</w:t>
      </w:r>
      <w:r w:rsidR="00AF1D14" w:rsidRPr="002C5292">
        <w:rPr>
          <w:rFonts w:asciiTheme="majorHAnsi" w:hAnsiTheme="majorHAnsi" w:cstheme="majorHAnsi"/>
        </w:rPr>
        <w:t xml:space="preserve"> </w:t>
      </w:r>
      <w:r w:rsidRPr="002C5292">
        <w:rPr>
          <w:rFonts w:asciiTheme="majorHAnsi" w:hAnsiTheme="majorHAnsi" w:cstheme="majorHAnsi"/>
        </w:rPr>
        <w:t xml:space="preserve">provisions are proposed to be exempt from </w:t>
      </w:r>
      <w:r w:rsidR="005E37D5" w:rsidRPr="002C5292">
        <w:rPr>
          <w:rFonts w:asciiTheme="majorHAnsi" w:hAnsiTheme="majorHAnsi" w:cstheme="majorHAnsi"/>
        </w:rPr>
        <w:t xml:space="preserve">certain </w:t>
      </w:r>
      <w:r w:rsidRPr="002C5292">
        <w:rPr>
          <w:rFonts w:asciiTheme="majorHAnsi" w:hAnsiTheme="majorHAnsi" w:cstheme="majorHAnsi"/>
        </w:rPr>
        <w:t>requirements of the SLA because of these alternative processes. These instruments and the reasons for exemption were outlined above. They come under two criteria for exemption under Option 1, where the legislative instrument:</w:t>
      </w:r>
    </w:p>
    <w:p w14:paraId="08BD1867" w14:textId="77777777" w:rsidR="003D11F0" w:rsidRPr="002C5292" w:rsidRDefault="003D11F0" w:rsidP="000C4A15">
      <w:pPr>
        <w:pStyle w:val="DPCbodytext"/>
        <w:numPr>
          <w:ilvl w:val="0"/>
          <w:numId w:val="104"/>
        </w:numPr>
      </w:pPr>
      <w:r w:rsidRPr="002C5292">
        <w:t>is required to undergo, or has undergone an analytical and consultation process deemed equivalent to a RIS; or</w:t>
      </w:r>
    </w:p>
    <w:p w14:paraId="595DEADA" w14:textId="77777777" w:rsidR="003D11F0" w:rsidRPr="002C5292" w:rsidRDefault="003D11F0" w:rsidP="000C4A15">
      <w:pPr>
        <w:pStyle w:val="DPCbodytext"/>
        <w:numPr>
          <w:ilvl w:val="0"/>
          <w:numId w:val="104"/>
        </w:numPr>
      </w:pPr>
      <w:r w:rsidRPr="002C5292">
        <w:t xml:space="preserve">is required under a national uniform legislation scheme and an assessment of costs and benefits has been undertaken under that scheme. </w:t>
      </w:r>
    </w:p>
    <w:p w14:paraId="2D3EDC10" w14:textId="07EDC7B7" w:rsidR="003D11F0" w:rsidRPr="002C5292" w:rsidRDefault="003D11F0" w:rsidP="00126785">
      <w:pPr>
        <w:pStyle w:val="DPCbody"/>
        <w:rPr>
          <w:rFonts w:cstheme="minorHAnsi"/>
        </w:rPr>
      </w:pPr>
      <w:r w:rsidRPr="002C5292">
        <w:rPr>
          <w:rFonts w:cstheme="minorHAnsi"/>
        </w:rPr>
        <w:t xml:space="preserve">Option 2 allows for the exemption criteria </w:t>
      </w:r>
      <w:r w:rsidR="003F67F8" w:rsidRPr="002C5292">
        <w:rPr>
          <w:rFonts w:cstheme="minorHAnsi"/>
        </w:rPr>
        <w:t xml:space="preserve">described </w:t>
      </w:r>
      <w:r w:rsidRPr="002C5292">
        <w:rPr>
          <w:rFonts w:cstheme="minorHAnsi"/>
        </w:rPr>
        <w:t>above</w:t>
      </w:r>
      <w:r w:rsidR="003F67F8" w:rsidRPr="002C5292">
        <w:rPr>
          <w:rFonts w:cstheme="minorHAnsi"/>
        </w:rPr>
        <w:t xml:space="preserve"> in Option 1</w:t>
      </w:r>
      <w:r w:rsidRPr="002C5292">
        <w:rPr>
          <w:rFonts w:cstheme="minorHAnsi"/>
        </w:rPr>
        <w:t xml:space="preserve">, </w:t>
      </w:r>
      <w:r w:rsidRPr="002C5292">
        <w:rPr>
          <w:rFonts w:cstheme="minorHAnsi"/>
          <w:i/>
        </w:rPr>
        <w:t>excluding</w:t>
      </w:r>
      <w:r w:rsidRPr="002C5292">
        <w:rPr>
          <w:rFonts w:cstheme="minorHAnsi"/>
        </w:rPr>
        <w:t xml:space="preserve"> the RIS equivalency and national uniform legislation criteria for </w:t>
      </w:r>
      <w:r w:rsidR="00430739" w:rsidRPr="002C5292">
        <w:rPr>
          <w:rFonts w:cstheme="minorHAnsi"/>
        </w:rPr>
        <w:t xml:space="preserve">provision </w:t>
      </w:r>
      <w:r w:rsidRPr="002C5292">
        <w:rPr>
          <w:rFonts w:cstheme="minorHAnsi"/>
        </w:rPr>
        <w:t xml:space="preserve">exemption. </w:t>
      </w:r>
    </w:p>
    <w:p w14:paraId="0BCB1C68" w14:textId="4E04241E" w:rsidR="006163AF" w:rsidRPr="002C5292" w:rsidRDefault="006163AF" w:rsidP="00126785">
      <w:pPr>
        <w:pStyle w:val="DPCbody"/>
        <w:rPr>
          <w:rFonts w:cstheme="minorHAnsi"/>
        </w:rPr>
      </w:pPr>
      <w:r w:rsidRPr="002C5292">
        <w:rPr>
          <w:rFonts w:cstheme="minorHAnsi"/>
          <w:lang w:eastAsia="en-AU"/>
        </w:rPr>
        <w:t>For an assessment of the costs and benefits relevant to Option 2 see Part 3 and Chapter 4 below</w:t>
      </w:r>
    </w:p>
    <w:p w14:paraId="43F7147B" w14:textId="558160B2" w:rsidR="00A1563C" w:rsidRPr="002C5292" w:rsidRDefault="000E38E2" w:rsidP="000E38E2">
      <w:pPr>
        <w:pStyle w:val="Heading1"/>
        <w:numPr>
          <w:ilvl w:val="0"/>
          <w:numId w:val="46"/>
        </w:numPr>
      </w:pPr>
      <w:bookmarkStart w:id="62" w:name="_Toc68206046"/>
      <w:bookmarkStart w:id="63" w:name="_Toc68206049"/>
      <w:bookmarkStart w:id="64" w:name="_Toc68206050"/>
      <w:bookmarkStart w:id="65" w:name="_Toc68206053"/>
      <w:bookmarkStart w:id="66" w:name="_Toc70082373"/>
      <w:bookmarkEnd w:id="62"/>
      <w:bookmarkEnd w:id="63"/>
      <w:bookmarkEnd w:id="64"/>
      <w:bookmarkEnd w:id="65"/>
      <w:r w:rsidRPr="002C5292">
        <w:t>Impact Analysis</w:t>
      </w:r>
      <w:bookmarkEnd w:id="66"/>
    </w:p>
    <w:p w14:paraId="22C38533" w14:textId="77777777" w:rsidR="008F21A4" w:rsidRPr="002C5292" w:rsidRDefault="008F21A4" w:rsidP="008F21A4">
      <w:pPr>
        <w:pStyle w:val="DPCbody"/>
      </w:pPr>
      <w:r w:rsidRPr="002C5292">
        <w:rPr>
          <w:bCs/>
          <w:iCs/>
        </w:rPr>
        <w:t>The purpose of this section is to identify and analyse the impacts of the options identified in Chapter 3 of this RIS</w:t>
      </w:r>
      <w:r w:rsidRPr="002C5292">
        <w:t xml:space="preserve"> </w:t>
      </w:r>
    </w:p>
    <w:p w14:paraId="76B10925" w14:textId="7CA3125B" w:rsidR="007D1DDE" w:rsidRPr="002C5292" w:rsidRDefault="00A1563C" w:rsidP="00175AB7">
      <w:pPr>
        <w:pStyle w:val="DPCbody"/>
      </w:pPr>
      <w:r w:rsidRPr="002C5292">
        <w:t xml:space="preserve">As outlined above, the preferred option comprises the </w:t>
      </w:r>
      <w:r w:rsidR="00095532" w:rsidRPr="002C5292">
        <w:t>Proposed Regulations</w:t>
      </w:r>
      <w:r w:rsidR="00E7020F" w:rsidRPr="002C5292">
        <w:t xml:space="preserve"> (Option 1)</w:t>
      </w:r>
      <w:r w:rsidR="008F21A4" w:rsidRPr="002C5292">
        <w:t>.</w:t>
      </w:r>
      <w:r w:rsidRPr="002C5292">
        <w:t xml:space="preserve"> </w:t>
      </w:r>
      <w:r w:rsidR="007D1DDE" w:rsidRPr="002C5292">
        <w:t xml:space="preserve">This will have the effect of prescribing legislative instruments </w:t>
      </w:r>
      <w:r w:rsidR="00CF2AD1" w:rsidRPr="002C5292">
        <w:t xml:space="preserve">made under </w:t>
      </w:r>
      <w:r w:rsidR="000B6F2F" w:rsidRPr="002C5292">
        <w:t>5</w:t>
      </w:r>
      <w:r w:rsidR="002C5292" w:rsidRPr="002C5292">
        <w:t>86</w:t>
      </w:r>
      <w:r w:rsidR="000B6F2F" w:rsidRPr="002C5292">
        <w:t xml:space="preserve"> </w:t>
      </w:r>
      <w:r w:rsidR="00CF2AD1" w:rsidRPr="002C5292">
        <w:t xml:space="preserve">provisions </w:t>
      </w:r>
      <w:r w:rsidR="007D1DDE" w:rsidRPr="002C5292">
        <w:t xml:space="preserve">as exempt from </w:t>
      </w:r>
      <w:r w:rsidR="00E27BDF" w:rsidRPr="002C5292">
        <w:t>certain</w:t>
      </w:r>
      <w:r w:rsidR="007D1DDE" w:rsidRPr="002C5292" w:rsidDel="002E726D">
        <w:t xml:space="preserve"> </w:t>
      </w:r>
      <w:r w:rsidR="007D1DDE" w:rsidRPr="002C5292">
        <w:t>requirements</w:t>
      </w:r>
      <w:r w:rsidR="002E726D" w:rsidRPr="002C5292">
        <w:t xml:space="preserve"> of the SLA</w:t>
      </w:r>
      <w:r w:rsidR="007D1DDE" w:rsidRPr="002C5292">
        <w:t>, except the requirement to publish new instruments in the Victoria Government Gazette</w:t>
      </w:r>
      <w:r w:rsidR="00D840FD" w:rsidRPr="002C5292">
        <w:t>. Only</w:t>
      </w:r>
      <w:r w:rsidR="008F21A4" w:rsidRPr="002C5292">
        <w:t xml:space="preserve"> </w:t>
      </w:r>
      <w:r w:rsidR="005A17EB" w:rsidRPr="002C5292">
        <w:t xml:space="preserve">the </w:t>
      </w:r>
      <w:r w:rsidR="000B6F2F" w:rsidRPr="002C5292">
        <w:t xml:space="preserve">seven </w:t>
      </w:r>
      <w:r w:rsidR="003B2B57" w:rsidRPr="002C5292">
        <w:t xml:space="preserve">(7) </w:t>
      </w:r>
      <w:r w:rsidR="00D840FD" w:rsidRPr="002C5292">
        <w:t xml:space="preserve">legislative </w:t>
      </w:r>
      <w:r w:rsidR="005A17EB" w:rsidRPr="002C5292">
        <w:t xml:space="preserve">instruments in proposed regulations </w:t>
      </w:r>
      <w:r w:rsidR="007B46D2" w:rsidRPr="002C5292">
        <w:t>9</w:t>
      </w:r>
      <w:r w:rsidR="005A17EB" w:rsidRPr="002C5292">
        <w:t xml:space="preserve"> and </w:t>
      </w:r>
      <w:r w:rsidR="007B46D2" w:rsidRPr="002C5292">
        <w:t>10</w:t>
      </w:r>
      <w:r w:rsidR="00D840FD" w:rsidRPr="002C5292">
        <w:t xml:space="preserve"> will not need to </w:t>
      </w:r>
      <w:r w:rsidR="00E81135" w:rsidRPr="002C5292">
        <w:t>comply with the requirement to publish in the Government Gazette</w:t>
      </w:r>
      <w:r w:rsidR="00225670" w:rsidRPr="002C5292">
        <w:t>.</w:t>
      </w:r>
    </w:p>
    <w:p w14:paraId="00B8C901" w14:textId="1FD9CD8E" w:rsidR="007D1DDE" w:rsidRPr="002C5292" w:rsidRDefault="007D1DDE" w:rsidP="001F4EC6">
      <w:pPr>
        <w:pStyle w:val="DPCbody"/>
      </w:pPr>
      <w:r w:rsidRPr="002C5292">
        <w:t>The process to identify</w:t>
      </w:r>
      <w:r w:rsidRPr="002C5292" w:rsidDel="00780265">
        <w:t xml:space="preserve"> </w:t>
      </w:r>
      <w:r w:rsidRPr="002C5292">
        <w:t xml:space="preserve">these instruments has included extensive consultation with other departments and agencies. In each case, </w:t>
      </w:r>
      <w:r w:rsidR="00D4031F" w:rsidRPr="002C5292">
        <w:t xml:space="preserve">either the </w:t>
      </w:r>
      <w:r w:rsidRPr="002C5292">
        <w:t xml:space="preserve">instruments are not expected to pose a significant burden, </w:t>
      </w:r>
      <w:r w:rsidR="00D4031F" w:rsidRPr="002C5292">
        <w:t xml:space="preserve">or </w:t>
      </w:r>
      <w:r w:rsidRPr="002C5292">
        <w:t>the benefits of meeting the SLA requirements are outweighed by the cost of doing so (that is, there is a net benefit in exempting them), or there are mitigating factors, such a need for an urgent response for public health or safety concerns.</w:t>
      </w:r>
    </w:p>
    <w:p w14:paraId="4D09DE73" w14:textId="1C74166A" w:rsidR="007D1DDE" w:rsidRPr="002C5292" w:rsidRDefault="007D1DDE" w:rsidP="001F4EC6">
      <w:pPr>
        <w:pStyle w:val="DPCbody"/>
      </w:pPr>
      <w:r w:rsidRPr="002C5292">
        <w:t xml:space="preserve">Future amendments will also provide an opportunity to include new provisions to make legislative instruments on the list of exempt </w:t>
      </w:r>
      <w:r w:rsidR="001D7633" w:rsidRPr="002C5292">
        <w:t xml:space="preserve">legislative </w:t>
      </w:r>
      <w:r w:rsidRPr="002C5292">
        <w:t xml:space="preserve">instruments, where this is appropriate. </w:t>
      </w:r>
    </w:p>
    <w:p w14:paraId="6358CB79" w14:textId="54206D68" w:rsidR="00C72EB3" w:rsidRPr="002C5292" w:rsidRDefault="00C72EB3" w:rsidP="00C72EB3">
      <w:pPr>
        <w:pStyle w:val="Heading2"/>
      </w:pPr>
      <w:bookmarkStart w:id="67" w:name="_Toc289150761"/>
      <w:bookmarkStart w:id="68" w:name="_Toc70082374"/>
      <w:r w:rsidRPr="002C5292">
        <w:t>Part 1 Multi-Criteria Analysis</w:t>
      </w:r>
      <w:bookmarkEnd w:id="67"/>
      <w:bookmarkEnd w:id="68"/>
    </w:p>
    <w:p w14:paraId="6082BC4B" w14:textId="0109D48F"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 nature of the problem is such that it is difficult to precisely estimate all costs and benefits in terms of a dollar value. Therefore, while some indication </w:t>
      </w:r>
      <w:r w:rsidR="00D4031F" w:rsidRPr="002C5292">
        <w:rPr>
          <w:rFonts w:asciiTheme="minorHAnsi" w:hAnsiTheme="minorHAnsi" w:cstheme="minorHAnsi"/>
          <w:sz w:val="22"/>
          <w:szCs w:val="22"/>
        </w:rPr>
        <w:t>of costs and cost savings is</w:t>
      </w:r>
      <w:r w:rsidRPr="002C5292">
        <w:rPr>
          <w:rFonts w:asciiTheme="minorHAnsi" w:hAnsiTheme="minorHAnsi" w:cstheme="minorHAnsi"/>
          <w:sz w:val="22"/>
          <w:szCs w:val="22"/>
        </w:rPr>
        <w:t xml:space="preserve"> given, a multi-criteria analysis has been prepared to analyse the impact of each of the options against a number of criteria.</w:t>
      </w:r>
    </w:p>
    <w:p w14:paraId="127E7333" w14:textId="22A31093"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In a multi-criteria analysis, a score is assigned, depending on the impact of the option on each of the criteria measured relative to the Base Case. The multi-criteria analysis technique requires judgments about how proposed options will contribute to a set of criteria that are chosen to reflect the benefits and costs associated with the proposals. It requires developing criteria based on the objectives of the Proposed Regulations, weighting the criteria, and assigning scores to the different options. Further, it is prudent to ensure that criteria that represent benefits are weighted equally against those that represent costs. The following section considers each element of the multi-criteria analysis approach.</w:t>
      </w:r>
    </w:p>
    <w:p w14:paraId="181618DD" w14:textId="77777777" w:rsidR="00C72EB3" w:rsidRPr="002C5292" w:rsidRDefault="00C72EB3" w:rsidP="00C72EB3">
      <w:pPr>
        <w:pStyle w:val="Heading3"/>
        <w:rPr>
          <w:sz w:val="22"/>
          <w:szCs w:val="22"/>
        </w:rPr>
      </w:pPr>
      <w:bookmarkStart w:id="69" w:name="_Toc70082375"/>
      <w:r w:rsidRPr="002C5292">
        <w:rPr>
          <w:sz w:val="22"/>
          <w:szCs w:val="22"/>
        </w:rPr>
        <w:t>Criteria</w:t>
      </w:r>
      <w:bookmarkEnd w:id="69"/>
    </w:p>
    <w:p w14:paraId="22C485A4" w14:textId="77777777"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The criteria developed for the multi-criteria analysis relate to the objectives outlined earlier in this RIS. The criteria are described in more detail below:</w:t>
      </w:r>
    </w:p>
    <w:p w14:paraId="6847B69F" w14:textId="77777777" w:rsidR="00C72EB3" w:rsidRPr="002C5292" w:rsidRDefault="00C72EB3" w:rsidP="00C72EB3">
      <w:pPr>
        <w:spacing w:before="120" w:after="120" w:line="280" w:lineRule="exact"/>
        <w:rPr>
          <w:rFonts w:asciiTheme="minorHAnsi" w:hAnsiTheme="minorHAnsi" w:cstheme="minorHAnsi"/>
          <w:sz w:val="22"/>
          <w:szCs w:val="22"/>
          <w:u w:val="single"/>
        </w:rPr>
      </w:pPr>
      <w:r w:rsidRPr="002C5292">
        <w:rPr>
          <w:rFonts w:asciiTheme="minorHAnsi" w:hAnsiTheme="minorHAnsi" w:cstheme="minorHAnsi"/>
          <w:sz w:val="22"/>
          <w:szCs w:val="22"/>
          <w:u w:val="single"/>
        </w:rPr>
        <w:t>Benefit Criteria</w:t>
      </w:r>
    </w:p>
    <w:p w14:paraId="2235EDFF" w14:textId="77777777" w:rsidR="00C72EB3" w:rsidRPr="002C5292" w:rsidRDefault="00C72EB3" w:rsidP="00C72EB3">
      <w:pPr>
        <w:widowControl w:val="0"/>
        <w:numPr>
          <w:ilvl w:val="0"/>
          <w:numId w:val="74"/>
        </w:numPr>
        <w:tabs>
          <w:tab w:val="clear" w:pos="720"/>
          <w:tab w:val="num" w:pos="360"/>
        </w:tabs>
        <w:suppressAutoHyphens/>
        <w:spacing w:before="120" w:after="120" w:line="280" w:lineRule="exact"/>
        <w:ind w:left="360"/>
        <w:rPr>
          <w:rFonts w:asciiTheme="minorHAnsi" w:hAnsiTheme="minorHAnsi" w:cstheme="minorHAnsi"/>
          <w:i/>
          <w:iCs/>
          <w:sz w:val="22"/>
          <w:szCs w:val="22"/>
        </w:rPr>
      </w:pPr>
      <w:r w:rsidRPr="002C5292">
        <w:rPr>
          <w:rFonts w:asciiTheme="minorHAnsi" w:hAnsiTheme="minorHAnsi" w:cstheme="minorHAnsi"/>
          <w:i/>
          <w:iCs/>
          <w:sz w:val="22"/>
          <w:szCs w:val="22"/>
        </w:rPr>
        <w:t>Effective use of government resources</w:t>
      </w:r>
    </w:p>
    <w:p w14:paraId="09F80943" w14:textId="0D27A061" w:rsidR="00C72EB3" w:rsidRPr="002C5292" w:rsidRDefault="00C72EB3" w:rsidP="00C72EB3">
      <w:pPr>
        <w:tabs>
          <w:tab w:val="num" w:pos="360"/>
        </w:tabs>
        <w:spacing w:before="120" w:after="120" w:line="280" w:lineRule="exact"/>
        <w:ind w:left="360"/>
        <w:rPr>
          <w:rFonts w:asciiTheme="minorHAnsi" w:hAnsiTheme="minorHAnsi" w:cstheme="minorHAnsi"/>
          <w:sz w:val="22"/>
          <w:szCs w:val="22"/>
        </w:rPr>
      </w:pPr>
      <w:r w:rsidRPr="002C5292">
        <w:rPr>
          <w:rFonts w:asciiTheme="minorHAnsi" w:hAnsiTheme="minorHAnsi" w:cstheme="minorHAnsi"/>
          <w:sz w:val="22"/>
          <w:szCs w:val="22"/>
        </w:rPr>
        <w:t>The preferred option should ensure Government resources are used effectively and efficiently.</w:t>
      </w:r>
    </w:p>
    <w:p w14:paraId="0B87F69B" w14:textId="77777777" w:rsidR="00C72EB3" w:rsidRPr="002C5292" w:rsidRDefault="00C72EB3" w:rsidP="00C72EB3">
      <w:pPr>
        <w:tabs>
          <w:tab w:val="num" w:pos="360"/>
        </w:tabs>
        <w:spacing w:before="120" w:after="120" w:line="280" w:lineRule="exact"/>
        <w:ind w:left="360"/>
        <w:rPr>
          <w:rFonts w:asciiTheme="minorHAnsi" w:hAnsiTheme="minorHAnsi" w:cstheme="minorHAnsi"/>
          <w:sz w:val="22"/>
          <w:szCs w:val="22"/>
        </w:rPr>
      </w:pPr>
      <w:r w:rsidRPr="002C5292">
        <w:rPr>
          <w:rFonts w:asciiTheme="minorHAnsi" w:hAnsiTheme="minorHAnsi" w:cstheme="minorHAnsi"/>
          <w:sz w:val="22"/>
          <w:szCs w:val="22"/>
        </w:rPr>
        <w:t>Requiring every single legislative instrument to either have an exemption certificate prepared or to undergo rigorous analysis and consultation would be an inefficient use of limited government resources, as little benefit would be gained in most cases. Similarly, requiring Government agencies to consider whether a case-by-case RIS exemption applies where it would in practice always apply is also an unnecessary burden on Government resources. In addition, a lack of clarity of the legal status of an instrument creates additional work for Government agencies to ascertain the legal status of the instrument.</w:t>
      </w:r>
    </w:p>
    <w:p w14:paraId="7A0C52AD" w14:textId="2CECA99B"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 xml:space="preserve">Both of the options decrease the resources Government needs to dedicate to complying with SLA processes when making or amending legislative instruments relative to the base case and therefore score positively in the analysis below. A positive score indicates that legislative instruments will consume fewer Government resources, allowing </w:t>
      </w:r>
      <w:r w:rsidR="00CF2AD1" w:rsidRPr="002C5292">
        <w:rPr>
          <w:rFonts w:asciiTheme="minorHAnsi" w:hAnsiTheme="minorHAnsi" w:cstheme="minorHAnsi"/>
          <w:sz w:val="22"/>
          <w:szCs w:val="22"/>
        </w:rPr>
        <w:t xml:space="preserve">resources </w:t>
      </w:r>
      <w:r w:rsidRPr="002C5292">
        <w:rPr>
          <w:rFonts w:asciiTheme="minorHAnsi" w:hAnsiTheme="minorHAnsi" w:cstheme="minorHAnsi"/>
          <w:sz w:val="22"/>
          <w:szCs w:val="22"/>
        </w:rPr>
        <w:t>to be used on other priorities.</w:t>
      </w:r>
    </w:p>
    <w:p w14:paraId="56B480C8" w14:textId="77777777" w:rsidR="00C72EB3" w:rsidRPr="002C5292" w:rsidRDefault="00C72EB3" w:rsidP="00C72EB3">
      <w:pPr>
        <w:widowControl w:val="0"/>
        <w:numPr>
          <w:ilvl w:val="0"/>
          <w:numId w:val="74"/>
        </w:numPr>
        <w:tabs>
          <w:tab w:val="clear" w:pos="720"/>
          <w:tab w:val="num" w:pos="360"/>
        </w:tabs>
        <w:suppressAutoHyphens/>
        <w:spacing w:before="120" w:after="120" w:line="280" w:lineRule="exact"/>
        <w:ind w:left="360"/>
        <w:rPr>
          <w:rFonts w:asciiTheme="minorHAnsi" w:hAnsiTheme="minorHAnsi" w:cstheme="minorHAnsi"/>
          <w:sz w:val="22"/>
          <w:szCs w:val="22"/>
        </w:rPr>
      </w:pPr>
      <w:r w:rsidRPr="002C5292">
        <w:rPr>
          <w:rFonts w:asciiTheme="minorHAnsi" w:hAnsiTheme="minorHAnsi" w:cstheme="minorHAnsi"/>
          <w:i/>
          <w:iCs/>
          <w:sz w:val="22"/>
          <w:szCs w:val="22"/>
        </w:rPr>
        <w:t xml:space="preserve">Minimise unnecessary delays in making or amending legislative instruments </w:t>
      </w:r>
    </w:p>
    <w:p w14:paraId="65BD50EB" w14:textId="77777777"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 xml:space="preserve">The preferred option should minimise unnecessary delays in making or amending legislative instruments. </w:t>
      </w:r>
    </w:p>
    <w:p w14:paraId="2AD64687" w14:textId="68CF0721"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 xml:space="preserve">In addition to the resource burden of the SLA processes noted above, the processes generally take significant time. Some legislative instruments need to be made quickly to achieve their desired effect, for example when responding to an emergency. The additional time involved in preparing exemption certificates or RISs would undermine the intended effect of these legislative instruments. </w:t>
      </w:r>
    </w:p>
    <w:p w14:paraId="795C65E2" w14:textId="77777777"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Both of the options decrease the delays in making or amending legislative instruments relative to the base case and therefore score positively in the analysis below. A positive score indicates that legislative instruments can be made in situations where urgency or timeliness are important.</w:t>
      </w:r>
    </w:p>
    <w:p w14:paraId="3DE2ABC8" w14:textId="77777777"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u w:val="single"/>
        </w:rPr>
      </w:pPr>
      <w:r w:rsidRPr="002C5292">
        <w:rPr>
          <w:rFonts w:asciiTheme="minorHAnsi" w:hAnsiTheme="minorHAnsi" w:cstheme="minorHAnsi"/>
          <w:sz w:val="22"/>
          <w:szCs w:val="22"/>
          <w:u w:val="single"/>
        </w:rPr>
        <w:t>Cost criteria</w:t>
      </w:r>
    </w:p>
    <w:p w14:paraId="3BE4EB80" w14:textId="150F1D46" w:rsidR="00C72EB3" w:rsidRPr="002C5292" w:rsidRDefault="00C72EB3" w:rsidP="00C72EB3">
      <w:pPr>
        <w:widowControl w:val="0"/>
        <w:numPr>
          <w:ilvl w:val="0"/>
          <w:numId w:val="93"/>
        </w:numPr>
        <w:suppressAutoHyphens/>
        <w:spacing w:before="120" w:after="120" w:line="280" w:lineRule="exact"/>
        <w:rPr>
          <w:rFonts w:asciiTheme="minorHAnsi" w:hAnsiTheme="minorHAnsi" w:cstheme="minorHAnsi"/>
          <w:sz w:val="22"/>
          <w:szCs w:val="22"/>
        </w:rPr>
      </w:pPr>
      <w:r w:rsidRPr="002C5292">
        <w:rPr>
          <w:rFonts w:asciiTheme="minorHAnsi" w:hAnsiTheme="minorHAnsi" w:cstheme="minorHAnsi"/>
          <w:i/>
          <w:iCs/>
          <w:sz w:val="22"/>
          <w:szCs w:val="22"/>
        </w:rPr>
        <w:t>Ensure legislative instruments are identifiable, publicly available and an appropriate level of scrutiny (parliamentary and SARC) is applied when making legislative instruments</w:t>
      </w:r>
      <w:r w:rsidRPr="002C5292">
        <w:rPr>
          <w:rFonts w:asciiTheme="minorHAnsi" w:hAnsiTheme="minorHAnsi" w:cstheme="minorHAnsi"/>
          <w:sz w:val="22"/>
          <w:szCs w:val="22"/>
        </w:rPr>
        <w:t xml:space="preserve"> </w:t>
      </w:r>
    </w:p>
    <w:p w14:paraId="582B7127" w14:textId="77777777"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 xml:space="preserve">The preferred option should ensure legislative instruments are identifiable, publicly available and undergo an appropriate level of scrutiny before being made. </w:t>
      </w:r>
    </w:p>
    <w:p w14:paraId="15A0D557" w14:textId="138E0C96" w:rsidR="00C72EB3" w:rsidRPr="002C5292" w:rsidRDefault="00C72EB3" w:rsidP="00C72EB3">
      <w:pPr>
        <w:tabs>
          <w:tab w:val="num" w:pos="360"/>
        </w:tabs>
        <w:spacing w:before="120" w:after="120" w:line="280" w:lineRule="exact"/>
        <w:ind w:left="360" w:hanging="360"/>
        <w:rPr>
          <w:rFonts w:asciiTheme="minorHAnsi" w:hAnsiTheme="minorHAnsi" w:cstheme="minorHAnsi"/>
          <w:sz w:val="22"/>
          <w:szCs w:val="22"/>
        </w:rPr>
      </w:pPr>
      <w:r w:rsidRPr="002C5292">
        <w:rPr>
          <w:rFonts w:asciiTheme="minorHAnsi" w:hAnsiTheme="minorHAnsi" w:cstheme="minorHAnsi"/>
          <w:sz w:val="22"/>
          <w:szCs w:val="22"/>
        </w:rPr>
        <w:tab/>
        <w:t>The preferred option should mitigate the risk created by removing some of the parliamentary and public scrutiny that legislative instruments would otherwise be subject to</w:t>
      </w:r>
      <w:r w:rsidR="00CF2AD1" w:rsidRPr="002C5292">
        <w:rPr>
          <w:rFonts w:asciiTheme="minorHAnsi" w:hAnsiTheme="minorHAnsi" w:cstheme="minorHAnsi"/>
          <w:sz w:val="22"/>
          <w:szCs w:val="22"/>
        </w:rPr>
        <w:t xml:space="preserve"> as </w:t>
      </w:r>
      <w:r w:rsidR="00C73056" w:rsidRPr="002C5292">
        <w:rPr>
          <w:rFonts w:asciiTheme="minorHAnsi" w:hAnsiTheme="minorHAnsi" w:cstheme="minorHAnsi"/>
          <w:sz w:val="22"/>
          <w:szCs w:val="22"/>
        </w:rPr>
        <w:t xml:space="preserve">predominately </w:t>
      </w:r>
      <w:r w:rsidR="00CF2AD1" w:rsidRPr="002C5292">
        <w:rPr>
          <w:rFonts w:asciiTheme="minorHAnsi" w:hAnsiTheme="minorHAnsi" w:cstheme="minorHAnsi"/>
          <w:sz w:val="22"/>
          <w:szCs w:val="22"/>
        </w:rPr>
        <w:t>only lower impact instruments will be automatically exempt</w:t>
      </w:r>
      <w:r w:rsidRPr="002C5292">
        <w:rPr>
          <w:rFonts w:asciiTheme="minorHAnsi" w:hAnsiTheme="minorHAnsi" w:cstheme="minorHAnsi"/>
          <w:sz w:val="22"/>
          <w:szCs w:val="22"/>
        </w:rPr>
        <w:t>.</w:t>
      </w:r>
    </w:p>
    <w:p w14:paraId="3505E311" w14:textId="3301AB6C" w:rsidR="00C72EB3" w:rsidRPr="002C5292" w:rsidRDefault="00C72EB3" w:rsidP="00C72EB3">
      <w:pPr>
        <w:tabs>
          <w:tab w:val="num" w:pos="360"/>
        </w:tabs>
        <w:spacing w:before="120" w:after="120" w:line="280" w:lineRule="exact"/>
        <w:ind w:left="360" w:hanging="360"/>
        <w:rPr>
          <w:rFonts w:asciiTheme="minorHAnsi" w:hAnsiTheme="minorHAnsi" w:cstheme="minorHAnsi"/>
        </w:rPr>
      </w:pPr>
      <w:r w:rsidRPr="002C5292">
        <w:rPr>
          <w:rFonts w:asciiTheme="minorHAnsi" w:hAnsiTheme="minorHAnsi" w:cstheme="minorHAnsi"/>
          <w:sz w:val="22"/>
          <w:szCs w:val="22"/>
        </w:rPr>
        <w:tab/>
        <w:t>Both of the proposed options reduce the level of scrutiny from the base case, and, accordingly, have been scored negatively in the analysis below. A negative score indicates less scrutiny, which increases the risk that legislative instruments will have lower net benefits for society and/or adverse human rights outcomes.</w:t>
      </w:r>
    </w:p>
    <w:p w14:paraId="3DE4C14B" w14:textId="77777777" w:rsidR="00C72EB3" w:rsidRPr="002C5292" w:rsidRDefault="00C72EB3" w:rsidP="00C72EB3">
      <w:pPr>
        <w:pStyle w:val="Heading3"/>
        <w:rPr>
          <w:sz w:val="22"/>
          <w:szCs w:val="22"/>
        </w:rPr>
      </w:pPr>
      <w:bookmarkStart w:id="70" w:name="_Toc70082376"/>
      <w:r w:rsidRPr="002C5292">
        <w:rPr>
          <w:sz w:val="22"/>
          <w:szCs w:val="22"/>
        </w:rPr>
        <w:t>Weighting</w:t>
      </w:r>
      <w:bookmarkEnd w:id="70"/>
    </w:p>
    <w:p w14:paraId="7DE8FD77" w14:textId="29F48FE8" w:rsidR="00C72EB3" w:rsidRPr="002C5292" w:rsidRDefault="00C72EB3" w:rsidP="00C72EB3">
      <w:pPr>
        <w:spacing w:before="120" w:after="120" w:line="280" w:lineRule="exact"/>
        <w:rPr>
          <w:rFonts w:asciiTheme="minorHAnsi" w:hAnsiTheme="minorHAnsi" w:cstheme="minorHAnsi"/>
          <w:i/>
          <w:sz w:val="22"/>
          <w:szCs w:val="22"/>
          <w:lang w:eastAsia="en-AU"/>
        </w:rPr>
      </w:pPr>
      <w:r w:rsidRPr="002C5292">
        <w:rPr>
          <w:rFonts w:asciiTheme="minorHAnsi" w:hAnsiTheme="minorHAnsi" w:cstheme="minorHAnsi"/>
          <w:sz w:val="22"/>
          <w:szCs w:val="22"/>
        </w:rPr>
        <w:t xml:space="preserve">It is considered appropriate to equally weight the costs and benefits of proposed policies, so the benefit criteria receive a combined weighting of 50 per cent and the cost criterion receives a weighting of 50 per cent. Each benefit criterion is considered to be of equal importance, so achieving effective use of government resources and minimising unnecessary delays are weighted 25 per cent each. The preferred option should balance effective use of government resources, minimisation of unnecessary delays, and an appropriate level of public scrutiny. </w:t>
      </w:r>
    </w:p>
    <w:p w14:paraId="6E50C1A7" w14:textId="77777777" w:rsidR="00C72EB3" w:rsidRPr="002C5292" w:rsidRDefault="00C72EB3" w:rsidP="00C72EB3">
      <w:pPr>
        <w:pStyle w:val="Heading3"/>
        <w:rPr>
          <w:sz w:val="22"/>
          <w:szCs w:val="22"/>
        </w:rPr>
      </w:pPr>
      <w:bookmarkStart w:id="71" w:name="_Toc70082377"/>
      <w:r w:rsidRPr="002C5292">
        <w:rPr>
          <w:sz w:val="22"/>
          <w:szCs w:val="22"/>
        </w:rPr>
        <w:t>Scores</w:t>
      </w:r>
      <w:bookmarkEnd w:id="71"/>
    </w:p>
    <w:p w14:paraId="2B221496" w14:textId="468FAA76"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The summary of the multi-criteria analysis in Table 6 below shows that Option 1 provides the greatest benefits overall. The analysis used to reach the scores given against each criterion is outlined in the following sections. The options are assessed against each criterion with a score of between -10 and +10.</w:t>
      </w:r>
    </w:p>
    <w:p w14:paraId="222301B0" w14:textId="76DE3864" w:rsidR="00C72EB3" w:rsidRPr="002C5292" w:rsidRDefault="00C72EB3" w:rsidP="00E81135">
      <w:pPr>
        <w:rPr>
          <w:rFonts w:eastAsia="MS Gothic"/>
          <w:bCs/>
          <w:color w:val="53565A"/>
        </w:rPr>
      </w:pPr>
      <w:r w:rsidRPr="002C5292">
        <w:rPr>
          <w:rFonts w:asciiTheme="majorHAnsi" w:eastAsia="MS Gothic" w:hAnsiTheme="majorHAnsi"/>
          <w:b/>
          <w:bCs/>
          <w:color w:val="53565A"/>
        </w:rPr>
        <w:t>Table 6 - Analysis of options</w:t>
      </w:r>
    </w:p>
    <w:p w14:paraId="340474E9" w14:textId="77777777" w:rsidR="00C72EB3" w:rsidRPr="002C5292" w:rsidRDefault="00C72EB3" w:rsidP="00C72EB3">
      <w:pPr>
        <w:pStyle w:val="BodyText"/>
        <w:spacing w:before="120"/>
        <w:rPr>
          <w:rFonts w:asciiTheme="minorHAnsi" w:hAnsiTheme="minorHAnsi" w:cstheme="minorHAnsi"/>
          <w:sz w:val="20"/>
          <w:szCs w:val="20"/>
        </w:rPr>
      </w:pPr>
      <w:r w:rsidRPr="002C5292">
        <w:rPr>
          <w:rFonts w:asciiTheme="minorHAnsi" w:hAnsiTheme="minorHAnsi" w:cstheme="minorHAnsi"/>
          <w:sz w:val="20"/>
          <w:szCs w:val="20"/>
        </w:rPr>
        <w:t>(Scored between -10 and +10)</w:t>
      </w:r>
    </w:p>
    <w:p w14:paraId="2A05DC6C" w14:textId="77777777" w:rsidR="00C72EB3" w:rsidRPr="002C5292" w:rsidRDefault="00C72EB3" w:rsidP="00C72EB3">
      <w:pPr>
        <w:rPr>
          <w:rFonts w:asciiTheme="minorHAnsi" w:hAnsiTheme="minorHAnsi" w:cstheme="minorHAnsi"/>
        </w:rPr>
      </w:pPr>
    </w:p>
    <w:tbl>
      <w:tblPr>
        <w:tblStyle w:val="TableGrid"/>
        <w:tblW w:w="9000" w:type="dxa"/>
        <w:tblBorders>
          <w:top w:val="none" w:sz="0" w:space="0" w:color="auto"/>
          <w:bottom w:val="none" w:sz="0" w:space="0" w:color="auto"/>
          <w:insideH w:val="none" w:sz="0" w:space="0" w:color="auto"/>
        </w:tblBorders>
        <w:tblLayout w:type="fixed"/>
        <w:tblLook w:val="01E0" w:firstRow="1" w:lastRow="1" w:firstColumn="1" w:lastColumn="1" w:noHBand="0" w:noVBand="0"/>
      </w:tblPr>
      <w:tblGrid>
        <w:gridCol w:w="1800"/>
        <w:gridCol w:w="1440"/>
        <w:gridCol w:w="1440"/>
        <w:gridCol w:w="1080"/>
        <w:gridCol w:w="1080"/>
        <w:gridCol w:w="1080"/>
        <w:gridCol w:w="1080"/>
      </w:tblGrid>
      <w:tr w:rsidR="00C72EB3" w:rsidRPr="002C5292" w14:paraId="43AAA37D" w14:textId="77777777" w:rsidTr="00C72EB3">
        <w:tc>
          <w:tcPr>
            <w:tcW w:w="1800" w:type="dxa"/>
            <w:tcBorders>
              <w:top w:val="single" w:sz="4" w:space="0" w:color="auto"/>
            </w:tcBorders>
          </w:tcPr>
          <w:p w14:paraId="3DE5E38A" w14:textId="77777777" w:rsidR="00C72EB3" w:rsidRPr="002C5292" w:rsidRDefault="00C72EB3" w:rsidP="00C72EB3">
            <w:pPr>
              <w:spacing w:before="40" w:after="40"/>
              <w:rPr>
                <w:rFonts w:asciiTheme="minorHAnsi" w:hAnsiTheme="minorHAnsi" w:cstheme="minorHAnsi"/>
              </w:rPr>
            </w:pPr>
            <w:r w:rsidRPr="002C5292">
              <w:rPr>
                <w:rFonts w:asciiTheme="minorHAnsi" w:hAnsiTheme="minorHAnsi" w:cstheme="minorHAnsi"/>
              </w:rPr>
              <w:t>Criteria</w:t>
            </w:r>
          </w:p>
        </w:tc>
        <w:tc>
          <w:tcPr>
            <w:tcW w:w="1440" w:type="dxa"/>
            <w:tcBorders>
              <w:top w:val="single" w:sz="4" w:space="0" w:color="auto"/>
            </w:tcBorders>
          </w:tcPr>
          <w:p w14:paraId="375709D6" w14:textId="77777777" w:rsidR="00C72EB3" w:rsidRPr="002C5292" w:rsidRDefault="00C72EB3" w:rsidP="00C72EB3">
            <w:pPr>
              <w:spacing w:before="40" w:after="40"/>
              <w:jc w:val="center"/>
              <w:rPr>
                <w:rFonts w:asciiTheme="minorHAnsi" w:hAnsiTheme="minorHAnsi" w:cstheme="minorHAnsi"/>
              </w:rPr>
            </w:pPr>
            <w:r w:rsidRPr="002C5292">
              <w:rPr>
                <w:rFonts w:asciiTheme="minorHAnsi" w:hAnsiTheme="minorHAnsi" w:cstheme="minorHAnsi"/>
              </w:rPr>
              <w:t>Weighting</w:t>
            </w:r>
          </w:p>
        </w:tc>
        <w:tc>
          <w:tcPr>
            <w:tcW w:w="1440" w:type="dxa"/>
            <w:tcBorders>
              <w:top w:val="single" w:sz="4" w:space="0" w:color="auto"/>
            </w:tcBorders>
          </w:tcPr>
          <w:p w14:paraId="21213561" w14:textId="77777777" w:rsidR="00C72EB3" w:rsidRPr="002C5292" w:rsidRDefault="00C72EB3" w:rsidP="00C72EB3">
            <w:pPr>
              <w:spacing w:before="40" w:after="40"/>
              <w:jc w:val="center"/>
              <w:rPr>
                <w:rFonts w:asciiTheme="minorHAnsi" w:hAnsiTheme="minorHAnsi" w:cstheme="minorHAnsi"/>
              </w:rPr>
            </w:pPr>
            <w:r w:rsidRPr="002C5292">
              <w:rPr>
                <w:rFonts w:asciiTheme="minorHAnsi" w:hAnsiTheme="minorHAnsi" w:cstheme="minorHAnsi"/>
              </w:rPr>
              <w:t>Base Case</w:t>
            </w:r>
          </w:p>
        </w:tc>
        <w:tc>
          <w:tcPr>
            <w:tcW w:w="2160" w:type="dxa"/>
            <w:gridSpan w:val="2"/>
            <w:tcBorders>
              <w:top w:val="single" w:sz="4" w:space="0" w:color="auto"/>
            </w:tcBorders>
          </w:tcPr>
          <w:p w14:paraId="12098D87" w14:textId="77777777" w:rsidR="00C72EB3" w:rsidRPr="002C5292" w:rsidRDefault="00C72EB3" w:rsidP="00C72EB3">
            <w:pPr>
              <w:spacing w:before="40" w:after="40"/>
              <w:jc w:val="center"/>
              <w:rPr>
                <w:rFonts w:asciiTheme="minorHAnsi" w:hAnsiTheme="minorHAnsi" w:cstheme="minorHAnsi"/>
              </w:rPr>
            </w:pPr>
            <w:r w:rsidRPr="002C5292">
              <w:rPr>
                <w:rFonts w:asciiTheme="minorHAnsi" w:hAnsiTheme="minorHAnsi" w:cstheme="minorHAnsi"/>
              </w:rPr>
              <w:t>Option 1</w:t>
            </w:r>
          </w:p>
        </w:tc>
        <w:tc>
          <w:tcPr>
            <w:tcW w:w="2160" w:type="dxa"/>
            <w:gridSpan w:val="2"/>
            <w:tcBorders>
              <w:top w:val="single" w:sz="4" w:space="0" w:color="auto"/>
            </w:tcBorders>
          </w:tcPr>
          <w:p w14:paraId="13872BDE" w14:textId="77777777" w:rsidR="00C72EB3" w:rsidRPr="002C5292" w:rsidRDefault="00C72EB3" w:rsidP="00C72EB3">
            <w:pPr>
              <w:spacing w:before="40" w:after="40"/>
              <w:jc w:val="center"/>
              <w:rPr>
                <w:rFonts w:asciiTheme="minorHAnsi" w:hAnsiTheme="minorHAnsi" w:cstheme="minorHAnsi"/>
              </w:rPr>
            </w:pPr>
            <w:r w:rsidRPr="002C5292">
              <w:rPr>
                <w:rFonts w:asciiTheme="minorHAnsi" w:hAnsiTheme="minorHAnsi" w:cstheme="minorHAnsi"/>
              </w:rPr>
              <w:t>Option 2</w:t>
            </w:r>
          </w:p>
        </w:tc>
      </w:tr>
      <w:tr w:rsidR="00C72EB3" w:rsidRPr="002C5292" w14:paraId="09D6EC32" w14:textId="77777777" w:rsidTr="00C72EB3">
        <w:tc>
          <w:tcPr>
            <w:tcW w:w="1800" w:type="dxa"/>
            <w:tcBorders>
              <w:bottom w:val="single" w:sz="12" w:space="0" w:color="auto"/>
            </w:tcBorders>
          </w:tcPr>
          <w:p w14:paraId="044EC2F6" w14:textId="77777777" w:rsidR="00C72EB3" w:rsidRPr="002C5292" w:rsidRDefault="00C72EB3" w:rsidP="00C72EB3">
            <w:pPr>
              <w:rPr>
                <w:rFonts w:asciiTheme="minorHAnsi" w:hAnsiTheme="minorHAnsi" w:cstheme="minorHAnsi"/>
              </w:rPr>
            </w:pPr>
          </w:p>
        </w:tc>
        <w:tc>
          <w:tcPr>
            <w:tcW w:w="1440" w:type="dxa"/>
            <w:tcBorders>
              <w:bottom w:val="single" w:sz="12" w:space="0" w:color="auto"/>
            </w:tcBorders>
          </w:tcPr>
          <w:p w14:paraId="5C9A14F5" w14:textId="77777777" w:rsidR="00C72EB3" w:rsidRPr="002C5292" w:rsidDel="000C4760" w:rsidRDefault="00C72EB3" w:rsidP="00C72EB3">
            <w:pPr>
              <w:jc w:val="center"/>
              <w:rPr>
                <w:rFonts w:asciiTheme="minorHAnsi" w:hAnsiTheme="minorHAnsi" w:cstheme="minorHAnsi"/>
              </w:rPr>
            </w:pPr>
          </w:p>
        </w:tc>
        <w:tc>
          <w:tcPr>
            <w:tcW w:w="1440" w:type="dxa"/>
            <w:tcBorders>
              <w:bottom w:val="single" w:sz="12" w:space="0" w:color="auto"/>
            </w:tcBorders>
          </w:tcPr>
          <w:p w14:paraId="1E22E0AF" w14:textId="77777777" w:rsidR="00C72EB3" w:rsidRPr="002C5292" w:rsidRDefault="00C72EB3" w:rsidP="00C72EB3">
            <w:pPr>
              <w:jc w:val="center"/>
              <w:rPr>
                <w:rFonts w:asciiTheme="minorHAnsi" w:hAnsiTheme="minorHAnsi" w:cstheme="minorHAnsi"/>
              </w:rPr>
            </w:pPr>
          </w:p>
        </w:tc>
        <w:tc>
          <w:tcPr>
            <w:tcW w:w="1080" w:type="dxa"/>
            <w:tcBorders>
              <w:bottom w:val="single" w:sz="12" w:space="0" w:color="auto"/>
            </w:tcBorders>
          </w:tcPr>
          <w:p w14:paraId="3B125FB5" w14:textId="77777777" w:rsidR="00C72EB3" w:rsidRPr="002C5292" w:rsidRDefault="00C72EB3" w:rsidP="00C72EB3">
            <w:pPr>
              <w:jc w:val="center"/>
              <w:rPr>
                <w:rFonts w:asciiTheme="minorHAnsi" w:hAnsiTheme="minorHAnsi" w:cstheme="minorHAnsi"/>
              </w:rPr>
            </w:pPr>
            <w:r w:rsidRPr="002C5292">
              <w:rPr>
                <w:rFonts w:asciiTheme="minorHAnsi" w:hAnsiTheme="minorHAnsi" w:cstheme="minorHAnsi"/>
              </w:rPr>
              <w:t>Assigned score</w:t>
            </w:r>
          </w:p>
        </w:tc>
        <w:tc>
          <w:tcPr>
            <w:tcW w:w="1080" w:type="dxa"/>
            <w:tcBorders>
              <w:bottom w:val="single" w:sz="12" w:space="0" w:color="auto"/>
            </w:tcBorders>
          </w:tcPr>
          <w:p w14:paraId="4AEE7D31" w14:textId="77777777" w:rsidR="00C72EB3" w:rsidRPr="002C5292" w:rsidRDefault="00C72EB3" w:rsidP="00C72EB3">
            <w:pPr>
              <w:jc w:val="center"/>
              <w:rPr>
                <w:rFonts w:asciiTheme="minorHAnsi" w:hAnsiTheme="minorHAnsi" w:cstheme="minorHAnsi"/>
              </w:rPr>
            </w:pPr>
            <w:r w:rsidRPr="002C5292">
              <w:rPr>
                <w:rFonts w:asciiTheme="minorHAnsi" w:hAnsiTheme="minorHAnsi" w:cstheme="minorHAnsi"/>
              </w:rPr>
              <w:t>Weighted score</w:t>
            </w:r>
          </w:p>
        </w:tc>
        <w:tc>
          <w:tcPr>
            <w:tcW w:w="1080" w:type="dxa"/>
            <w:tcBorders>
              <w:bottom w:val="single" w:sz="12" w:space="0" w:color="auto"/>
            </w:tcBorders>
          </w:tcPr>
          <w:p w14:paraId="3A45A3DB" w14:textId="77777777" w:rsidR="00C72EB3" w:rsidRPr="002C5292" w:rsidRDefault="00C72EB3" w:rsidP="00C72EB3">
            <w:pPr>
              <w:jc w:val="center"/>
              <w:rPr>
                <w:rFonts w:asciiTheme="minorHAnsi" w:hAnsiTheme="minorHAnsi" w:cstheme="minorHAnsi"/>
              </w:rPr>
            </w:pPr>
            <w:r w:rsidRPr="002C5292">
              <w:rPr>
                <w:rFonts w:asciiTheme="minorHAnsi" w:hAnsiTheme="minorHAnsi" w:cstheme="minorHAnsi"/>
              </w:rPr>
              <w:t>Assigned score</w:t>
            </w:r>
          </w:p>
        </w:tc>
        <w:tc>
          <w:tcPr>
            <w:tcW w:w="1080" w:type="dxa"/>
            <w:tcBorders>
              <w:bottom w:val="single" w:sz="12" w:space="0" w:color="auto"/>
            </w:tcBorders>
          </w:tcPr>
          <w:p w14:paraId="1CABE758" w14:textId="77777777" w:rsidR="00C72EB3" w:rsidRPr="002C5292" w:rsidRDefault="00C72EB3" w:rsidP="00C72EB3">
            <w:pPr>
              <w:jc w:val="center"/>
              <w:rPr>
                <w:rFonts w:asciiTheme="minorHAnsi" w:hAnsiTheme="minorHAnsi" w:cstheme="minorHAnsi"/>
              </w:rPr>
            </w:pPr>
            <w:r w:rsidRPr="002C5292">
              <w:rPr>
                <w:rFonts w:asciiTheme="minorHAnsi" w:hAnsiTheme="minorHAnsi" w:cstheme="minorHAnsi"/>
              </w:rPr>
              <w:t>Weighted score</w:t>
            </w:r>
          </w:p>
        </w:tc>
      </w:tr>
      <w:tr w:rsidR="00C72EB3" w:rsidRPr="002C5292" w14:paraId="6A2704F9" w14:textId="77777777" w:rsidTr="00C72EB3">
        <w:tc>
          <w:tcPr>
            <w:tcW w:w="9000" w:type="dxa"/>
            <w:gridSpan w:val="7"/>
            <w:tcBorders>
              <w:top w:val="single" w:sz="12" w:space="0" w:color="auto"/>
            </w:tcBorders>
          </w:tcPr>
          <w:p w14:paraId="152FE9BF" w14:textId="77777777" w:rsidR="00C72EB3" w:rsidRPr="002C5292" w:rsidRDefault="00C72EB3" w:rsidP="00C72EB3">
            <w:pPr>
              <w:rPr>
                <w:rFonts w:asciiTheme="minorHAnsi" w:hAnsiTheme="minorHAnsi" w:cstheme="minorHAnsi"/>
                <w:i/>
                <w:sz w:val="22"/>
                <w:szCs w:val="22"/>
              </w:rPr>
            </w:pPr>
            <w:r w:rsidRPr="002C5292">
              <w:rPr>
                <w:rFonts w:asciiTheme="minorHAnsi" w:hAnsiTheme="minorHAnsi" w:cstheme="minorHAnsi"/>
                <w:i/>
                <w:sz w:val="22"/>
                <w:szCs w:val="22"/>
              </w:rPr>
              <w:t>Benefit criteria</w:t>
            </w:r>
          </w:p>
        </w:tc>
      </w:tr>
      <w:tr w:rsidR="00E11EF7" w:rsidRPr="002C5292" w14:paraId="28053509" w14:textId="77777777" w:rsidTr="00C72EB3">
        <w:tc>
          <w:tcPr>
            <w:tcW w:w="1800" w:type="dxa"/>
          </w:tcPr>
          <w:p w14:paraId="75F6B452" w14:textId="77777777" w:rsidR="00E11EF7" w:rsidRPr="002C5292" w:rsidRDefault="00E11EF7" w:rsidP="00E11EF7">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Effective use of government resources</w:t>
            </w:r>
          </w:p>
        </w:tc>
        <w:tc>
          <w:tcPr>
            <w:tcW w:w="1440" w:type="dxa"/>
            <w:vAlign w:val="center"/>
          </w:tcPr>
          <w:p w14:paraId="1470B543"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 xml:space="preserve">¼ </w:t>
            </w:r>
          </w:p>
        </w:tc>
        <w:tc>
          <w:tcPr>
            <w:tcW w:w="1440" w:type="dxa"/>
            <w:vAlign w:val="center"/>
          </w:tcPr>
          <w:p w14:paraId="42E68E67"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vAlign w:val="center"/>
          </w:tcPr>
          <w:p w14:paraId="21F1CEB3"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+10</w:t>
            </w:r>
          </w:p>
        </w:tc>
        <w:tc>
          <w:tcPr>
            <w:tcW w:w="1080" w:type="dxa"/>
            <w:vAlign w:val="center"/>
          </w:tcPr>
          <w:p w14:paraId="5493753A"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 xml:space="preserve">+2½  </w:t>
            </w:r>
          </w:p>
        </w:tc>
        <w:tc>
          <w:tcPr>
            <w:tcW w:w="1080" w:type="dxa"/>
            <w:vAlign w:val="center"/>
          </w:tcPr>
          <w:p w14:paraId="380527DC" w14:textId="2EC505D8"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+9</w:t>
            </w:r>
          </w:p>
        </w:tc>
        <w:tc>
          <w:tcPr>
            <w:tcW w:w="1080" w:type="dxa"/>
            <w:vAlign w:val="center"/>
          </w:tcPr>
          <w:p w14:paraId="38D6EB14" w14:textId="4AA0A8C0"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+2</w:t>
            </w:r>
            <w:r w:rsidR="004568D9" w:rsidRPr="002C5292">
              <w:rPr>
                <w:rFonts w:asciiTheme="minorHAnsi" w:hAnsiTheme="minorHAnsi" w:cstheme="minorHAnsi"/>
                <w:sz w:val="22"/>
                <w:szCs w:val="22"/>
              </w:rPr>
              <w:t>¼</w:t>
            </w:r>
          </w:p>
        </w:tc>
      </w:tr>
      <w:tr w:rsidR="00E11EF7" w:rsidRPr="002C5292" w14:paraId="4E727195" w14:textId="77777777" w:rsidTr="00C72EB3">
        <w:tc>
          <w:tcPr>
            <w:tcW w:w="1800" w:type="dxa"/>
            <w:tcBorders>
              <w:bottom w:val="single" w:sz="12" w:space="0" w:color="auto"/>
            </w:tcBorders>
          </w:tcPr>
          <w:p w14:paraId="6AD05AC8" w14:textId="77777777" w:rsidR="00E11EF7" w:rsidRPr="002C5292" w:rsidRDefault="00E11EF7" w:rsidP="00E11EF7">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 xml:space="preserve">Minimise unnecessary delays in making or amending legislative instruments </w:t>
            </w:r>
          </w:p>
        </w:tc>
        <w:tc>
          <w:tcPr>
            <w:tcW w:w="1440" w:type="dxa"/>
            <w:tcBorders>
              <w:bottom w:val="single" w:sz="12" w:space="0" w:color="auto"/>
            </w:tcBorders>
            <w:vAlign w:val="center"/>
          </w:tcPr>
          <w:p w14:paraId="5637938E"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¼</w:t>
            </w:r>
          </w:p>
        </w:tc>
        <w:tc>
          <w:tcPr>
            <w:tcW w:w="1440" w:type="dxa"/>
            <w:tcBorders>
              <w:bottom w:val="single" w:sz="12" w:space="0" w:color="auto"/>
            </w:tcBorders>
            <w:vAlign w:val="center"/>
          </w:tcPr>
          <w:p w14:paraId="2D2493D1"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tcBorders>
              <w:bottom w:val="single" w:sz="12" w:space="0" w:color="auto"/>
            </w:tcBorders>
            <w:vAlign w:val="center"/>
          </w:tcPr>
          <w:p w14:paraId="6F477B9C"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+10</w:t>
            </w:r>
          </w:p>
        </w:tc>
        <w:tc>
          <w:tcPr>
            <w:tcW w:w="1080" w:type="dxa"/>
            <w:tcBorders>
              <w:bottom w:val="single" w:sz="12" w:space="0" w:color="auto"/>
            </w:tcBorders>
            <w:vAlign w:val="center"/>
          </w:tcPr>
          <w:p w14:paraId="245E02D7"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 xml:space="preserve">+2½  </w:t>
            </w:r>
          </w:p>
        </w:tc>
        <w:tc>
          <w:tcPr>
            <w:tcW w:w="1080" w:type="dxa"/>
            <w:tcBorders>
              <w:bottom w:val="single" w:sz="12" w:space="0" w:color="auto"/>
            </w:tcBorders>
            <w:vAlign w:val="center"/>
          </w:tcPr>
          <w:p w14:paraId="459FACA0" w14:textId="17CB2564"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+7</w:t>
            </w:r>
          </w:p>
        </w:tc>
        <w:tc>
          <w:tcPr>
            <w:tcW w:w="1080" w:type="dxa"/>
            <w:tcBorders>
              <w:bottom w:val="single" w:sz="12" w:space="0" w:color="auto"/>
            </w:tcBorders>
            <w:vAlign w:val="center"/>
          </w:tcPr>
          <w:p w14:paraId="19AE4AA6" w14:textId="05FA55F1"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+1</w:t>
            </w:r>
            <w:r w:rsidR="004568D9" w:rsidRPr="002C5292">
              <w:rPr>
                <w:rFonts w:asciiTheme="minorHAnsi" w:hAnsiTheme="minorHAnsi" w:cstheme="minorHAnsi"/>
                <w:sz w:val="22"/>
                <w:szCs w:val="22"/>
              </w:rPr>
              <w:t>¾</w:t>
            </w:r>
            <w:r w:rsidRPr="002C5292">
              <w:rPr>
                <w:rFonts w:asciiTheme="minorHAnsi" w:hAnsiTheme="minorHAnsi" w:cstheme="minorHAnsi"/>
                <w:sz w:val="22"/>
                <w:szCs w:val="22"/>
              </w:rPr>
              <w:t xml:space="preserve">  </w:t>
            </w:r>
          </w:p>
        </w:tc>
      </w:tr>
      <w:tr w:rsidR="00E11EF7" w:rsidRPr="002C5292" w14:paraId="2D9D5287" w14:textId="77777777" w:rsidTr="00C72EB3">
        <w:tc>
          <w:tcPr>
            <w:tcW w:w="1800" w:type="dxa"/>
            <w:tcBorders>
              <w:top w:val="single" w:sz="12" w:space="0" w:color="auto"/>
              <w:bottom w:val="single" w:sz="12" w:space="0" w:color="auto"/>
            </w:tcBorders>
          </w:tcPr>
          <w:p w14:paraId="177C5293" w14:textId="77777777" w:rsidR="00E11EF7" w:rsidRPr="002C5292" w:rsidRDefault="00E11EF7" w:rsidP="00E11EF7">
            <w:pPr>
              <w:snapToGrid w:val="0"/>
              <w:rPr>
                <w:rFonts w:asciiTheme="minorHAnsi" w:hAnsiTheme="minorHAnsi" w:cstheme="minorHAnsi"/>
                <w:b/>
              </w:rPr>
            </w:pPr>
            <w:r w:rsidRPr="002C5292">
              <w:rPr>
                <w:rFonts w:asciiTheme="minorHAnsi" w:hAnsiTheme="minorHAnsi" w:cstheme="minorHAnsi"/>
                <w:b/>
                <w:i/>
                <w:sz w:val="22"/>
                <w:szCs w:val="22"/>
              </w:rPr>
              <w:t>Benefit criteria</w:t>
            </w:r>
          </w:p>
        </w:tc>
        <w:tc>
          <w:tcPr>
            <w:tcW w:w="1440" w:type="dxa"/>
            <w:tcBorders>
              <w:top w:val="single" w:sz="12" w:space="0" w:color="auto"/>
              <w:bottom w:val="single" w:sz="12" w:space="0" w:color="auto"/>
            </w:tcBorders>
            <w:vAlign w:val="center"/>
          </w:tcPr>
          <w:p w14:paraId="17788508" w14:textId="77777777" w:rsidR="00E11EF7" w:rsidRPr="002C5292" w:rsidRDefault="00E11EF7" w:rsidP="00E11EF7">
            <w:pPr>
              <w:jc w:val="center"/>
              <w:rPr>
                <w:rFonts w:asciiTheme="minorHAnsi" w:hAnsiTheme="minorHAnsi" w:cstheme="minorHAnsi"/>
                <w:b/>
                <w:sz w:val="22"/>
                <w:szCs w:val="22"/>
                <w:vertAlign w:val="superscript"/>
              </w:rPr>
            </w:pPr>
            <w:r w:rsidRPr="002C5292">
              <w:rPr>
                <w:rFonts w:asciiTheme="minorHAnsi" w:hAnsiTheme="minorHAnsi" w:cstheme="minorHAnsi"/>
                <w:b/>
                <w:sz w:val="22"/>
                <w:szCs w:val="22"/>
              </w:rPr>
              <w:t xml:space="preserve">½ </w:t>
            </w:r>
          </w:p>
        </w:tc>
        <w:tc>
          <w:tcPr>
            <w:tcW w:w="1440" w:type="dxa"/>
            <w:tcBorders>
              <w:top w:val="single" w:sz="12" w:space="0" w:color="auto"/>
              <w:bottom w:val="single" w:sz="12" w:space="0" w:color="auto"/>
            </w:tcBorders>
            <w:vAlign w:val="center"/>
          </w:tcPr>
          <w:p w14:paraId="05943D28"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single" w:sz="12" w:space="0" w:color="auto"/>
              <w:bottom w:val="single" w:sz="12" w:space="0" w:color="auto"/>
            </w:tcBorders>
            <w:vAlign w:val="center"/>
          </w:tcPr>
          <w:p w14:paraId="22FAD251" w14:textId="77777777" w:rsidR="00E11EF7" w:rsidRPr="002C5292" w:rsidRDefault="00E11EF7" w:rsidP="00E11EF7">
            <w:pPr>
              <w:jc w:val="center"/>
              <w:rPr>
                <w:rFonts w:asciiTheme="minorHAnsi" w:hAnsiTheme="minorHAnsi" w:cstheme="minorHAnsi"/>
                <w:b/>
                <w:sz w:val="22"/>
                <w:szCs w:val="22"/>
              </w:rPr>
            </w:pPr>
          </w:p>
        </w:tc>
        <w:tc>
          <w:tcPr>
            <w:tcW w:w="1080" w:type="dxa"/>
            <w:tcBorders>
              <w:top w:val="single" w:sz="12" w:space="0" w:color="auto"/>
              <w:bottom w:val="single" w:sz="12" w:space="0" w:color="auto"/>
            </w:tcBorders>
            <w:vAlign w:val="center"/>
          </w:tcPr>
          <w:p w14:paraId="0B633C67"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 xml:space="preserve">+5 </w:t>
            </w:r>
          </w:p>
        </w:tc>
        <w:tc>
          <w:tcPr>
            <w:tcW w:w="1080" w:type="dxa"/>
            <w:tcBorders>
              <w:top w:val="single" w:sz="12" w:space="0" w:color="auto"/>
              <w:bottom w:val="single" w:sz="12" w:space="0" w:color="auto"/>
            </w:tcBorders>
            <w:vAlign w:val="center"/>
          </w:tcPr>
          <w:p w14:paraId="79110020" w14:textId="2155E775" w:rsidR="00E11EF7" w:rsidRPr="002C5292" w:rsidRDefault="00E11EF7" w:rsidP="00E11EF7">
            <w:pPr>
              <w:jc w:val="center"/>
              <w:rPr>
                <w:rFonts w:asciiTheme="minorHAnsi" w:hAnsiTheme="minorHAnsi" w:cstheme="minorHAnsi"/>
                <w:b/>
                <w:sz w:val="22"/>
                <w:szCs w:val="22"/>
              </w:rPr>
            </w:pPr>
          </w:p>
        </w:tc>
        <w:tc>
          <w:tcPr>
            <w:tcW w:w="1080" w:type="dxa"/>
            <w:tcBorders>
              <w:top w:val="single" w:sz="12" w:space="0" w:color="auto"/>
              <w:bottom w:val="single" w:sz="12" w:space="0" w:color="auto"/>
            </w:tcBorders>
            <w:vAlign w:val="center"/>
          </w:tcPr>
          <w:p w14:paraId="1C3EBB1F" w14:textId="4DDB97E3"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w:t>
            </w:r>
            <w:r w:rsidR="00A165E8" w:rsidRPr="002C5292">
              <w:rPr>
                <w:rFonts w:asciiTheme="minorHAnsi" w:hAnsiTheme="minorHAnsi" w:cstheme="minorHAnsi"/>
                <w:b/>
                <w:sz w:val="22"/>
                <w:szCs w:val="22"/>
              </w:rPr>
              <w:t>4</w:t>
            </w:r>
            <w:r w:rsidRPr="002C5292">
              <w:rPr>
                <w:rFonts w:asciiTheme="minorHAnsi" w:hAnsiTheme="minorHAnsi" w:cstheme="minorHAnsi"/>
                <w:b/>
                <w:sz w:val="22"/>
                <w:szCs w:val="22"/>
              </w:rPr>
              <w:t xml:space="preserve"> </w:t>
            </w:r>
          </w:p>
        </w:tc>
      </w:tr>
      <w:tr w:rsidR="00C72EB3" w:rsidRPr="002C5292" w14:paraId="02E6F987" w14:textId="77777777" w:rsidTr="00C72EB3">
        <w:tc>
          <w:tcPr>
            <w:tcW w:w="9000" w:type="dxa"/>
            <w:gridSpan w:val="7"/>
            <w:tcBorders>
              <w:top w:val="single" w:sz="12" w:space="0" w:color="auto"/>
            </w:tcBorders>
          </w:tcPr>
          <w:p w14:paraId="0773DCB6" w14:textId="77777777" w:rsidR="00C72EB3" w:rsidRPr="002C5292" w:rsidRDefault="00C72EB3" w:rsidP="00C72EB3">
            <w:pPr>
              <w:rPr>
                <w:rFonts w:asciiTheme="minorHAnsi" w:hAnsiTheme="minorHAnsi" w:cstheme="minorHAnsi"/>
                <w:sz w:val="22"/>
                <w:szCs w:val="22"/>
              </w:rPr>
            </w:pPr>
            <w:r w:rsidRPr="002C5292">
              <w:rPr>
                <w:rFonts w:asciiTheme="minorHAnsi" w:hAnsiTheme="minorHAnsi" w:cstheme="minorHAnsi"/>
                <w:i/>
                <w:sz w:val="22"/>
                <w:szCs w:val="22"/>
              </w:rPr>
              <w:t>Cost criteria</w:t>
            </w:r>
          </w:p>
        </w:tc>
      </w:tr>
      <w:tr w:rsidR="00E11EF7" w:rsidRPr="002C5292" w14:paraId="769B42E2" w14:textId="77777777" w:rsidTr="00C72EB3">
        <w:tc>
          <w:tcPr>
            <w:tcW w:w="1800" w:type="dxa"/>
            <w:tcBorders>
              <w:bottom w:val="single" w:sz="12" w:space="0" w:color="auto"/>
            </w:tcBorders>
          </w:tcPr>
          <w:p w14:paraId="71FF677D" w14:textId="77777777" w:rsidR="00E11EF7" w:rsidRPr="002C5292" w:rsidRDefault="00E11EF7" w:rsidP="00E11EF7">
            <w:pPr>
              <w:numPr>
                <w:ilvl w:val="0"/>
                <w:numId w:val="40"/>
              </w:numPr>
              <w:tabs>
                <w:tab w:val="num" w:pos="252"/>
              </w:tabs>
              <w:snapToGrid w:val="0"/>
              <w:ind w:left="252" w:hanging="252"/>
              <w:rPr>
                <w:rFonts w:asciiTheme="minorHAnsi" w:hAnsiTheme="minorHAnsi" w:cstheme="minorHAnsi"/>
              </w:rPr>
            </w:pPr>
            <w:r w:rsidRPr="002C5292">
              <w:rPr>
                <w:rFonts w:asciiTheme="minorHAnsi" w:hAnsiTheme="minorHAnsi" w:cstheme="minorHAnsi"/>
              </w:rPr>
              <w:t>Ensure an appropriate level of parliamentary and public scrutiny when making legislative instruments.</w:t>
            </w:r>
          </w:p>
        </w:tc>
        <w:tc>
          <w:tcPr>
            <w:tcW w:w="1440" w:type="dxa"/>
            <w:tcBorders>
              <w:bottom w:val="single" w:sz="12" w:space="0" w:color="auto"/>
            </w:tcBorders>
            <w:vAlign w:val="center"/>
          </w:tcPr>
          <w:p w14:paraId="6E321022"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½</w:t>
            </w:r>
          </w:p>
        </w:tc>
        <w:tc>
          <w:tcPr>
            <w:tcW w:w="1440" w:type="dxa"/>
            <w:tcBorders>
              <w:bottom w:val="single" w:sz="12" w:space="0" w:color="auto"/>
            </w:tcBorders>
            <w:vAlign w:val="center"/>
          </w:tcPr>
          <w:p w14:paraId="11A1E483"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0</w:t>
            </w:r>
          </w:p>
        </w:tc>
        <w:tc>
          <w:tcPr>
            <w:tcW w:w="1080" w:type="dxa"/>
            <w:tcBorders>
              <w:bottom w:val="single" w:sz="12" w:space="0" w:color="auto"/>
            </w:tcBorders>
            <w:vAlign w:val="center"/>
          </w:tcPr>
          <w:p w14:paraId="0AC82852"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-4</w:t>
            </w:r>
          </w:p>
        </w:tc>
        <w:tc>
          <w:tcPr>
            <w:tcW w:w="1080" w:type="dxa"/>
            <w:tcBorders>
              <w:bottom w:val="single" w:sz="12" w:space="0" w:color="auto"/>
            </w:tcBorders>
            <w:vAlign w:val="center"/>
          </w:tcPr>
          <w:p w14:paraId="3BBF8424" w14:textId="77777777"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-2</w:t>
            </w:r>
          </w:p>
        </w:tc>
        <w:tc>
          <w:tcPr>
            <w:tcW w:w="1080" w:type="dxa"/>
            <w:tcBorders>
              <w:bottom w:val="single" w:sz="12" w:space="0" w:color="auto"/>
            </w:tcBorders>
            <w:vAlign w:val="center"/>
          </w:tcPr>
          <w:p w14:paraId="3D3D3551" w14:textId="7C5EACF0"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-3</w:t>
            </w:r>
          </w:p>
        </w:tc>
        <w:tc>
          <w:tcPr>
            <w:tcW w:w="1080" w:type="dxa"/>
            <w:tcBorders>
              <w:bottom w:val="single" w:sz="12" w:space="0" w:color="auto"/>
            </w:tcBorders>
            <w:vAlign w:val="center"/>
          </w:tcPr>
          <w:p w14:paraId="70332EE7" w14:textId="0AB25CE2" w:rsidR="00E11EF7" w:rsidRPr="002C5292" w:rsidRDefault="00E11EF7" w:rsidP="00E11EF7">
            <w:pPr>
              <w:jc w:val="center"/>
              <w:rPr>
                <w:rFonts w:asciiTheme="minorHAnsi" w:hAnsiTheme="minorHAnsi" w:cstheme="minorHAnsi"/>
                <w:sz w:val="22"/>
                <w:szCs w:val="22"/>
              </w:rPr>
            </w:pPr>
            <w:r w:rsidRPr="002C5292">
              <w:rPr>
                <w:rFonts w:asciiTheme="minorHAnsi" w:hAnsiTheme="minorHAnsi" w:cstheme="minorHAnsi"/>
                <w:sz w:val="22"/>
                <w:szCs w:val="22"/>
              </w:rPr>
              <w:t>-</w:t>
            </w:r>
            <w:r w:rsidR="00A165E8" w:rsidRPr="002C5292">
              <w:rPr>
                <w:rFonts w:asciiTheme="minorHAnsi" w:hAnsiTheme="minorHAnsi" w:cstheme="minorHAnsi"/>
                <w:sz w:val="22"/>
                <w:szCs w:val="22"/>
              </w:rPr>
              <w:t>1</w:t>
            </w:r>
            <w:r w:rsidR="004568D9" w:rsidRPr="002C5292">
              <w:rPr>
                <w:rFonts w:asciiTheme="minorHAnsi" w:hAnsiTheme="minorHAnsi" w:cstheme="minorHAnsi"/>
                <w:sz w:val="22"/>
                <w:szCs w:val="22"/>
              </w:rPr>
              <w:t>½</w:t>
            </w:r>
          </w:p>
        </w:tc>
      </w:tr>
      <w:tr w:rsidR="00E11EF7" w:rsidRPr="002C5292" w14:paraId="53B69F47" w14:textId="77777777" w:rsidTr="00C72EB3">
        <w:tc>
          <w:tcPr>
            <w:tcW w:w="1800" w:type="dxa"/>
            <w:tcBorders>
              <w:top w:val="single" w:sz="12" w:space="0" w:color="auto"/>
              <w:bottom w:val="double" w:sz="12" w:space="0" w:color="auto"/>
            </w:tcBorders>
          </w:tcPr>
          <w:p w14:paraId="3D61D8C1" w14:textId="77777777" w:rsidR="00E11EF7" w:rsidRPr="002C5292" w:rsidRDefault="00E11EF7" w:rsidP="00E11EF7">
            <w:pPr>
              <w:rPr>
                <w:rFonts w:asciiTheme="minorHAnsi" w:hAnsiTheme="minorHAnsi" w:cstheme="minorHAnsi"/>
                <w:b/>
              </w:rPr>
            </w:pPr>
            <w:r w:rsidRPr="002C5292">
              <w:rPr>
                <w:rFonts w:asciiTheme="minorHAnsi" w:hAnsiTheme="minorHAnsi" w:cstheme="minorHAnsi"/>
                <w:b/>
                <w:i/>
                <w:sz w:val="22"/>
                <w:szCs w:val="22"/>
              </w:rPr>
              <w:t>Cost criteria</w:t>
            </w:r>
          </w:p>
        </w:tc>
        <w:tc>
          <w:tcPr>
            <w:tcW w:w="1440" w:type="dxa"/>
            <w:tcBorders>
              <w:top w:val="single" w:sz="12" w:space="0" w:color="auto"/>
              <w:bottom w:val="double" w:sz="12" w:space="0" w:color="auto"/>
            </w:tcBorders>
            <w:vAlign w:val="center"/>
          </w:tcPr>
          <w:p w14:paraId="6DC5394E"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½</w:t>
            </w:r>
          </w:p>
        </w:tc>
        <w:tc>
          <w:tcPr>
            <w:tcW w:w="1440" w:type="dxa"/>
            <w:tcBorders>
              <w:top w:val="single" w:sz="12" w:space="0" w:color="auto"/>
              <w:bottom w:val="double" w:sz="12" w:space="0" w:color="auto"/>
            </w:tcBorders>
            <w:vAlign w:val="center"/>
          </w:tcPr>
          <w:p w14:paraId="42345355"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single" w:sz="12" w:space="0" w:color="auto"/>
              <w:bottom w:val="double" w:sz="12" w:space="0" w:color="auto"/>
            </w:tcBorders>
            <w:vAlign w:val="center"/>
          </w:tcPr>
          <w:p w14:paraId="6C6DB03A"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-4</w:t>
            </w:r>
          </w:p>
        </w:tc>
        <w:tc>
          <w:tcPr>
            <w:tcW w:w="1080" w:type="dxa"/>
            <w:tcBorders>
              <w:top w:val="single" w:sz="12" w:space="0" w:color="auto"/>
              <w:bottom w:val="double" w:sz="12" w:space="0" w:color="auto"/>
            </w:tcBorders>
            <w:vAlign w:val="center"/>
          </w:tcPr>
          <w:p w14:paraId="470EA4CB"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-2</w:t>
            </w:r>
          </w:p>
        </w:tc>
        <w:tc>
          <w:tcPr>
            <w:tcW w:w="1080" w:type="dxa"/>
            <w:tcBorders>
              <w:top w:val="single" w:sz="12" w:space="0" w:color="auto"/>
              <w:bottom w:val="double" w:sz="12" w:space="0" w:color="auto"/>
            </w:tcBorders>
            <w:vAlign w:val="center"/>
          </w:tcPr>
          <w:p w14:paraId="17D4E62D" w14:textId="07E8F88B"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-2</w:t>
            </w:r>
          </w:p>
        </w:tc>
        <w:tc>
          <w:tcPr>
            <w:tcW w:w="1080" w:type="dxa"/>
            <w:tcBorders>
              <w:top w:val="single" w:sz="12" w:space="0" w:color="auto"/>
              <w:bottom w:val="double" w:sz="12" w:space="0" w:color="auto"/>
            </w:tcBorders>
            <w:vAlign w:val="center"/>
          </w:tcPr>
          <w:p w14:paraId="5D8F0B70" w14:textId="0F939363"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-1</w:t>
            </w:r>
            <w:r w:rsidRPr="002C5292">
              <w:rPr>
                <w:rFonts w:asciiTheme="minorHAnsi" w:hAnsiTheme="minorHAnsi" w:cstheme="minorHAnsi"/>
                <w:sz w:val="22"/>
                <w:szCs w:val="22"/>
              </w:rPr>
              <w:t>½</w:t>
            </w:r>
          </w:p>
        </w:tc>
      </w:tr>
      <w:tr w:rsidR="00E11EF7" w:rsidRPr="002C5292" w14:paraId="523C5464" w14:textId="77777777" w:rsidTr="00C72EB3">
        <w:tc>
          <w:tcPr>
            <w:tcW w:w="1800" w:type="dxa"/>
            <w:tcBorders>
              <w:top w:val="double" w:sz="12" w:space="0" w:color="auto"/>
              <w:bottom w:val="double" w:sz="12" w:space="0" w:color="auto"/>
            </w:tcBorders>
          </w:tcPr>
          <w:p w14:paraId="20094D99" w14:textId="77777777" w:rsidR="00E11EF7" w:rsidRPr="002C5292" w:rsidRDefault="00E11EF7" w:rsidP="00E11EF7">
            <w:pPr>
              <w:rPr>
                <w:rFonts w:asciiTheme="minorHAnsi" w:hAnsiTheme="minorHAnsi" w:cstheme="minorHAnsi"/>
                <w:b/>
              </w:rPr>
            </w:pPr>
            <w:r w:rsidRPr="002C5292">
              <w:rPr>
                <w:rFonts w:asciiTheme="minorHAnsi" w:hAnsiTheme="minorHAnsi" w:cstheme="minorHAnsi"/>
                <w:b/>
              </w:rPr>
              <w:t>Total</w:t>
            </w:r>
          </w:p>
        </w:tc>
        <w:tc>
          <w:tcPr>
            <w:tcW w:w="1440" w:type="dxa"/>
            <w:tcBorders>
              <w:top w:val="double" w:sz="12" w:space="0" w:color="auto"/>
              <w:bottom w:val="double" w:sz="12" w:space="0" w:color="auto"/>
            </w:tcBorders>
            <w:vAlign w:val="center"/>
          </w:tcPr>
          <w:p w14:paraId="1FF2A227"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1</w:t>
            </w:r>
          </w:p>
        </w:tc>
        <w:tc>
          <w:tcPr>
            <w:tcW w:w="1440" w:type="dxa"/>
            <w:tcBorders>
              <w:top w:val="double" w:sz="12" w:space="0" w:color="auto"/>
              <w:bottom w:val="double" w:sz="12" w:space="0" w:color="auto"/>
            </w:tcBorders>
            <w:vAlign w:val="center"/>
          </w:tcPr>
          <w:p w14:paraId="3A437528"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0</w:t>
            </w:r>
          </w:p>
        </w:tc>
        <w:tc>
          <w:tcPr>
            <w:tcW w:w="1080" w:type="dxa"/>
            <w:tcBorders>
              <w:top w:val="double" w:sz="12" w:space="0" w:color="auto"/>
              <w:bottom w:val="double" w:sz="12" w:space="0" w:color="auto"/>
            </w:tcBorders>
            <w:vAlign w:val="center"/>
          </w:tcPr>
          <w:p w14:paraId="48F241D8" w14:textId="77777777" w:rsidR="00E11EF7" w:rsidRPr="002C5292" w:rsidRDefault="00E11EF7" w:rsidP="00E11EF7">
            <w:pPr>
              <w:jc w:val="center"/>
              <w:rPr>
                <w:rFonts w:asciiTheme="minorHAnsi" w:hAnsiTheme="minorHAnsi" w:cstheme="minorHAnsi"/>
                <w:b/>
                <w:sz w:val="22"/>
                <w:szCs w:val="22"/>
              </w:rPr>
            </w:pPr>
          </w:p>
        </w:tc>
        <w:tc>
          <w:tcPr>
            <w:tcW w:w="1080" w:type="dxa"/>
            <w:tcBorders>
              <w:top w:val="double" w:sz="12" w:space="0" w:color="auto"/>
              <w:bottom w:val="double" w:sz="12" w:space="0" w:color="auto"/>
            </w:tcBorders>
            <w:vAlign w:val="center"/>
          </w:tcPr>
          <w:p w14:paraId="10D4CBCC" w14:textId="77777777"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+3</w:t>
            </w:r>
          </w:p>
        </w:tc>
        <w:tc>
          <w:tcPr>
            <w:tcW w:w="1080" w:type="dxa"/>
            <w:tcBorders>
              <w:top w:val="double" w:sz="12" w:space="0" w:color="auto"/>
              <w:bottom w:val="double" w:sz="12" w:space="0" w:color="auto"/>
            </w:tcBorders>
          </w:tcPr>
          <w:p w14:paraId="4E9AF9CB" w14:textId="77777777" w:rsidR="00E11EF7" w:rsidRPr="002C5292" w:rsidRDefault="00E11EF7" w:rsidP="00E11EF7">
            <w:pPr>
              <w:jc w:val="center"/>
              <w:rPr>
                <w:rFonts w:asciiTheme="minorHAnsi" w:hAnsiTheme="minorHAnsi" w:cstheme="minorHAnsi"/>
                <w:b/>
                <w:sz w:val="22"/>
                <w:szCs w:val="22"/>
              </w:rPr>
            </w:pPr>
          </w:p>
        </w:tc>
        <w:tc>
          <w:tcPr>
            <w:tcW w:w="1080" w:type="dxa"/>
            <w:tcBorders>
              <w:top w:val="double" w:sz="12" w:space="0" w:color="auto"/>
              <w:bottom w:val="double" w:sz="12" w:space="0" w:color="auto"/>
            </w:tcBorders>
            <w:vAlign w:val="center"/>
          </w:tcPr>
          <w:p w14:paraId="2A6DD2CA" w14:textId="55304166" w:rsidR="00E11EF7" w:rsidRPr="002C5292" w:rsidRDefault="00E11EF7" w:rsidP="00E11EF7">
            <w:pPr>
              <w:jc w:val="center"/>
              <w:rPr>
                <w:rFonts w:asciiTheme="minorHAnsi" w:hAnsiTheme="minorHAnsi" w:cstheme="minorHAnsi"/>
                <w:b/>
                <w:sz w:val="22"/>
                <w:szCs w:val="22"/>
              </w:rPr>
            </w:pPr>
            <w:r w:rsidRPr="002C5292">
              <w:rPr>
                <w:rFonts w:asciiTheme="minorHAnsi" w:hAnsiTheme="minorHAnsi" w:cstheme="minorHAnsi"/>
                <w:b/>
                <w:sz w:val="22"/>
                <w:szCs w:val="22"/>
              </w:rPr>
              <w:t xml:space="preserve">+2½  </w:t>
            </w:r>
          </w:p>
        </w:tc>
      </w:tr>
    </w:tbl>
    <w:p w14:paraId="5F024206" w14:textId="77777777" w:rsidR="00C72EB3" w:rsidRPr="002C5292" w:rsidRDefault="00C72EB3" w:rsidP="00C72EB3">
      <w:pPr>
        <w:pStyle w:val="Heading3"/>
        <w:rPr>
          <w:b w:val="0"/>
          <w:bCs w:val="0"/>
          <w:sz w:val="22"/>
          <w:szCs w:val="22"/>
        </w:rPr>
      </w:pPr>
      <w:bookmarkStart w:id="72" w:name="_Toc70082378"/>
      <w:r w:rsidRPr="002C5292">
        <w:rPr>
          <w:sz w:val="22"/>
          <w:szCs w:val="22"/>
        </w:rPr>
        <w:t>Effective use of limited government resources</w:t>
      </w:r>
      <w:bookmarkEnd w:id="72"/>
    </w:p>
    <w:p w14:paraId="74ABB96B" w14:textId="7D1E91E2"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In terms of improving clarity, Option 1 is the best to ensure that legislative instruments are clearly defined as administrative, legislative or </w:t>
      </w:r>
      <w:r w:rsidR="00DF16F9" w:rsidRPr="002C5292">
        <w:rPr>
          <w:rFonts w:asciiTheme="minorHAnsi" w:hAnsiTheme="minorHAnsi" w:cstheme="minorHAnsi"/>
          <w:sz w:val="22"/>
          <w:szCs w:val="22"/>
        </w:rPr>
        <w:t xml:space="preserve">exempt </w:t>
      </w:r>
      <w:r w:rsidRPr="002C5292">
        <w:rPr>
          <w:rFonts w:asciiTheme="minorHAnsi" w:hAnsiTheme="minorHAnsi" w:cstheme="minorHAnsi"/>
          <w:sz w:val="22"/>
          <w:szCs w:val="22"/>
        </w:rPr>
        <w:t>legislative. In terms of the</w:t>
      </w:r>
      <w:r w:rsidR="00D42625" w:rsidRPr="002C5292">
        <w:rPr>
          <w:rFonts w:asciiTheme="minorHAnsi" w:hAnsiTheme="minorHAnsi" w:cstheme="minorHAnsi"/>
          <w:sz w:val="22"/>
          <w:szCs w:val="22"/>
        </w:rPr>
        <w:t xml:space="preserve"> </w:t>
      </w:r>
      <w:r w:rsidR="000B6F2F" w:rsidRPr="002C5292">
        <w:rPr>
          <w:rFonts w:asciiTheme="minorHAnsi" w:hAnsiTheme="minorHAnsi" w:cstheme="minorHAnsi"/>
          <w:sz w:val="22"/>
          <w:szCs w:val="22"/>
        </w:rPr>
        <w:t>56</w:t>
      </w:r>
      <w:r w:rsidRPr="002C5292">
        <w:rPr>
          <w:rFonts w:asciiTheme="minorHAnsi" w:hAnsiTheme="minorHAnsi" w:cstheme="minorHAnsi"/>
          <w:sz w:val="22"/>
          <w:szCs w:val="22"/>
        </w:rPr>
        <w:t xml:space="preserve"> provisions proposed to be </w:t>
      </w:r>
      <w:r w:rsidR="00DF16F9" w:rsidRPr="002C5292">
        <w:rPr>
          <w:rFonts w:asciiTheme="minorHAnsi" w:hAnsiTheme="minorHAnsi" w:cstheme="minorHAnsi"/>
          <w:sz w:val="22"/>
          <w:szCs w:val="22"/>
        </w:rPr>
        <w:t xml:space="preserve">prescribed </w:t>
      </w:r>
      <w:r w:rsidR="00567FE5" w:rsidRPr="002C5292">
        <w:rPr>
          <w:rFonts w:asciiTheme="minorHAnsi" w:hAnsiTheme="minorHAnsi" w:cstheme="minorHAnsi"/>
          <w:sz w:val="22"/>
          <w:szCs w:val="22"/>
        </w:rPr>
        <w:t xml:space="preserve">for clarity as </w:t>
      </w:r>
      <w:r w:rsidRPr="002C5292">
        <w:rPr>
          <w:rFonts w:asciiTheme="minorHAnsi" w:hAnsiTheme="minorHAnsi" w:cstheme="minorHAnsi"/>
          <w:sz w:val="22"/>
          <w:szCs w:val="22"/>
        </w:rPr>
        <w:t>legislative instruments for the purposes of the SLA (under Schedule 2 of the Proposed Regulations), instruments made under these provisions could be eligible for an exemption under section 12F</w:t>
      </w:r>
      <w:r w:rsidR="00D4031F" w:rsidRPr="002C5292">
        <w:rPr>
          <w:rFonts w:asciiTheme="minorHAnsi" w:hAnsiTheme="minorHAnsi" w:cstheme="minorHAnsi"/>
          <w:sz w:val="22"/>
          <w:szCs w:val="22"/>
        </w:rPr>
        <w:t xml:space="preserve"> or 12G</w:t>
      </w:r>
      <w:r w:rsidRPr="002C5292">
        <w:rPr>
          <w:rFonts w:asciiTheme="minorHAnsi" w:hAnsiTheme="minorHAnsi" w:cstheme="minorHAnsi"/>
          <w:sz w:val="22"/>
          <w:szCs w:val="22"/>
        </w:rPr>
        <w:t xml:space="preserve"> of the SLA in particular instances, </w:t>
      </w:r>
      <w:r w:rsidR="00D4031F" w:rsidRPr="002C5292">
        <w:rPr>
          <w:rFonts w:asciiTheme="minorHAnsi" w:hAnsiTheme="minorHAnsi" w:cstheme="minorHAnsi"/>
          <w:sz w:val="22"/>
          <w:szCs w:val="22"/>
        </w:rPr>
        <w:t xml:space="preserve">or if not, </w:t>
      </w:r>
      <w:r w:rsidRPr="002C5292">
        <w:rPr>
          <w:rFonts w:asciiTheme="minorHAnsi" w:hAnsiTheme="minorHAnsi" w:cstheme="minorHAnsi"/>
          <w:sz w:val="22"/>
          <w:szCs w:val="22"/>
        </w:rPr>
        <w:t>subject to the full requirements of the SLA</w:t>
      </w:r>
      <w:r w:rsidR="00B1382A" w:rsidRPr="002C5292">
        <w:rPr>
          <w:rFonts w:asciiTheme="minorHAnsi" w:hAnsiTheme="minorHAnsi" w:cstheme="minorHAnsi"/>
          <w:sz w:val="22"/>
          <w:szCs w:val="22"/>
        </w:rPr>
        <w:t xml:space="preserve"> including preparing a RIS</w:t>
      </w:r>
      <w:r w:rsidRPr="002C5292">
        <w:rPr>
          <w:rFonts w:asciiTheme="minorHAnsi" w:hAnsiTheme="minorHAnsi" w:cstheme="minorHAnsi"/>
          <w:sz w:val="22"/>
          <w:szCs w:val="22"/>
        </w:rPr>
        <w:t>.</w:t>
      </w:r>
      <w:r w:rsidR="00D4031F" w:rsidRPr="002C5292">
        <w:rPr>
          <w:rFonts w:asciiTheme="minorHAnsi" w:hAnsiTheme="minorHAnsi" w:cstheme="minorHAnsi"/>
          <w:sz w:val="22"/>
          <w:szCs w:val="22"/>
        </w:rPr>
        <w:t xml:space="preserve"> This is </w:t>
      </w:r>
      <w:r w:rsidR="009276AF" w:rsidRPr="002C5292">
        <w:rPr>
          <w:rFonts w:asciiTheme="minorHAnsi" w:hAnsiTheme="minorHAnsi" w:cstheme="minorHAnsi"/>
          <w:sz w:val="22"/>
          <w:szCs w:val="22"/>
        </w:rPr>
        <w:t xml:space="preserve">essentially </w:t>
      </w:r>
      <w:r w:rsidR="00D4031F" w:rsidRPr="002C5292">
        <w:rPr>
          <w:rFonts w:asciiTheme="minorHAnsi" w:hAnsiTheme="minorHAnsi" w:cstheme="minorHAnsi"/>
          <w:sz w:val="22"/>
          <w:szCs w:val="22"/>
        </w:rPr>
        <w:t>the same as the base case, except avoids ambiguity for decision makers</w:t>
      </w:r>
      <w:r w:rsidR="009276AF" w:rsidRPr="002C5292">
        <w:rPr>
          <w:rFonts w:asciiTheme="minorHAnsi" w:hAnsiTheme="minorHAnsi" w:cstheme="minorHAnsi"/>
          <w:sz w:val="22"/>
          <w:szCs w:val="22"/>
        </w:rPr>
        <w:t xml:space="preserve"> about whether the instrument is legislative</w:t>
      </w:r>
      <w:r w:rsidR="00D4031F" w:rsidRPr="002C5292">
        <w:rPr>
          <w:rFonts w:asciiTheme="minorHAnsi" w:hAnsiTheme="minorHAnsi" w:cstheme="minorHAnsi"/>
          <w:sz w:val="22"/>
          <w:szCs w:val="22"/>
        </w:rPr>
        <w:t>.</w:t>
      </w:r>
    </w:p>
    <w:p w14:paraId="7AF52485" w14:textId="491F64B9" w:rsidR="00C72EB3" w:rsidRPr="002C5292" w:rsidRDefault="00C72EB3" w:rsidP="00EA335A">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Option 2 is </w:t>
      </w:r>
      <w:r w:rsidR="004C3014" w:rsidRPr="002C5292">
        <w:rPr>
          <w:rFonts w:asciiTheme="minorHAnsi" w:hAnsiTheme="minorHAnsi" w:cstheme="minorHAnsi"/>
          <w:sz w:val="22"/>
          <w:szCs w:val="22"/>
        </w:rPr>
        <w:t>improves clarity more than the base case, but less than Option 1</w:t>
      </w:r>
      <w:r w:rsidRPr="002C5292">
        <w:rPr>
          <w:rFonts w:asciiTheme="minorHAnsi" w:hAnsiTheme="minorHAnsi" w:cstheme="minorHAnsi"/>
          <w:sz w:val="22"/>
          <w:szCs w:val="22"/>
        </w:rPr>
        <w:t xml:space="preserve">. </w:t>
      </w:r>
      <w:r w:rsidR="003402B2" w:rsidRPr="002C5292">
        <w:rPr>
          <w:rFonts w:asciiTheme="minorHAnsi" w:hAnsiTheme="minorHAnsi" w:cstheme="minorHAnsi"/>
          <w:sz w:val="22"/>
          <w:szCs w:val="22"/>
        </w:rPr>
        <w:t xml:space="preserve">Many </w:t>
      </w:r>
      <w:r w:rsidRPr="002C5292">
        <w:rPr>
          <w:rFonts w:asciiTheme="minorHAnsi" w:hAnsiTheme="minorHAnsi" w:cstheme="minorHAnsi"/>
          <w:sz w:val="22"/>
          <w:szCs w:val="22"/>
        </w:rPr>
        <w:t xml:space="preserve">instruments made under the </w:t>
      </w:r>
      <w:r w:rsidR="00D82017" w:rsidRPr="002C5292">
        <w:rPr>
          <w:rFonts w:asciiTheme="minorHAnsi" w:hAnsiTheme="minorHAnsi" w:cstheme="minorHAnsi"/>
          <w:sz w:val="22"/>
          <w:szCs w:val="22"/>
        </w:rPr>
        <w:t xml:space="preserve">87 </w:t>
      </w:r>
      <w:r w:rsidRPr="002C5292">
        <w:rPr>
          <w:rFonts w:asciiTheme="minorHAnsi" w:hAnsiTheme="minorHAnsi" w:cstheme="minorHAnsi"/>
          <w:sz w:val="22"/>
          <w:szCs w:val="22"/>
        </w:rPr>
        <w:t xml:space="preserve">provisions that </w:t>
      </w:r>
      <w:r w:rsidR="004C3014" w:rsidRPr="002C5292">
        <w:rPr>
          <w:rFonts w:asciiTheme="minorHAnsi" w:hAnsiTheme="minorHAnsi" w:cstheme="minorHAnsi"/>
          <w:sz w:val="22"/>
          <w:szCs w:val="22"/>
        </w:rPr>
        <w:t xml:space="preserve">would be </w:t>
      </w:r>
      <w:r w:rsidR="003402B2" w:rsidRPr="002C5292">
        <w:rPr>
          <w:rFonts w:asciiTheme="minorHAnsi" w:hAnsiTheme="minorHAnsi" w:cstheme="minorHAnsi"/>
          <w:sz w:val="22"/>
          <w:szCs w:val="22"/>
        </w:rPr>
        <w:t>automatic</w:t>
      </w:r>
      <w:r w:rsidR="00AB6732" w:rsidRPr="002C5292">
        <w:rPr>
          <w:rFonts w:asciiTheme="minorHAnsi" w:hAnsiTheme="minorHAnsi" w:cstheme="minorHAnsi"/>
          <w:sz w:val="22"/>
          <w:szCs w:val="22"/>
        </w:rPr>
        <w:t>ally</w:t>
      </w:r>
      <w:r w:rsidR="003402B2"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exempt </w:t>
      </w:r>
      <w:r w:rsidR="004C3014" w:rsidRPr="002C5292">
        <w:rPr>
          <w:rFonts w:asciiTheme="minorHAnsi" w:hAnsiTheme="minorHAnsi" w:cstheme="minorHAnsi"/>
          <w:sz w:val="22"/>
          <w:szCs w:val="22"/>
        </w:rPr>
        <w:t xml:space="preserve">under Option 1, but not </w:t>
      </w:r>
      <w:r w:rsidRPr="002C5292">
        <w:rPr>
          <w:rFonts w:asciiTheme="minorHAnsi" w:hAnsiTheme="minorHAnsi" w:cstheme="minorHAnsi"/>
          <w:sz w:val="22"/>
          <w:szCs w:val="22"/>
        </w:rPr>
        <w:t>under Option 2</w:t>
      </w:r>
      <w:r w:rsidRPr="002C5292">
        <w:rPr>
          <w:rFonts w:asciiTheme="minorHAnsi" w:hAnsiTheme="minorHAnsi" w:cstheme="minorHAnsi"/>
          <w:sz w:val="22"/>
          <w:szCs w:val="22"/>
          <w:vertAlign w:val="superscript"/>
        </w:rPr>
        <w:footnoteReference w:id="17"/>
      </w:r>
      <w:r w:rsidRPr="002C5292">
        <w:rPr>
          <w:rFonts w:asciiTheme="minorHAnsi" w:hAnsiTheme="minorHAnsi" w:cstheme="minorHAnsi"/>
          <w:sz w:val="22"/>
          <w:szCs w:val="22"/>
        </w:rPr>
        <w:t xml:space="preserve"> will most likely always be eligible for an exemption under section 12F of the SLA</w:t>
      </w:r>
      <w:r w:rsidR="00AB6732" w:rsidRPr="002C5292">
        <w:rPr>
          <w:rFonts w:asciiTheme="minorHAnsi" w:hAnsiTheme="minorHAnsi" w:cstheme="minorHAnsi"/>
          <w:sz w:val="22"/>
          <w:szCs w:val="22"/>
        </w:rPr>
        <w:t xml:space="preserve"> (or 12G)</w:t>
      </w:r>
      <w:r w:rsidRPr="002C5292">
        <w:rPr>
          <w:rFonts w:asciiTheme="minorHAnsi" w:hAnsiTheme="minorHAnsi" w:cstheme="minorHAnsi"/>
          <w:sz w:val="22"/>
          <w:szCs w:val="22"/>
        </w:rPr>
        <w:t xml:space="preserve">. </w:t>
      </w:r>
      <w:r w:rsidR="00567FE5" w:rsidRPr="002C5292">
        <w:rPr>
          <w:rFonts w:asciiTheme="minorHAnsi" w:hAnsiTheme="minorHAnsi" w:cstheme="minorHAnsi"/>
          <w:sz w:val="22"/>
          <w:szCs w:val="22"/>
        </w:rPr>
        <w:t xml:space="preserve">It is unlikely </w:t>
      </w:r>
      <w:r w:rsidRPr="002C5292">
        <w:rPr>
          <w:rFonts w:asciiTheme="minorHAnsi" w:hAnsiTheme="minorHAnsi" w:cstheme="minorHAnsi"/>
          <w:sz w:val="22"/>
          <w:szCs w:val="22"/>
        </w:rPr>
        <w:t xml:space="preserve">that any of the provisions </w:t>
      </w:r>
      <w:r w:rsidR="004C3014" w:rsidRPr="002C5292">
        <w:rPr>
          <w:rFonts w:asciiTheme="minorHAnsi" w:hAnsiTheme="minorHAnsi" w:cstheme="minorHAnsi"/>
          <w:sz w:val="22"/>
          <w:szCs w:val="22"/>
        </w:rPr>
        <w:t>to make</w:t>
      </w:r>
      <w:r w:rsidRPr="002C5292">
        <w:rPr>
          <w:rFonts w:asciiTheme="minorHAnsi" w:hAnsiTheme="minorHAnsi" w:cstheme="minorHAnsi"/>
          <w:sz w:val="22"/>
          <w:szCs w:val="22"/>
        </w:rPr>
        <w:t xml:space="preserve"> legislative instruments identified for inclusion in Schedule 3 of the Proposed Regulations on the RIS equivalency (under the legislative instrument’s authorising Act) and national exemption criteria would need to undergo a RIS under the SLA. Therefore, Option 1 saves the administrative time involved in preparing the exemption certificates, arranging tabling and SARC scrutiny and avoids duplication of a similar consultation process for those provisions.</w:t>
      </w:r>
    </w:p>
    <w:p w14:paraId="2986FCD3" w14:textId="2D352523"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Option 1 will also result in the most efficient use of government resources. Option 2 is less efficient at utilising government resources. Focussing resources on such processes means other priority areas of work may be forgone.</w:t>
      </w:r>
    </w:p>
    <w:p w14:paraId="30F35571" w14:textId="5AC76A76" w:rsidR="00530F4C" w:rsidRPr="002C5292" w:rsidRDefault="00530F4C"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Option 1 is expected to save </w:t>
      </w:r>
      <w:r w:rsidR="00EA38CC" w:rsidRPr="002C5292">
        <w:rPr>
          <w:rFonts w:asciiTheme="minorHAnsi" w:hAnsiTheme="minorHAnsi" w:cstheme="minorHAnsi"/>
          <w:sz w:val="22"/>
          <w:szCs w:val="22"/>
        </w:rPr>
        <w:t xml:space="preserve">the </w:t>
      </w:r>
      <w:r w:rsidRPr="002C5292">
        <w:rPr>
          <w:rFonts w:asciiTheme="minorHAnsi" w:hAnsiTheme="minorHAnsi" w:cstheme="minorHAnsi"/>
          <w:sz w:val="22"/>
          <w:szCs w:val="22"/>
        </w:rPr>
        <w:t>Government approximately $</w:t>
      </w:r>
      <w:r w:rsidR="0000486C" w:rsidRPr="002C5292">
        <w:rPr>
          <w:rFonts w:asciiTheme="minorHAnsi" w:hAnsiTheme="minorHAnsi" w:cstheme="minorHAnsi"/>
          <w:sz w:val="22"/>
          <w:szCs w:val="22"/>
        </w:rPr>
        <w:t>79</w:t>
      </w:r>
      <w:r w:rsidR="00A347B0" w:rsidRPr="002C5292">
        <w:rPr>
          <w:rFonts w:asciiTheme="minorHAnsi" w:hAnsiTheme="minorHAnsi" w:cstheme="minorHAnsi"/>
          <w:sz w:val="22"/>
          <w:szCs w:val="22"/>
        </w:rPr>
        <w:t>7</w:t>
      </w:r>
      <w:r w:rsidR="0000486C" w:rsidRPr="002C5292">
        <w:rPr>
          <w:rFonts w:asciiTheme="minorHAnsi" w:hAnsiTheme="minorHAnsi" w:cstheme="minorHAnsi"/>
          <w:sz w:val="22"/>
          <w:szCs w:val="22"/>
        </w:rPr>
        <w:t>,</w:t>
      </w:r>
      <w:r w:rsidR="00A347B0" w:rsidRPr="002C5292">
        <w:rPr>
          <w:rFonts w:asciiTheme="minorHAnsi" w:hAnsiTheme="minorHAnsi" w:cstheme="minorHAnsi"/>
          <w:sz w:val="22"/>
          <w:szCs w:val="22"/>
        </w:rPr>
        <w:t>000</w:t>
      </w:r>
      <w:r w:rsidRPr="002C5292">
        <w:rPr>
          <w:rFonts w:asciiTheme="minorHAnsi" w:hAnsiTheme="minorHAnsi" w:cstheme="minorHAnsi"/>
          <w:sz w:val="22"/>
          <w:szCs w:val="22"/>
        </w:rPr>
        <w:t xml:space="preserve"> per year in costs of staff time, oncosts and overheads associated with the administrative burden of complying with the SLA requirements. Similarly, Option 2 is expected to save </w:t>
      </w:r>
      <w:r w:rsidR="00EA38CC" w:rsidRPr="002C5292">
        <w:rPr>
          <w:rFonts w:asciiTheme="minorHAnsi" w:hAnsiTheme="minorHAnsi" w:cstheme="minorHAnsi"/>
          <w:sz w:val="22"/>
          <w:szCs w:val="22"/>
        </w:rPr>
        <w:t xml:space="preserve">the </w:t>
      </w:r>
      <w:r w:rsidRPr="002C5292">
        <w:rPr>
          <w:rFonts w:asciiTheme="minorHAnsi" w:hAnsiTheme="minorHAnsi" w:cstheme="minorHAnsi"/>
          <w:sz w:val="22"/>
          <w:szCs w:val="22"/>
        </w:rPr>
        <w:t>Government approximately $</w:t>
      </w:r>
      <w:r w:rsidR="00A347B0" w:rsidRPr="002C5292">
        <w:rPr>
          <w:rFonts w:asciiTheme="minorHAnsi" w:hAnsiTheme="minorHAnsi" w:cstheme="minorHAnsi"/>
          <w:sz w:val="22"/>
          <w:szCs w:val="22"/>
        </w:rPr>
        <w:t>791,000</w:t>
      </w:r>
      <w:r w:rsidRPr="002C5292">
        <w:rPr>
          <w:rFonts w:asciiTheme="minorHAnsi" w:hAnsiTheme="minorHAnsi" w:cstheme="minorHAnsi"/>
          <w:sz w:val="22"/>
          <w:szCs w:val="22"/>
        </w:rPr>
        <w:t xml:space="preserve"> per year in administrative burden. The nature of these expected savings is explained in tables 7A, 7B and 7C below. To estimate these savings, several assumptions and estimates have been made, which are detailed in Table 7D below.</w:t>
      </w:r>
      <w:r w:rsidR="00A347B0" w:rsidRPr="002C5292">
        <w:rPr>
          <w:rFonts w:asciiTheme="minorHAnsi" w:hAnsiTheme="minorHAnsi" w:cstheme="minorHAnsi"/>
          <w:sz w:val="22"/>
          <w:szCs w:val="22"/>
        </w:rPr>
        <w:t xml:space="preserve"> Note that most of these costs would be met through existing budgets and resources in the base case</w:t>
      </w:r>
      <w:r w:rsidR="00EA38CC" w:rsidRPr="002C5292">
        <w:rPr>
          <w:rFonts w:asciiTheme="minorHAnsi" w:hAnsiTheme="minorHAnsi" w:cstheme="minorHAnsi"/>
          <w:sz w:val="22"/>
          <w:szCs w:val="22"/>
        </w:rPr>
        <w:t>. T</w:t>
      </w:r>
      <w:r w:rsidR="00A347B0" w:rsidRPr="002C5292">
        <w:rPr>
          <w:rFonts w:asciiTheme="minorHAnsi" w:hAnsiTheme="minorHAnsi" w:cstheme="minorHAnsi"/>
          <w:sz w:val="22"/>
          <w:szCs w:val="22"/>
        </w:rPr>
        <w:t xml:space="preserve">hese estimates indicate the value of the resources that would be saved </w:t>
      </w:r>
      <w:r w:rsidR="00B733C2" w:rsidRPr="002C5292">
        <w:rPr>
          <w:rFonts w:asciiTheme="minorHAnsi" w:hAnsiTheme="minorHAnsi" w:cstheme="minorHAnsi"/>
          <w:sz w:val="22"/>
          <w:szCs w:val="22"/>
        </w:rPr>
        <w:t>under the options</w:t>
      </w:r>
      <w:r w:rsidR="00A347B0" w:rsidRPr="002C5292">
        <w:rPr>
          <w:rFonts w:asciiTheme="minorHAnsi" w:hAnsiTheme="minorHAnsi" w:cstheme="minorHAnsi"/>
          <w:sz w:val="22"/>
          <w:szCs w:val="22"/>
        </w:rPr>
        <w:t xml:space="preserve"> </w:t>
      </w:r>
      <w:r w:rsidR="00B733C2" w:rsidRPr="002C5292">
        <w:rPr>
          <w:rFonts w:asciiTheme="minorHAnsi" w:hAnsiTheme="minorHAnsi" w:cstheme="minorHAnsi"/>
          <w:sz w:val="22"/>
          <w:szCs w:val="22"/>
        </w:rPr>
        <w:t>and able to be put to other, better uses.</w:t>
      </w:r>
    </w:p>
    <w:p w14:paraId="6ADE71E0" w14:textId="61DBC637" w:rsidR="004879C9" w:rsidRPr="002C5292" w:rsidRDefault="00530F4C"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Since there is significant uncertainty about the assumptions and estimates, resulting in a relatively wide range of potential values, DPC has performed sensitivity analysis illustrating the expected upper and lower bounds of the potential savings, detailed in Table 7E and 7F below. The range of estimated cost savings for Option 1 is about $</w:t>
      </w:r>
      <w:r w:rsidR="00A347B0" w:rsidRPr="002C5292">
        <w:rPr>
          <w:rFonts w:asciiTheme="minorHAnsi" w:hAnsiTheme="minorHAnsi" w:cstheme="minorHAnsi"/>
          <w:sz w:val="22"/>
          <w:szCs w:val="22"/>
        </w:rPr>
        <w:t>522,000</w:t>
      </w:r>
      <w:r w:rsidRPr="002C5292">
        <w:rPr>
          <w:rFonts w:asciiTheme="minorHAnsi" w:hAnsiTheme="minorHAnsi" w:cstheme="minorHAnsi"/>
          <w:sz w:val="22"/>
          <w:szCs w:val="22"/>
        </w:rPr>
        <w:t xml:space="preserve"> to $2,</w:t>
      </w:r>
      <w:r w:rsidR="00A347B0" w:rsidRPr="002C5292">
        <w:rPr>
          <w:rFonts w:asciiTheme="minorHAnsi" w:hAnsiTheme="minorHAnsi" w:cstheme="minorHAnsi"/>
          <w:sz w:val="22"/>
          <w:szCs w:val="22"/>
        </w:rPr>
        <w:t>463</w:t>
      </w:r>
      <w:r w:rsidRPr="002C5292">
        <w:rPr>
          <w:rFonts w:asciiTheme="minorHAnsi" w:hAnsiTheme="minorHAnsi" w:cstheme="minorHAnsi"/>
          <w:sz w:val="22"/>
          <w:szCs w:val="22"/>
        </w:rPr>
        <w:t>,000 per year, while the range of estimated cost savings for Option 2 is about $</w:t>
      </w:r>
      <w:r w:rsidR="00A347B0" w:rsidRPr="002C5292">
        <w:rPr>
          <w:rFonts w:asciiTheme="minorHAnsi" w:hAnsiTheme="minorHAnsi" w:cstheme="minorHAnsi"/>
          <w:color w:val="000000"/>
          <w:sz w:val="22"/>
          <w:szCs w:val="22"/>
          <w:lang w:eastAsia="en-AU"/>
        </w:rPr>
        <w:t>516,000</w:t>
      </w:r>
      <w:r w:rsidRPr="002C5292">
        <w:rPr>
          <w:rFonts w:asciiTheme="minorHAnsi" w:hAnsiTheme="minorHAnsi" w:cstheme="minorHAnsi"/>
          <w:color w:val="000000"/>
          <w:sz w:val="22"/>
          <w:szCs w:val="22"/>
          <w:lang w:eastAsia="en-AU"/>
        </w:rPr>
        <w:t xml:space="preserve"> to </w:t>
      </w:r>
      <w:r w:rsidR="002A2E50" w:rsidRPr="002C5292">
        <w:rPr>
          <w:rFonts w:asciiTheme="minorHAnsi" w:hAnsiTheme="minorHAnsi" w:cstheme="minorHAnsi"/>
          <w:color w:val="000000"/>
          <w:sz w:val="22"/>
          <w:szCs w:val="22"/>
          <w:lang w:eastAsia="en-AU"/>
        </w:rPr>
        <w:t>$2,</w:t>
      </w:r>
      <w:r w:rsidR="00A347B0" w:rsidRPr="002C5292">
        <w:rPr>
          <w:rFonts w:asciiTheme="minorHAnsi" w:hAnsiTheme="minorHAnsi" w:cstheme="minorHAnsi"/>
          <w:color w:val="000000"/>
          <w:sz w:val="22"/>
          <w:szCs w:val="22"/>
          <w:lang w:eastAsia="en-AU"/>
        </w:rPr>
        <w:t>433</w:t>
      </w:r>
      <w:r w:rsidR="002A2E50" w:rsidRPr="002C5292">
        <w:rPr>
          <w:rFonts w:asciiTheme="minorHAnsi" w:hAnsiTheme="minorHAnsi" w:cstheme="minorHAnsi"/>
          <w:color w:val="000000"/>
          <w:sz w:val="22"/>
          <w:szCs w:val="22"/>
          <w:lang w:eastAsia="en-AU"/>
        </w:rPr>
        <w:t>,000 per year. Under all assumptions, Option 1 is expected to have higher savings that Option 2.</w:t>
      </w:r>
    </w:p>
    <w:p w14:paraId="2DC595E0" w14:textId="7DCCB337" w:rsidR="00845D7E"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As Option 1 will achieve</w:t>
      </w:r>
      <w:r w:rsidR="00517E47" w:rsidRPr="002C5292">
        <w:rPr>
          <w:rFonts w:asciiTheme="minorHAnsi" w:hAnsiTheme="minorHAnsi" w:cstheme="minorHAnsi"/>
          <w:sz w:val="22"/>
          <w:szCs w:val="22"/>
        </w:rPr>
        <w:t xml:space="preserve"> the most</w:t>
      </w:r>
      <w:r w:rsidRPr="002C5292">
        <w:rPr>
          <w:rFonts w:asciiTheme="minorHAnsi" w:hAnsiTheme="minorHAnsi" w:cstheme="minorHAnsi"/>
          <w:sz w:val="22"/>
          <w:szCs w:val="22"/>
        </w:rPr>
        <w:t xml:space="preserve"> effective and efficient use of government resources, it has been scored +10 out of 10, while Option 2 has received a score of +</w:t>
      </w:r>
      <w:r w:rsidR="00A83AA5" w:rsidRPr="002C5292">
        <w:rPr>
          <w:rFonts w:asciiTheme="minorHAnsi" w:hAnsiTheme="minorHAnsi" w:cstheme="minorHAnsi"/>
          <w:sz w:val="22"/>
          <w:szCs w:val="22"/>
        </w:rPr>
        <w:t>9</w:t>
      </w:r>
      <w:r w:rsidRPr="002C5292">
        <w:rPr>
          <w:rFonts w:asciiTheme="minorHAnsi" w:hAnsiTheme="minorHAnsi" w:cstheme="minorHAnsi"/>
          <w:sz w:val="22"/>
          <w:szCs w:val="22"/>
        </w:rPr>
        <w:t xml:space="preserve"> out of 10 given that some efficiency loss is likely to occur regarding the</w:t>
      </w:r>
      <w:r w:rsidR="00B1382A" w:rsidRPr="002C5292">
        <w:rPr>
          <w:rFonts w:asciiTheme="minorHAnsi" w:hAnsiTheme="minorHAnsi" w:cstheme="minorHAnsi"/>
          <w:sz w:val="22"/>
          <w:szCs w:val="22"/>
        </w:rPr>
        <w:t xml:space="preserve"> </w:t>
      </w:r>
      <w:r w:rsidR="00AF1D14" w:rsidRPr="002C5292">
        <w:rPr>
          <w:rFonts w:asciiTheme="minorHAnsi" w:hAnsiTheme="minorHAnsi" w:cstheme="minorHAnsi"/>
          <w:sz w:val="22"/>
          <w:szCs w:val="22"/>
        </w:rPr>
        <w:t>8</w:t>
      </w:r>
      <w:r w:rsidR="00DF16F9" w:rsidRPr="002C5292">
        <w:rPr>
          <w:rFonts w:asciiTheme="minorHAnsi" w:hAnsiTheme="minorHAnsi" w:cstheme="minorHAnsi"/>
          <w:sz w:val="22"/>
          <w:szCs w:val="22"/>
        </w:rPr>
        <w:t>7</w:t>
      </w:r>
      <w:r w:rsidR="00AF1D14" w:rsidRPr="002C5292">
        <w:rPr>
          <w:rFonts w:asciiTheme="minorHAnsi" w:hAnsiTheme="minorHAnsi" w:cstheme="minorHAnsi"/>
          <w:sz w:val="22"/>
          <w:szCs w:val="22"/>
        </w:rPr>
        <w:t xml:space="preserve"> </w:t>
      </w:r>
      <w:r w:rsidR="00E81135" w:rsidRPr="002C5292">
        <w:rPr>
          <w:rFonts w:asciiTheme="minorHAnsi" w:hAnsiTheme="minorHAnsi" w:cstheme="minorHAnsi"/>
          <w:sz w:val="22"/>
          <w:szCs w:val="22"/>
        </w:rPr>
        <w:t xml:space="preserve">provisions </w:t>
      </w:r>
      <w:r w:rsidR="00917268" w:rsidRPr="002C5292">
        <w:rPr>
          <w:rFonts w:asciiTheme="minorHAnsi" w:hAnsiTheme="minorHAnsi" w:cstheme="minorHAnsi"/>
          <w:sz w:val="22"/>
          <w:szCs w:val="22"/>
        </w:rPr>
        <w:t>to make</w:t>
      </w:r>
      <w:r w:rsidR="00E81135" w:rsidRPr="002C5292">
        <w:rPr>
          <w:rFonts w:asciiTheme="minorHAnsi" w:hAnsiTheme="minorHAnsi" w:cstheme="minorHAnsi"/>
          <w:sz w:val="22"/>
          <w:szCs w:val="22"/>
        </w:rPr>
        <w:t xml:space="preserve"> </w:t>
      </w:r>
      <w:r w:rsidR="00845D7E" w:rsidRPr="002C5292">
        <w:rPr>
          <w:rFonts w:asciiTheme="minorHAnsi" w:hAnsiTheme="minorHAnsi" w:cstheme="minorHAnsi"/>
          <w:sz w:val="22"/>
          <w:szCs w:val="22"/>
        </w:rPr>
        <w:t xml:space="preserve">legislative </w:t>
      </w:r>
      <w:r w:rsidRPr="002C5292">
        <w:rPr>
          <w:rFonts w:asciiTheme="minorHAnsi" w:hAnsiTheme="minorHAnsi" w:cstheme="minorHAnsi"/>
          <w:sz w:val="22"/>
          <w:szCs w:val="22"/>
        </w:rPr>
        <w:t xml:space="preserve">instruments </w:t>
      </w:r>
      <w:r w:rsidR="00517E47" w:rsidRPr="002C5292">
        <w:rPr>
          <w:rFonts w:asciiTheme="minorHAnsi" w:hAnsiTheme="minorHAnsi" w:cstheme="minorHAnsi"/>
          <w:sz w:val="22"/>
          <w:szCs w:val="22"/>
        </w:rPr>
        <w:t xml:space="preserve">that would </w:t>
      </w:r>
      <w:r w:rsidR="00DF16F9" w:rsidRPr="002C5292">
        <w:rPr>
          <w:rFonts w:asciiTheme="minorHAnsi" w:hAnsiTheme="minorHAnsi" w:cstheme="minorHAnsi"/>
          <w:sz w:val="22"/>
          <w:szCs w:val="22"/>
        </w:rPr>
        <w:t xml:space="preserve">be </w:t>
      </w:r>
      <w:r w:rsidR="00517E47" w:rsidRPr="002C5292">
        <w:rPr>
          <w:rFonts w:asciiTheme="minorHAnsi" w:hAnsiTheme="minorHAnsi" w:cstheme="minorHAnsi"/>
          <w:sz w:val="22"/>
          <w:szCs w:val="22"/>
        </w:rPr>
        <w:t>automatically exempted under Options 1 but not Option 2</w:t>
      </w:r>
      <w:r w:rsidRPr="002C5292">
        <w:rPr>
          <w:rFonts w:asciiTheme="minorHAnsi" w:hAnsiTheme="minorHAnsi" w:cstheme="minorHAnsi"/>
          <w:sz w:val="22"/>
          <w:szCs w:val="22"/>
        </w:rPr>
        <w:t>.</w:t>
      </w:r>
    </w:p>
    <w:p w14:paraId="744BAB40" w14:textId="299E2306" w:rsidR="00EB732D" w:rsidRPr="002C5292" w:rsidRDefault="00BE0D23" w:rsidP="0034082E">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Table 7</w:t>
      </w:r>
      <w:r w:rsidR="00EB732D" w:rsidRPr="002C5292">
        <w:rPr>
          <w:rFonts w:asciiTheme="minorHAnsi" w:hAnsiTheme="minorHAnsi" w:cstheme="minorHAnsi"/>
          <w:sz w:val="22"/>
          <w:szCs w:val="22"/>
        </w:rPr>
        <w:t xml:space="preserve"> below identifies the </w:t>
      </w:r>
      <w:r w:rsidRPr="002C5292">
        <w:rPr>
          <w:rFonts w:asciiTheme="minorHAnsi" w:hAnsiTheme="minorHAnsi" w:cstheme="minorHAnsi"/>
          <w:sz w:val="22"/>
          <w:szCs w:val="22"/>
        </w:rPr>
        <w:t xml:space="preserve">key cost </w:t>
      </w:r>
      <w:r w:rsidR="00EB732D" w:rsidRPr="002C5292">
        <w:rPr>
          <w:rFonts w:asciiTheme="minorHAnsi" w:hAnsiTheme="minorHAnsi" w:cstheme="minorHAnsi"/>
          <w:sz w:val="22"/>
          <w:szCs w:val="22"/>
        </w:rPr>
        <w:t>impacts</w:t>
      </w:r>
      <w:r w:rsidR="0038475A" w:rsidRPr="002C5292">
        <w:rPr>
          <w:rFonts w:asciiTheme="minorHAnsi" w:hAnsiTheme="minorHAnsi" w:cstheme="minorHAnsi"/>
          <w:sz w:val="22"/>
          <w:szCs w:val="22"/>
        </w:rPr>
        <w:t xml:space="preserve"> (and as</w:t>
      </w:r>
      <w:r w:rsidR="00821E6B" w:rsidRPr="002C5292">
        <w:rPr>
          <w:rFonts w:asciiTheme="minorHAnsi" w:hAnsiTheme="minorHAnsi" w:cstheme="minorHAnsi"/>
          <w:sz w:val="22"/>
          <w:szCs w:val="22"/>
        </w:rPr>
        <w:t>s</w:t>
      </w:r>
      <w:r w:rsidR="0038475A" w:rsidRPr="002C5292">
        <w:rPr>
          <w:rFonts w:asciiTheme="minorHAnsi" w:hAnsiTheme="minorHAnsi" w:cstheme="minorHAnsi"/>
          <w:sz w:val="22"/>
          <w:szCs w:val="22"/>
        </w:rPr>
        <w:t>umptions)</w:t>
      </w:r>
      <w:r w:rsidR="00EB732D" w:rsidRPr="002C5292">
        <w:rPr>
          <w:rFonts w:asciiTheme="minorHAnsi" w:hAnsiTheme="minorHAnsi" w:cstheme="minorHAnsi"/>
          <w:sz w:val="22"/>
          <w:szCs w:val="22"/>
        </w:rPr>
        <w:t xml:space="preserve"> on </w:t>
      </w:r>
      <w:r w:rsidR="0034082E" w:rsidRPr="002C5292">
        <w:rPr>
          <w:rFonts w:asciiTheme="minorHAnsi" w:hAnsiTheme="minorHAnsi" w:cstheme="minorHAnsi"/>
          <w:sz w:val="22"/>
          <w:szCs w:val="22"/>
        </w:rPr>
        <w:t>the use of resources by</w:t>
      </w:r>
      <w:r w:rsidR="00DF16F9" w:rsidRPr="002C5292">
        <w:rPr>
          <w:rFonts w:asciiTheme="minorHAnsi" w:hAnsiTheme="minorHAnsi" w:cstheme="minorHAnsi"/>
          <w:sz w:val="22"/>
          <w:szCs w:val="22"/>
        </w:rPr>
        <w:t xml:space="preserve"> </w:t>
      </w:r>
      <w:r w:rsidR="00EB732D" w:rsidRPr="002C5292">
        <w:rPr>
          <w:rFonts w:asciiTheme="minorHAnsi" w:hAnsiTheme="minorHAnsi" w:cstheme="minorHAnsi"/>
          <w:sz w:val="22"/>
          <w:szCs w:val="22"/>
        </w:rPr>
        <w:t>agencies</w:t>
      </w:r>
      <w:r w:rsidR="00845D7E" w:rsidRPr="002C5292">
        <w:rPr>
          <w:rFonts w:asciiTheme="minorHAnsi" w:hAnsiTheme="minorHAnsi" w:cstheme="minorHAnsi"/>
          <w:sz w:val="22"/>
          <w:szCs w:val="22"/>
        </w:rPr>
        <w:t>, BRV and</w:t>
      </w:r>
      <w:r w:rsidR="00EB732D" w:rsidRPr="002C5292">
        <w:rPr>
          <w:rFonts w:asciiTheme="minorHAnsi" w:hAnsiTheme="minorHAnsi" w:cstheme="minorHAnsi"/>
          <w:sz w:val="22"/>
          <w:szCs w:val="22"/>
        </w:rPr>
        <w:t xml:space="preserve"> Parliament </w:t>
      </w:r>
      <w:r w:rsidR="00845D7E" w:rsidRPr="002C5292">
        <w:rPr>
          <w:rFonts w:asciiTheme="minorHAnsi" w:hAnsiTheme="minorHAnsi" w:cstheme="minorHAnsi"/>
          <w:sz w:val="22"/>
          <w:szCs w:val="22"/>
        </w:rPr>
        <w:t xml:space="preserve">(including </w:t>
      </w:r>
      <w:r w:rsidR="00EB732D" w:rsidRPr="002C5292">
        <w:rPr>
          <w:rFonts w:asciiTheme="minorHAnsi" w:hAnsiTheme="minorHAnsi" w:cstheme="minorHAnsi"/>
          <w:sz w:val="22"/>
          <w:szCs w:val="22"/>
        </w:rPr>
        <w:t>SARC</w:t>
      </w:r>
      <w:r w:rsidR="00845D7E" w:rsidRPr="002C5292">
        <w:rPr>
          <w:rFonts w:asciiTheme="minorHAnsi" w:hAnsiTheme="minorHAnsi" w:cstheme="minorHAnsi"/>
          <w:sz w:val="22"/>
          <w:szCs w:val="22"/>
        </w:rPr>
        <w:t>)</w:t>
      </w:r>
      <w:r w:rsidRPr="002C5292">
        <w:rPr>
          <w:rFonts w:asciiTheme="minorHAnsi" w:hAnsiTheme="minorHAnsi" w:cstheme="minorHAnsi"/>
          <w:sz w:val="22"/>
          <w:szCs w:val="22"/>
        </w:rPr>
        <w:t xml:space="preserve"> for the base case</w:t>
      </w:r>
      <w:r w:rsidR="00821E6B" w:rsidRPr="002C5292">
        <w:rPr>
          <w:rFonts w:asciiTheme="minorHAnsi" w:hAnsiTheme="minorHAnsi" w:cstheme="minorHAnsi"/>
          <w:sz w:val="22"/>
          <w:szCs w:val="22"/>
        </w:rPr>
        <w:t xml:space="preserve"> in comparison to the options</w:t>
      </w:r>
      <w:r w:rsidR="00EB732D" w:rsidRPr="002C5292">
        <w:rPr>
          <w:rFonts w:asciiTheme="minorHAnsi" w:hAnsiTheme="minorHAnsi" w:cstheme="minorHAnsi"/>
          <w:sz w:val="22"/>
          <w:szCs w:val="22"/>
        </w:rPr>
        <w:t>.</w:t>
      </w:r>
      <w:r w:rsidRPr="002C5292">
        <w:rPr>
          <w:rFonts w:asciiTheme="minorHAnsi" w:hAnsiTheme="minorHAnsi" w:cstheme="minorHAnsi"/>
          <w:sz w:val="22"/>
          <w:szCs w:val="22"/>
        </w:rPr>
        <w:t xml:space="preserve"> A number of the impacts have been quantified </w:t>
      </w:r>
      <w:r w:rsidR="00917268" w:rsidRPr="002C5292">
        <w:rPr>
          <w:rFonts w:asciiTheme="minorHAnsi" w:hAnsiTheme="minorHAnsi" w:cstheme="minorHAnsi"/>
          <w:sz w:val="22"/>
          <w:szCs w:val="22"/>
        </w:rPr>
        <w:t>due to</w:t>
      </w:r>
      <w:r w:rsidR="0034082E" w:rsidRPr="002C5292">
        <w:rPr>
          <w:rFonts w:asciiTheme="minorHAnsi" w:hAnsiTheme="minorHAnsi" w:cstheme="minorHAnsi"/>
          <w:sz w:val="22"/>
          <w:szCs w:val="22"/>
        </w:rPr>
        <w:t xml:space="preserve"> the difficulty </w:t>
      </w:r>
      <w:r w:rsidR="00917268" w:rsidRPr="002C5292">
        <w:rPr>
          <w:rFonts w:asciiTheme="minorHAnsi" w:hAnsiTheme="minorHAnsi" w:cstheme="minorHAnsi"/>
          <w:sz w:val="22"/>
          <w:szCs w:val="22"/>
        </w:rPr>
        <w:t>of accurately</w:t>
      </w:r>
      <w:r w:rsidR="0034082E" w:rsidRPr="002C5292">
        <w:rPr>
          <w:rFonts w:asciiTheme="minorHAnsi" w:hAnsiTheme="minorHAnsi" w:cstheme="minorHAnsi"/>
          <w:sz w:val="22"/>
          <w:szCs w:val="22"/>
        </w:rPr>
        <w:t xml:space="preserve"> estimat</w:t>
      </w:r>
      <w:r w:rsidR="00917268" w:rsidRPr="002C5292">
        <w:rPr>
          <w:rFonts w:asciiTheme="minorHAnsi" w:hAnsiTheme="minorHAnsi" w:cstheme="minorHAnsi"/>
          <w:sz w:val="22"/>
          <w:szCs w:val="22"/>
        </w:rPr>
        <w:t>ing</w:t>
      </w:r>
      <w:r w:rsidR="0034082E" w:rsidRPr="002C5292">
        <w:rPr>
          <w:rFonts w:asciiTheme="minorHAnsi" w:hAnsiTheme="minorHAnsi" w:cstheme="minorHAnsi"/>
          <w:sz w:val="22"/>
          <w:szCs w:val="22"/>
        </w:rPr>
        <w:t xml:space="preserve"> them</w:t>
      </w:r>
      <w:r w:rsidR="00845D7E" w:rsidRPr="002C5292">
        <w:rPr>
          <w:rFonts w:asciiTheme="minorHAnsi" w:hAnsiTheme="minorHAnsi" w:cstheme="minorHAnsi"/>
          <w:sz w:val="22"/>
          <w:szCs w:val="22"/>
        </w:rPr>
        <w:t xml:space="preserve"> or because the data is not available</w:t>
      </w:r>
      <w:r w:rsidR="0034082E" w:rsidRPr="002C5292">
        <w:rPr>
          <w:rFonts w:asciiTheme="minorHAnsi" w:hAnsiTheme="minorHAnsi" w:cstheme="minorHAnsi"/>
          <w:sz w:val="22"/>
          <w:szCs w:val="22"/>
        </w:rPr>
        <w:t xml:space="preserve">. </w:t>
      </w:r>
      <w:r w:rsidR="00D07F4A" w:rsidRPr="002C5292">
        <w:rPr>
          <w:rFonts w:asciiTheme="minorHAnsi" w:hAnsiTheme="minorHAnsi" w:cstheme="minorHAnsi"/>
          <w:sz w:val="22"/>
          <w:szCs w:val="22"/>
        </w:rPr>
        <w:t>DPC estimates</w:t>
      </w:r>
      <w:r w:rsidR="003402B2" w:rsidRPr="002C5292">
        <w:rPr>
          <w:rFonts w:asciiTheme="minorHAnsi" w:hAnsiTheme="minorHAnsi" w:cstheme="minorHAnsi"/>
          <w:sz w:val="22"/>
          <w:szCs w:val="22"/>
        </w:rPr>
        <w:t xml:space="preserve"> that the </w:t>
      </w:r>
      <w:r w:rsidR="00917268" w:rsidRPr="002C5292">
        <w:rPr>
          <w:rFonts w:asciiTheme="minorHAnsi" w:hAnsiTheme="minorHAnsi" w:cstheme="minorHAnsi"/>
          <w:sz w:val="22"/>
          <w:szCs w:val="22"/>
        </w:rPr>
        <w:t xml:space="preserve">unquantified </w:t>
      </w:r>
      <w:r w:rsidR="00D07F4A" w:rsidRPr="002C5292">
        <w:rPr>
          <w:rFonts w:asciiTheme="minorHAnsi" w:hAnsiTheme="minorHAnsi" w:cstheme="minorHAnsi"/>
          <w:sz w:val="22"/>
          <w:szCs w:val="22"/>
        </w:rPr>
        <w:t>costs</w:t>
      </w:r>
      <w:r w:rsidR="003402B2" w:rsidRPr="002C5292">
        <w:rPr>
          <w:rFonts w:asciiTheme="minorHAnsi" w:hAnsiTheme="minorHAnsi" w:cstheme="minorHAnsi"/>
          <w:sz w:val="22"/>
          <w:szCs w:val="22"/>
        </w:rPr>
        <w:t xml:space="preserve"> would be </w:t>
      </w:r>
      <w:r w:rsidR="00D07F4A" w:rsidRPr="002C5292">
        <w:rPr>
          <w:rFonts w:asciiTheme="minorHAnsi" w:hAnsiTheme="minorHAnsi" w:cstheme="minorHAnsi"/>
          <w:sz w:val="22"/>
          <w:szCs w:val="22"/>
        </w:rPr>
        <w:t>small</w:t>
      </w:r>
      <w:r w:rsidR="003402B2" w:rsidRPr="002C5292">
        <w:rPr>
          <w:rFonts w:asciiTheme="minorHAnsi" w:hAnsiTheme="minorHAnsi" w:cstheme="minorHAnsi"/>
          <w:sz w:val="22"/>
          <w:szCs w:val="22"/>
        </w:rPr>
        <w:t xml:space="preserve"> </w:t>
      </w:r>
      <w:r w:rsidR="00917268" w:rsidRPr="002C5292">
        <w:rPr>
          <w:rFonts w:asciiTheme="minorHAnsi" w:hAnsiTheme="minorHAnsi" w:cstheme="minorHAnsi"/>
          <w:sz w:val="22"/>
          <w:szCs w:val="22"/>
        </w:rPr>
        <w:t>relative to the quantified costs</w:t>
      </w:r>
      <w:r w:rsidR="00D07F4A" w:rsidRPr="002C5292">
        <w:rPr>
          <w:rFonts w:asciiTheme="minorHAnsi" w:hAnsiTheme="minorHAnsi" w:cstheme="minorHAnsi"/>
          <w:sz w:val="22"/>
          <w:szCs w:val="22"/>
        </w:rPr>
        <w:t>.</w:t>
      </w:r>
    </w:p>
    <w:p w14:paraId="59D61901" w14:textId="77777777" w:rsidR="002C5292" w:rsidRPr="002C5292" w:rsidRDefault="002C5292">
      <w:pPr>
        <w:rPr>
          <w:rFonts w:asciiTheme="majorHAnsi" w:eastAsia="MS Gothic" w:hAnsiTheme="majorHAnsi"/>
          <w:b/>
          <w:bCs/>
          <w:color w:val="53565A"/>
          <w:sz w:val="22"/>
          <w:szCs w:val="22"/>
        </w:rPr>
      </w:pPr>
      <w:r w:rsidRPr="002C5292">
        <w:rPr>
          <w:rFonts w:asciiTheme="majorHAnsi" w:eastAsia="MS Gothic" w:hAnsiTheme="majorHAnsi"/>
          <w:b/>
          <w:bCs/>
          <w:color w:val="53565A"/>
          <w:sz w:val="22"/>
          <w:szCs w:val="22"/>
        </w:rPr>
        <w:br w:type="page"/>
      </w:r>
    </w:p>
    <w:p w14:paraId="4ADC66F2" w14:textId="754E59C0" w:rsidR="00EB732D" w:rsidRPr="002C5292" w:rsidRDefault="0034082E">
      <w:pPr>
        <w:rPr>
          <w:rFonts w:asciiTheme="majorHAnsi" w:eastAsia="MS Gothic" w:hAnsiTheme="majorHAnsi"/>
          <w:b/>
          <w:bCs/>
          <w:color w:val="53565A"/>
          <w:sz w:val="22"/>
          <w:szCs w:val="22"/>
        </w:rPr>
      </w:pPr>
      <w:r w:rsidRPr="002C5292">
        <w:rPr>
          <w:rFonts w:asciiTheme="majorHAnsi" w:eastAsia="MS Gothic" w:hAnsiTheme="majorHAnsi"/>
          <w:b/>
          <w:bCs/>
          <w:color w:val="53565A"/>
          <w:sz w:val="22"/>
          <w:szCs w:val="22"/>
        </w:rPr>
        <w:t xml:space="preserve">Table 7 </w:t>
      </w:r>
      <w:r w:rsidR="00845D7E" w:rsidRPr="002C5292">
        <w:rPr>
          <w:rFonts w:asciiTheme="majorHAnsi" w:eastAsia="MS Gothic" w:hAnsiTheme="majorHAnsi"/>
          <w:b/>
          <w:bCs/>
          <w:color w:val="53565A"/>
          <w:sz w:val="22"/>
          <w:szCs w:val="22"/>
        </w:rPr>
        <w:t>–</w:t>
      </w:r>
      <w:r w:rsidRPr="002C5292">
        <w:rPr>
          <w:rFonts w:asciiTheme="majorHAnsi" w:eastAsia="MS Gothic" w:hAnsiTheme="majorHAnsi"/>
          <w:b/>
          <w:bCs/>
          <w:color w:val="53565A"/>
          <w:sz w:val="22"/>
          <w:szCs w:val="22"/>
        </w:rPr>
        <w:t xml:space="preserve"> </w:t>
      </w:r>
      <w:r w:rsidR="00845D7E" w:rsidRPr="002C5292">
        <w:rPr>
          <w:rFonts w:asciiTheme="majorHAnsi" w:eastAsia="MS Gothic" w:hAnsiTheme="majorHAnsi"/>
          <w:b/>
          <w:bCs/>
          <w:color w:val="53565A"/>
          <w:sz w:val="22"/>
          <w:szCs w:val="22"/>
        </w:rPr>
        <w:t>Impact on the use of limited government resources</w:t>
      </w:r>
    </w:p>
    <w:p w14:paraId="4C4DB896" w14:textId="7EDE3185" w:rsidR="0038475A" w:rsidRPr="002C5292" w:rsidRDefault="0038475A">
      <w:pPr>
        <w:rPr>
          <w:rFonts w:asciiTheme="majorHAnsi" w:eastAsia="MS Gothic" w:hAnsiTheme="majorHAnsi"/>
          <w:b/>
          <w:bCs/>
          <w:color w:val="53565A"/>
          <w:sz w:val="22"/>
          <w:szCs w:val="22"/>
        </w:rPr>
      </w:pPr>
    </w:p>
    <w:p w14:paraId="754811F7" w14:textId="2EB049E2" w:rsidR="0038475A" w:rsidRPr="002C5292" w:rsidRDefault="0038475A" w:rsidP="0038475A">
      <w:pPr>
        <w:rPr>
          <w:rFonts w:asciiTheme="majorHAnsi" w:eastAsia="MS Gothic" w:hAnsiTheme="majorHAnsi"/>
          <w:b/>
          <w:bCs/>
          <w:color w:val="53565A"/>
          <w:sz w:val="22"/>
          <w:szCs w:val="22"/>
        </w:rPr>
      </w:pPr>
      <w:r w:rsidRPr="002C5292">
        <w:rPr>
          <w:rFonts w:asciiTheme="majorHAnsi" w:eastAsia="MS Gothic" w:hAnsiTheme="majorHAnsi"/>
          <w:b/>
          <w:bCs/>
          <w:color w:val="53565A"/>
          <w:sz w:val="22"/>
          <w:szCs w:val="22"/>
        </w:rPr>
        <w:t xml:space="preserve">Estimated annual use of </w:t>
      </w:r>
      <w:r w:rsidR="003B2B57" w:rsidRPr="002C5292">
        <w:rPr>
          <w:rFonts w:asciiTheme="majorHAnsi" w:eastAsia="MS Gothic" w:hAnsiTheme="majorHAnsi"/>
          <w:b/>
          <w:bCs/>
          <w:color w:val="53565A"/>
          <w:sz w:val="22"/>
          <w:szCs w:val="22"/>
        </w:rPr>
        <w:t>the limited g</w:t>
      </w:r>
      <w:r w:rsidRPr="002C5292">
        <w:rPr>
          <w:rFonts w:asciiTheme="majorHAnsi" w:eastAsia="MS Gothic" w:hAnsiTheme="majorHAnsi"/>
          <w:b/>
          <w:bCs/>
          <w:color w:val="53565A"/>
          <w:sz w:val="22"/>
          <w:szCs w:val="22"/>
        </w:rPr>
        <w:t>overnment resources</w:t>
      </w:r>
      <w:r w:rsidR="00E81135" w:rsidRPr="002C5292">
        <w:rPr>
          <w:rStyle w:val="FootnoteReference"/>
          <w:rFonts w:asciiTheme="majorHAnsi" w:eastAsia="MS Gothic" w:hAnsiTheme="majorHAnsi"/>
          <w:b/>
          <w:bCs/>
          <w:color w:val="53565A"/>
          <w:sz w:val="22"/>
          <w:szCs w:val="22"/>
        </w:rPr>
        <w:footnoteReference w:id="18"/>
      </w:r>
    </w:p>
    <w:p w14:paraId="68E618BB" w14:textId="30138F37" w:rsidR="0038475A" w:rsidRPr="002C5292" w:rsidRDefault="0038475A" w:rsidP="0038475A">
      <w:pPr>
        <w:rPr>
          <w:sz w:val="22"/>
          <w:szCs w:val="22"/>
        </w:rPr>
      </w:pPr>
      <w:r w:rsidRPr="002C5292">
        <w:rPr>
          <w:rFonts w:asciiTheme="majorHAnsi" w:eastAsia="MS Gothic" w:hAnsiTheme="majorHAnsi"/>
          <w:color w:val="53565A"/>
          <w:sz w:val="22"/>
          <w:szCs w:val="22"/>
        </w:rPr>
        <w:t xml:space="preserve">The figures </w:t>
      </w:r>
      <w:r w:rsidR="00821E6B" w:rsidRPr="002C5292">
        <w:rPr>
          <w:rFonts w:asciiTheme="majorHAnsi" w:eastAsia="MS Gothic" w:hAnsiTheme="majorHAnsi"/>
          <w:color w:val="53565A"/>
          <w:sz w:val="22"/>
          <w:szCs w:val="22"/>
        </w:rPr>
        <w:t xml:space="preserve">in each table </w:t>
      </w:r>
      <w:r w:rsidRPr="002C5292">
        <w:rPr>
          <w:rFonts w:asciiTheme="majorHAnsi" w:eastAsia="MS Gothic" w:hAnsiTheme="majorHAnsi"/>
          <w:color w:val="53565A"/>
          <w:sz w:val="22"/>
          <w:szCs w:val="22"/>
        </w:rPr>
        <w:t xml:space="preserve">below </w:t>
      </w:r>
      <w:r w:rsidR="003B2B57" w:rsidRPr="002C5292">
        <w:rPr>
          <w:rFonts w:asciiTheme="majorHAnsi" w:eastAsia="MS Gothic" w:hAnsiTheme="majorHAnsi"/>
          <w:color w:val="53565A"/>
          <w:sz w:val="22"/>
          <w:szCs w:val="22"/>
        </w:rPr>
        <w:t xml:space="preserve">for each option is </w:t>
      </w:r>
      <w:r w:rsidRPr="002C5292">
        <w:rPr>
          <w:rFonts w:asciiTheme="majorHAnsi" w:eastAsia="MS Gothic" w:hAnsiTheme="majorHAnsi"/>
          <w:color w:val="53565A"/>
          <w:sz w:val="22"/>
          <w:szCs w:val="22"/>
        </w:rPr>
        <w:t xml:space="preserve">based on </w:t>
      </w:r>
      <w:r w:rsidR="00917268" w:rsidRPr="002C5292">
        <w:rPr>
          <w:rFonts w:asciiTheme="majorHAnsi" w:eastAsia="MS Gothic" w:hAnsiTheme="majorHAnsi"/>
          <w:color w:val="53565A"/>
          <w:sz w:val="22"/>
          <w:szCs w:val="22"/>
        </w:rPr>
        <w:t xml:space="preserve">central </w:t>
      </w:r>
      <w:r w:rsidRPr="002C5292">
        <w:rPr>
          <w:rFonts w:asciiTheme="majorHAnsi" w:eastAsia="MS Gothic" w:hAnsiTheme="majorHAnsi"/>
          <w:color w:val="53565A"/>
          <w:sz w:val="22"/>
          <w:szCs w:val="22"/>
        </w:rPr>
        <w:t>estimate</w:t>
      </w:r>
      <w:r w:rsidR="00917268" w:rsidRPr="002C5292">
        <w:rPr>
          <w:rFonts w:asciiTheme="majorHAnsi" w:eastAsia="MS Gothic" w:hAnsiTheme="majorHAnsi"/>
          <w:color w:val="53565A"/>
          <w:sz w:val="22"/>
          <w:szCs w:val="22"/>
        </w:rPr>
        <w:t>s. T</w:t>
      </w:r>
      <w:r w:rsidR="00821E6B" w:rsidRPr="002C5292">
        <w:rPr>
          <w:rFonts w:asciiTheme="majorHAnsi" w:eastAsia="MS Gothic" w:hAnsiTheme="majorHAnsi"/>
          <w:color w:val="53565A"/>
          <w:sz w:val="22"/>
          <w:szCs w:val="22"/>
        </w:rPr>
        <w:t>he assumption</w:t>
      </w:r>
      <w:r w:rsidR="00917268" w:rsidRPr="002C5292">
        <w:rPr>
          <w:rFonts w:asciiTheme="majorHAnsi" w:eastAsia="MS Gothic" w:hAnsiTheme="majorHAnsi"/>
          <w:color w:val="53565A"/>
          <w:sz w:val="22"/>
          <w:szCs w:val="22"/>
        </w:rPr>
        <w:t>s</w:t>
      </w:r>
      <w:r w:rsidR="00821E6B" w:rsidRPr="002C5292">
        <w:rPr>
          <w:rFonts w:asciiTheme="majorHAnsi" w:eastAsia="MS Gothic" w:hAnsiTheme="majorHAnsi"/>
          <w:color w:val="53565A"/>
          <w:sz w:val="22"/>
          <w:szCs w:val="22"/>
        </w:rPr>
        <w:t xml:space="preserve"> </w:t>
      </w:r>
      <w:r w:rsidR="00917268" w:rsidRPr="002C5292">
        <w:rPr>
          <w:rFonts w:asciiTheme="majorHAnsi" w:eastAsia="MS Gothic" w:hAnsiTheme="majorHAnsi"/>
          <w:color w:val="53565A"/>
          <w:sz w:val="22"/>
          <w:szCs w:val="22"/>
        </w:rPr>
        <w:t>are listed in</w:t>
      </w:r>
      <w:r w:rsidR="00821E6B" w:rsidRPr="002C5292">
        <w:rPr>
          <w:rFonts w:asciiTheme="majorHAnsi" w:eastAsia="MS Gothic" w:hAnsiTheme="majorHAnsi"/>
          <w:color w:val="53565A"/>
          <w:sz w:val="22"/>
          <w:szCs w:val="22"/>
        </w:rPr>
        <w:t xml:space="preserve"> table 7D</w:t>
      </w:r>
      <w:r w:rsidR="003B2B57" w:rsidRPr="002C5292">
        <w:rPr>
          <w:rFonts w:asciiTheme="majorHAnsi" w:eastAsia="MS Gothic" w:hAnsiTheme="majorHAnsi"/>
          <w:color w:val="53565A"/>
          <w:sz w:val="22"/>
          <w:szCs w:val="22"/>
        </w:rPr>
        <w:t>.</w:t>
      </w:r>
    </w:p>
    <w:tbl>
      <w:tblPr>
        <w:tblW w:w="11861" w:type="dxa"/>
        <w:tblLayout w:type="fixed"/>
        <w:tblLook w:val="04A0" w:firstRow="1" w:lastRow="0" w:firstColumn="1" w:lastColumn="0" w:noHBand="0" w:noVBand="1"/>
      </w:tblPr>
      <w:tblGrid>
        <w:gridCol w:w="7054"/>
        <w:gridCol w:w="1361"/>
        <w:gridCol w:w="1361"/>
        <w:gridCol w:w="236"/>
        <w:gridCol w:w="236"/>
        <w:gridCol w:w="236"/>
        <w:gridCol w:w="433"/>
        <w:gridCol w:w="236"/>
        <w:gridCol w:w="236"/>
        <w:gridCol w:w="236"/>
        <w:gridCol w:w="236"/>
      </w:tblGrid>
      <w:tr w:rsidR="001A3B93" w:rsidRPr="002C5292" w14:paraId="07A4DADB" w14:textId="77777777" w:rsidTr="004879C9">
        <w:trPr>
          <w:trHeight w:val="285"/>
        </w:trPr>
        <w:tc>
          <w:tcPr>
            <w:tcW w:w="7054" w:type="dxa"/>
            <w:tcBorders>
              <w:top w:val="nil"/>
              <w:left w:val="nil"/>
              <w:bottom w:val="nil"/>
              <w:right w:val="nil"/>
            </w:tcBorders>
            <w:shd w:val="clear" w:color="auto" w:fill="auto"/>
            <w:noWrap/>
            <w:vAlign w:val="bottom"/>
            <w:hideMark/>
          </w:tcPr>
          <w:p w14:paraId="3512A18A" w14:textId="77777777" w:rsidR="0038475A" w:rsidRPr="002C5292" w:rsidRDefault="0038475A" w:rsidP="0038475A">
            <w:pPr>
              <w:rPr>
                <w:rFonts w:asciiTheme="majorHAnsi" w:eastAsia="MS Gothic" w:hAnsiTheme="majorHAnsi"/>
                <w:b/>
                <w:bCs/>
                <w:color w:val="53565A"/>
              </w:rPr>
            </w:pPr>
            <w:bookmarkStart w:id="73" w:name="_Hlk70028989"/>
            <w:bookmarkStart w:id="74" w:name="_Hlk69903858"/>
          </w:p>
          <w:p w14:paraId="5E4F9C44" w14:textId="664E57D4" w:rsidR="00821E6B" w:rsidRPr="002C5292" w:rsidRDefault="00821E6B" w:rsidP="0038475A">
            <w:pPr>
              <w:rPr>
                <w:rFonts w:asciiTheme="majorHAnsi" w:eastAsia="MS Gothic" w:hAnsiTheme="majorHAnsi"/>
                <w:b/>
                <w:bCs/>
                <w:color w:val="53565A"/>
              </w:rPr>
            </w:pPr>
            <w:r w:rsidRPr="002C5292">
              <w:rPr>
                <w:rFonts w:asciiTheme="majorHAnsi" w:eastAsia="MS Gothic" w:hAnsiTheme="majorHAnsi"/>
                <w:b/>
                <w:bCs/>
                <w:color w:val="53565A"/>
              </w:rPr>
              <w:t>Table 7A</w:t>
            </w:r>
          </w:p>
        </w:tc>
        <w:tc>
          <w:tcPr>
            <w:tcW w:w="3863" w:type="dxa"/>
            <w:gridSpan w:val="6"/>
            <w:tcBorders>
              <w:top w:val="nil"/>
              <w:left w:val="nil"/>
              <w:bottom w:val="nil"/>
              <w:right w:val="nil"/>
            </w:tcBorders>
            <w:shd w:val="clear" w:color="auto" w:fill="auto"/>
            <w:noWrap/>
            <w:vAlign w:val="bottom"/>
            <w:hideMark/>
          </w:tcPr>
          <w:p w14:paraId="2F2AD0D8" w14:textId="77777777" w:rsidR="0038475A" w:rsidRPr="002C5292" w:rsidRDefault="0038475A" w:rsidP="0038475A">
            <w:pPr>
              <w:rPr>
                <w:rFonts w:asciiTheme="majorHAnsi" w:eastAsia="MS Gothic" w:hAnsiTheme="majorHAnsi"/>
                <w:b/>
                <w:bCs/>
                <w:color w:val="53565A"/>
              </w:rPr>
            </w:pPr>
          </w:p>
        </w:tc>
        <w:tc>
          <w:tcPr>
            <w:tcW w:w="236" w:type="dxa"/>
            <w:tcBorders>
              <w:top w:val="nil"/>
              <w:left w:val="nil"/>
              <w:bottom w:val="nil"/>
              <w:right w:val="nil"/>
            </w:tcBorders>
            <w:shd w:val="clear" w:color="auto" w:fill="auto"/>
            <w:noWrap/>
            <w:vAlign w:val="bottom"/>
            <w:hideMark/>
          </w:tcPr>
          <w:p w14:paraId="189AB6C7" w14:textId="77777777" w:rsidR="0038475A" w:rsidRPr="002C5292" w:rsidRDefault="0038475A" w:rsidP="0038475A">
            <w:pPr>
              <w:rPr>
                <w:rFonts w:asciiTheme="majorHAnsi" w:eastAsia="MS Gothic" w:hAnsiTheme="majorHAnsi"/>
                <w:b/>
                <w:bCs/>
                <w:color w:val="53565A"/>
              </w:rPr>
            </w:pPr>
          </w:p>
        </w:tc>
        <w:tc>
          <w:tcPr>
            <w:tcW w:w="236" w:type="dxa"/>
            <w:tcBorders>
              <w:top w:val="nil"/>
              <w:left w:val="nil"/>
              <w:bottom w:val="nil"/>
              <w:right w:val="nil"/>
            </w:tcBorders>
            <w:shd w:val="clear" w:color="auto" w:fill="auto"/>
            <w:noWrap/>
            <w:vAlign w:val="bottom"/>
            <w:hideMark/>
          </w:tcPr>
          <w:p w14:paraId="0262AEA3" w14:textId="77777777" w:rsidR="0038475A" w:rsidRPr="002C5292" w:rsidRDefault="0038475A" w:rsidP="0038475A">
            <w:pPr>
              <w:rPr>
                <w:rFonts w:asciiTheme="majorHAnsi" w:eastAsia="MS Gothic" w:hAnsiTheme="majorHAnsi"/>
                <w:b/>
                <w:bCs/>
                <w:color w:val="53565A"/>
              </w:rPr>
            </w:pPr>
          </w:p>
        </w:tc>
        <w:tc>
          <w:tcPr>
            <w:tcW w:w="236" w:type="dxa"/>
            <w:tcBorders>
              <w:top w:val="nil"/>
              <w:left w:val="nil"/>
              <w:bottom w:val="nil"/>
              <w:right w:val="nil"/>
            </w:tcBorders>
            <w:shd w:val="clear" w:color="auto" w:fill="auto"/>
            <w:noWrap/>
            <w:vAlign w:val="bottom"/>
            <w:hideMark/>
          </w:tcPr>
          <w:p w14:paraId="1ED25B7D" w14:textId="77777777" w:rsidR="0038475A" w:rsidRPr="002C5292" w:rsidRDefault="0038475A" w:rsidP="0038475A">
            <w:pPr>
              <w:rPr>
                <w:rFonts w:asciiTheme="majorHAnsi" w:eastAsia="MS Gothic" w:hAnsiTheme="majorHAnsi"/>
                <w:b/>
                <w:bCs/>
                <w:color w:val="53565A"/>
              </w:rPr>
            </w:pPr>
          </w:p>
        </w:tc>
        <w:tc>
          <w:tcPr>
            <w:tcW w:w="236" w:type="dxa"/>
            <w:tcBorders>
              <w:top w:val="nil"/>
              <w:left w:val="nil"/>
              <w:bottom w:val="nil"/>
              <w:right w:val="nil"/>
            </w:tcBorders>
            <w:shd w:val="clear" w:color="auto" w:fill="auto"/>
            <w:noWrap/>
            <w:vAlign w:val="bottom"/>
            <w:hideMark/>
          </w:tcPr>
          <w:p w14:paraId="070C8DB4" w14:textId="77777777" w:rsidR="0038475A" w:rsidRPr="002C5292" w:rsidRDefault="0038475A" w:rsidP="0038475A">
            <w:pPr>
              <w:rPr>
                <w:rFonts w:asciiTheme="majorHAnsi" w:eastAsia="MS Gothic" w:hAnsiTheme="majorHAnsi"/>
                <w:b/>
                <w:bCs/>
                <w:color w:val="53565A"/>
              </w:rPr>
            </w:pPr>
          </w:p>
        </w:tc>
      </w:tr>
      <w:tr w:rsidR="004879C9" w:rsidRPr="002C5292" w14:paraId="29560156" w14:textId="77777777" w:rsidTr="004879C9">
        <w:trPr>
          <w:gridAfter w:val="5"/>
          <w:wAfter w:w="1377" w:type="dxa"/>
          <w:trHeight w:val="285"/>
        </w:trPr>
        <w:tc>
          <w:tcPr>
            <w:tcW w:w="7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B0C3" w14:textId="56664ADB" w:rsidR="0038475A" w:rsidRPr="002C5292" w:rsidRDefault="0038475A" w:rsidP="004879C9">
            <w:pPr>
              <w:rPr>
                <w:rFonts w:asciiTheme="minorHAnsi" w:hAnsiTheme="minorHAnsi" w:cstheme="minorHAnsi"/>
                <w:b/>
                <w:bCs/>
                <w:color w:val="000000"/>
                <w:sz w:val="22"/>
                <w:szCs w:val="22"/>
                <w:u w:val="single"/>
                <w:lang w:eastAsia="en-AU"/>
              </w:rPr>
            </w:pPr>
            <w:r w:rsidRPr="002C5292">
              <w:rPr>
                <w:rFonts w:asciiTheme="minorHAnsi" w:hAnsiTheme="minorHAnsi" w:cstheme="minorHAnsi"/>
                <w:b/>
                <w:bCs/>
                <w:color w:val="000000"/>
                <w:sz w:val="22"/>
                <w:szCs w:val="22"/>
                <w:u w:val="single"/>
                <w:lang w:eastAsia="en-AU"/>
              </w:rPr>
              <w:t xml:space="preserve">Annual use of </w:t>
            </w:r>
            <w:r w:rsidR="003B2B57" w:rsidRPr="002C5292">
              <w:rPr>
                <w:rFonts w:asciiTheme="minorHAnsi" w:hAnsiTheme="minorHAnsi" w:cstheme="minorHAnsi"/>
                <w:b/>
                <w:bCs/>
                <w:color w:val="000000"/>
                <w:sz w:val="22"/>
                <w:szCs w:val="22"/>
                <w:u w:val="single"/>
                <w:lang w:eastAsia="en-AU"/>
              </w:rPr>
              <w:t>limited g</w:t>
            </w:r>
            <w:r w:rsidRPr="002C5292">
              <w:rPr>
                <w:rFonts w:asciiTheme="minorHAnsi" w:hAnsiTheme="minorHAnsi" w:cstheme="minorHAnsi"/>
                <w:b/>
                <w:bCs/>
                <w:color w:val="000000"/>
                <w:sz w:val="22"/>
                <w:szCs w:val="22"/>
                <w:u w:val="single"/>
                <w:lang w:eastAsia="en-AU"/>
              </w:rPr>
              <w:t>overnment resources</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6FF1F830"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30CB30FD"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236" w:type="dxa"/>
            <w:tcBorders>
              <w:top w:val="nil"/>
              <w:left w:val="nil"/>
              <w:bottom w:val="nil"/>
              <w:right w:val="nil"/>
            </w:tcBorders>
            <w:shd w:val="clear" w:color="auto" w:fill="auto"/>
            <w:noWrap/>
            <w:vAlign w:val="bottom"/>
            <w:hideMark/>
          </w:tcPr>
          <w:p w14:paraId="7E2334F2" w14:textId="77777777" w:rsidR="0038475A" w:rsidRPr="002C5292" w:rsidRDefault="0038475A" w:rsidP="0038475A">
            <w:pPr>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27B31C5B"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1D538D07" w14:textId="77777777" w:rsidR="0038475A" w:rsidRPr="002C5292" w:rsidRDefault="0038475A" w:rsidP="0038475A">
            <w:pPr>
              <w:rPr>
                <w:rFonts w:asciiTheme="minorHAnsi" w:hAnsiTheme="minorHAnsi" w:cstheme="minorHAnsi"/>
                <w:sz w:val="22"/>
                <w:szCs w:val="22"/>
                <w:lang w:eastAsia="en-AU"/>
              </w:rPr>
            </w:pPr>
          </w:p>
        </w:tc>
      </w:tr>
      <w:tr w:rsidR="004879C9" w:rsidRPr="002C5292" w14:paraId="2474303A"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637E1822"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bottom"/>
            <w:hideMark/>
          </w:tcPr>
          <w:p w14:paraId="7770ACA9" w14:textId="77777777" w:rsidR="0038475A" w:rsidRPr="002C5292" w:rsidRDefault="0038475A" w:rsidP="004879C9">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1</w:t>
            </w:r>
          </w:p>
        </w:tc>
        <w:tc>
          <w:tcPr>
            <w:tcW w:w="1361" w:type="dxa"/>
            <w:tcBorders>
              <w:top w:val="nil"/>
              <w:left w:val="nil"/>
              <w:bottom w:val="single" w:sz="4" w:space="0" w:color="auto"/>
              <w:right w:val="single" w:sz="4" w:space="0" w:color="auto"/>
            </w:tcBorders>
            <w:shd w:val="clear" w:color="auto" w:fill="auto"/>
            <w:noWrap/>
            <w:vAlign w:val="bottom"/>
            <w:hideMark/>
          </w:tcPr>
          <w:p w14:paraId="389CC735" w14:textId="77777777" w:rsidR="0038475A" w:rsidRPr="002C5292" w:rsidRDefault="0038475A" w:rsidP="004879C9">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2</w:t>
            </w:r>
          </w:p>
        </w:tc>
        <w:tc>
          <w:tcPr>
            <w:tcW w:w="236" w:type="dxa"/>
            <w:tcBorders>
              <w:top w:val="nil"/>
              <w:left w:val="nil"/>
              <w:bottom w:val="nil"/>
              <w:right w:val="nil"/>
            </w:tcBorders>
            <w:shd w:val="clear" w:color="auto" w:fill="auto"/>
            <w:noWrap/>
            <w:vAlign w:val="bottom"/>
            <w:hideMark/>
          </w:tcPr>
          <w:p w14:paraId="719300D0" w14:textId="77777777" w:rsidR="0038475A" w:rsidRPr="002C5292" w:rsidRDefault="0038475A" w:rsidP="0038475A">
            <w:pPr>
              <w:rPr>
                <w:rFonts w:asciiTheme="minorHAnsi" w:hAnsiTheme="minorHAnsi" w:cstheme="minorHAnsi"/>
                <w:b/>
                <w:bCs/>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2F930D1F"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376B24EC" w14:textId="77777777" w:rsidR="0038475A" w:rsidRPr="002C5292" w:rsidRDefault="0038475A" w:rsidP="0038475A">
            <w:pPr>
              <w:rPr>
                <w:rFonts w:asciiTheme="minorHAnsi" w:hAnsiTheme="minorHAnsi" w:cstheme="minorHAnsi"/>
                <w:sz w:val="22"/>
                <w:szCs w:val="22"/>
                <w:lang w:eastAsia="en-AU"/>
              </w:rPr>
            </w:pPr>
          </w:p>
        </w:tc>
      </w:tr>
      <w:tr w:rsidR="004879C9" w:rsidRPr="002C5292" w14:paraId="09F33089"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186AE748" w14:textId="77777777" w:rsidR="0038475A" w:rsidRPr="002C5292" w:rsidRDefault="0038475A" w:rsidP="004879C9">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Avoided costs</w:t>
            </w:r>
          </w:p>
        </w:tc>
        <w:tc>
          <w:tcPr>
            <w:tcW w:w="1361" w:type="dxa"/>
            <w:tcBorders>
              <w:top w:val="nil"/>
              <w:left w:val="nil"/>
              <w:bottom w:val="single" w:sz="4" w:space="0" w:color="auto"/>
              <w:right w:val="single" w:sz="4" w:space="0" w:color="auto"/>
            </w:tcBorders>
            <w:shd w:val="clear" w:color="auto" w:fill="auto"/>
            <w:noWrap/>
            <w:vAlign w:val="bottom"/>
            <w:hideMark/>
          </w:tcPr>
          <w:p w14:paraId="58377033"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bottom"/>
            <w:hideMark/>
          </w:tcPr>
          <w:p w14:paraId="61D83376"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236" w:type="dxa"/>
            <w:tcBorders>
              <w:top w:val="nil"/>
              <w:left w:val="nil"/>
              <w:bottom w:val="nil"/>
              <w:right w:val="nil"/>
            </w:tcBorders>
            <w:shd w:val="clear" w:color="auto" w:fill="auto"/>
            <w:noWrap/>
            <w:vAlign w:val="bottom"/>
            <w:hideMark/>
          </w:tcPr>
          <w:p w14:paraId="3E3B1507" w14:textId="77777777" w:rsidR="0038475A" w:rsidRPr="002C5292" w:rsidRDefault="0038475A" w:rsidP="0038475A">
            <w:pPr>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7BA27B3E"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235EE13A" w14:textId="77777777" w:rsidR="0038475A" w:rsidRPr="002C5292" w:rsidRDefault="0038475A" w:rsidP="0038475A">
            <w:pPr>
              <w:rPr>
                <w:rFonts w:asciiTheme="minorHAnsi" w:hAnsiTheme="minorHAnsi" w:cstheme="minorHAnsi"/>
                <w:sz w:val="22"/>
                <w:szCs w:val="22"/>
                <w:lang w:eastAsia="en-AU"/>
              </w:rPr>
            </w:pPr>
          </w:p>
        </w:tc>
      </w:tr>
      <w:tr w:rsidR="004879C9" w:rsidRPr="002C5292" w14:paraId="087B3A84"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5199AFAA"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RISs</w:t>
            </w:r>
          </w:p>
        </w:tc>
        <w:tc>
          <w:tcPr>
            <w:tcW w:w="1361" w:type="dxa"/>
            <w:tcBorders>
              <w:top w:val="nil"/>
              <w:left w:val="nil"/>
              <w:bottom w:val="single" w:sz="4" w:space="0" w:color="auto"/>
              <w:right w:val="single" w:sz="4" w:space="0" w:color="auto"/>
            </w:tcBorders>
            <w:shd w:val="clear" w:color="auto" w:fill="auto"/>
            <w:noWrap/>
            <w:vAlign w:val="center"/>
            <w:hideMark/>
          </w:tcPr>
          <w:p w14:paraId="0FF4F9EE"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$575,000</w:t>
            </w:r>
          </w:p>
        </w:tc>
        <w:tc>
          <w:tcPr>
            <w:tcW w:w="1361" w:type="dxa"/>
            <w:tcBorders>
              <w:top w:val="nil"/>
              <w:left w:val="nil"/>
              <w:bottom w:val="single" w:sz="4" w:space="0" w:color="auto"/>
              <w:right w:val="single" w:sz="4" w:space="0" w:color="auto"/>
            </w:tcBorders>
            <w:shd w:val="clear" w:color="auto" w:fill="auto"/>
            <w:noWrap/>
            <w:vAlign w:val="center"/>
            <w:hideMark/>
          </w:tcPr>
          <w:p w14:paraId="4424EBE3"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$575,000</w:t>
            </w:r>
          </w:p>
        </w:tc>
        <w:tc>
          <w:tcPr>
            <w:tcW w:w="236" w:type="dxa"/>
            <w:tcBorders>
              <w:top w:val="nil"/>
              <w:left w:val="nil"/>
              <w:bottom w:val="nil"/>
              <w:right w:val="nil"/>
            </w:tcBorders>
            <w:shd w:val="clear" w:color="auto" w:fill="auto"/>
            <w:noWrap/>
            <w:vAlign w:val="bottom"/>
            <w:hideMark/>
          </w:tcPr>
          <w:p w14:paraId="577A47CB" w14:textId="77777777" w:rsidR="0038475A" w:rsidRPr="002C5292" w:rsidRDefault="0038475A" w:rsidP="0038475A">
            <w:pPr>
              <w:jc w:val="right"/>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092118E8"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55C52DCF" w14:textId="77777777" w:rsidR="0038475A" w:rsidRPr="002C5292" w:rsidRDefault="0038475A" w:rsidP="0038475A">
            <w:pPr>
              <w:rPr>
                <w:rFonts w:asciiTheme="minorHAnsi" w:hAnsiTheme="minorHAnsi" w:cstheme="minorHAnsi"/>
                <w:sz w:val="22"/>
                <w:szCs w:val="22"/>
                <w:lang w:eastAsia="en-AU"/>
              </w:rPr>
            </w:pPr>
          </w:p>
        </w:tc>
      </w:tr>
      <w:tr w:rsidR="004879C9" w:rsidRPr="002C5292" w14:paraId="6BA0B54B"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7A808509"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exemption certificates (sections 12F, 12G)</w:t>
            </w:r>
          </w:p>
        </w:tc>
        <w:tc>
          <w:tcPr>
            <w:tcW w:w="1361" w:type="dxa"/>
            <w:tcBorders>
              <w:top w:val="nil"/>
              <w:left w:val="nil"/>
              <w:bottom w:val="single" w:sz="4" w:space="0" w:color="auto"/>
              <w:right w:val="single" w:sz="4" w:space="0" w:color="auto"/>
            </w:tcBorders>
            <w:shd w:val="clear" w:color="auto" w:fill="auto"/>
            <w:noWrap/>
            <w:vAlign w:val="center"/>
            <w:hideMark/>
          </w:tcPr>
          <w:p w14:paraId="2F7C951E" w14:textId="498E8D88"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326,896</w:t>
            </w:r>
          </w:p>
        </w:tc>
        <w:tc>
          <w:tcPr>
            <w:tcW w:w="1361" w:type="dxa"/>
            <w:tcBorders>
              <w:top w:val="nil"/>
              <w:left w:val="nil"/>
              <w:bottom w:val="single" w:sz="4" w:space="0" w:color="auto"/>
              <w:right w:val="single" w:sz="4" w:space="0" w:color="auto"/>
            </w:tcBorders>
            <w:shd w:val="clear" w:color="auto" w:fill="auto"/>
            <w:noWrap/>
            <w:vAlign w:val="center"/>
            <w:hideMark/>
          </w:tcPr>
          <w:p w14:paraId="59717AA3" w14:textId="7CD8773D"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320,896</w:t>
            </w:r>
          </w:p>
        </w:tc>
        <w:tc>
          <w:tcPr>
            <w:tcW w:w="236" w:type="dxa"/>
            <w:tcBorders>
              <w:top w:val="nil"/>
              <w:left w:val="nil"/>
              <w:bottom w:val="nil"/>
              <w:right w:val="nil"/>
            </w:tcBorders>
            <w:shd w:val="clear" w:color="auto" w:fill="auto"/>
            <w:noWrap/>
            <w:vAlign w:val="bottom"/>
            <w:hideMark/>
          </w:tcPr>
          <w:p w14:paraId="717A97C7" w14:textId="77777777" w:rsidR="0038475A" w:rsidRPr="002C5292" w:rsidRDefault="0038475A" w:rsidP="0038475A">
            <w:pPr>
              <w:jc w:val="right"/>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071DA1F6"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16DB06CD" w14:textId="77777777" w:rsidR="0038475A" w:rsidRPr="002C5292" w:rsidRDefault="0038475A" w:rsidP="0038475A">
            <w:pPr>
              <w:rPr>
                <w:rFonts w:asciiTheme="minorHAnsi" w:hAnsiTheme="minorHAnsi" w:cstheme="minorHAnsi"/>
                <w:sz w:val="22"/>
                <w:szCs w:val="22"/>
                <w:lang w:eastAsia="en-AU"/>
              </w:rPr>
            </w:pPr>
          </w:p>
        </w:tc>
      </w:tr>
      <w:tr w:rsidR="004879C9" w:rsidRPr="002C5292" w14:paraId="6FDE9B2D"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0F5801C0"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center"/>
            <w:hideMark/>
          </w:tcPr>
          <w:p w14:paraId="3E47CDD6"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center"/>
            <w:hideMark/>
          </w:tcPr>
          <w:p w14:paraId="63B04F3A"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236" w:type="dxa"/>
            <w:tcBorders>
              <w:top w:val="nil"/>
              <w:left w:val="nil"/>
              <w:bottom w:val="nil"/>
              <w:right w:val="nil"/>
            </w:tcBorders>
            <w:shd w:val="clear" w:color="auto" w:fill="auto"/>
            <w:noWrap/>
            <w:vAlign w:val="bottom"/>
            <w:hideMark/>
          </w:tcPr>
          <w:p w14:paraId="7DDC3EA8" w14:textId="77777777" w:rsidR="0038475A" w:rsidRPr="002C5292" w:rsidRDefault="0038475A" w:rsidP="0038475A">
            <w:pPr>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055CA407"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4E0D50B9" w14:textId="77777777" w:rsidR="0038475A" w:rsidRPr="002C5292" w:rsidRDefault="0038475A" w:rsidP="0038475A">
            <w:pPr>
              <w:rPr>
                <w:rFonts w:asciiTheme="minorHAnsi" w:hAnsiTheme="minorHAnsi" w:cstheme="minorHAnsi"/>
                <w:sz w:val="22"/>
                <w:szCs w:val="22"/>
                <w:lang w:eastAsia="en-AU"/>
              </w:rPr>
            </w:pPr>
          </w:p>
        </w:tc>
      </w:tr>
      <w:tr w:rsidR="004879C9" w:rsidRPr="002C5292" w14:paraId="2C7C975F"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49F4029C" w14:textId="77777777" w:rsidR="0038475A" w:rsidRPr="002C5292" w:rsidRDefault="0038475A" w:rsidP="004879C9">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Additional costs</w:t>
            </w:r>
          </w:p>
        </w:tc>
        <w:tc>
          <w:tcPr>
            <w:tcW w:w="1361" w:type="dxa"/>
            <w:tcBorders>
              <w:top w:val="nil"/>
              <w:left w:val="nil"/>
              <w:bottom w:val="single" w:sz="4" w:space="0" w:color="auto"/>
              <w:right w:val="single" w:sz="4" w:space="0" w:color="auto"/>
            </w:tcBorders>
            <w:shd w:val="clear" w:color="auto" w:fill="auto"/>
            <w:noWrap/>
            <w:vAlign w:val="center"/>
            <w:hideMark/>
          </w:tcPr>
          <w:p w14:paraId="3114FEDA"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center"/>
            <w:hideMark/>
          </w:tcPr>
          <w:p w14:paraId="0D81C56B"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236" w:type="dxa"/>
            <w:tcBorders>
              <w:top w:val="nil"/>
              <w:left w:val="nil"/>
              <w:bottom w:val="nil"/>
              <w:right w:val="nil"/>
            </w:tcBorders>
            <w:shd w:val="clear" w:color="auto" w:fill="auto"/>
            <w:noWrap/>
            <w:vAlign w:val="bottom"/>
            <w:hideMark/>
          </w:tcPr>
          <w:p w14:paraId="467F53A4" w14:textId="77777777" w:rsidR="0038475A" w:rsidRPr="002C5292" w:rsidRDefault="0038475A" w:rsidP="0038475A">
            <w:pPr>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1DB89625"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4D64BB91" w14:textId="77777777" w:rsidR="0038475A" w:rsidRPr="002C5292" w:rsidRDefault="0038475A" w:rsidP="0038475A">
            <w:pPr>
              <w:rPr>
                <w:rFonts w:asciiTheme="minorHAnsi" w:hAnsiTheme="minorHAnsi" w:cstheme="minorHAnsi"/>
                <w:sz w:val="22"/>
                <w:szCs w:val="22"/>
                <w:lang w:eastAsia="en-AU"/>
              </w:rPr>
            </w:pPr>
          </w:p>
        </w:tc>
      </w:tr>
      <w:tr w:rsidR="004879C9" w:rsidRPr="002C5292" w14:paraId="05F993BB"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42C7EE5B"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Cost of preparing and updating the regulations</w:t>
            </w:r>
          </w:p>
        </w:tc>
        <w:tc>
          <w:tcPr>
            <w:tcW w:w="1361" w:type="dxa"/>
            <w:tcBorders>
              <w:top w:val="nil"/>
              <w:left w:val="nil"/>
              <w:bottom w:val="single" w:sz="4" w:space="0" w:color="auto"/>
              <w:right w:val="single" w:sz="4" w:space="0" w:color="auto"/>
            </w:tcBorders>
            <w:shd w:val="clear" w:color="auto" w:fill="auto"/>
            <w:noWrap/>
            <w:vAlign w:val="center"/>
            <w:hideMark/>
          </w:tcPr>
          <w:p w14:paraId="0B0FE08B" w14:textId="17636163"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w:t>
            </w:r>
            <w:r w:rsidR="00917268" w:rsidRPr="002C5292">
              <w:rPr>
                <w:rFonts w:asciiTheme="minorHAnsi" w:hAnsiTheme="minorHAnsi" w:cstheme="minorHAnsi"/>
                <w:color w:val="000000"/>
                <w:sz w:val="22"/>
                <w:szCs w:val="22"/>
                <w:lang w:eastAsia="en-AU"/>
              </w:rPr>
              <w:t>5,080</w:t>
            </w:r>
          </w:p>
        </w:tc>
        <w:tc>
          <w:tcPr>
            <w:tcW w:w="1361" w:type="dxa"/>
            <w:tcBorders>
              <w:top w:val="nil"/>
              <w:left w:val="nil"/>
              <w:bottom w:val="single" w:sz="4" w:space="0" w:color="auto"/>
              <w:right w:val="single" w:sz="4" w:space="0" w:color="auto"/>
            </w:tcBorders>
            <w:shd w:val="clear" w:color="auto" w:fill="auto"/>
            <w:noWrap/>
            <w:vAlign w:val="center"/>
            <w:hideMark/>
          </w:tcPr>
          <w:p w14:paraId="7B25F2E8" w14:textId="5A9BE11D"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w:t>
            </w:r>
            <w:r w:rsidR="00917268" w:rsidRPr="002C5292">
              <w:rPr>
                <w:rFonts w:asciiTheme="minorHAnsi" w:hAnsiTheme="minorHAnsi" w:cstheme="minorHAnsi"/>
                <w:color w:val="000000"/>
                <w:sz w:val="22"/>
                <w:szCs w:val="22"/>
                <w:lang w:eastAsia="en-AU"/>
              </w:rPr>
              <w:t>5,080</w:t>
            </w:r>
          </w:p>
        </w:tc>
        <w:tc>
          <w:tcPr>
            <w:tcW w:w="236" w:type="dxa"/>
            <w:tcBorders>
              <w:top w:val="nil"/>
              <w:left w:val="nil"/>
              <w:bottom w:val="nil"/>
              <w:right w:val="nil"/>
            </w:tcBorders>
            <w:shd w:val="clear" w:color="auto" w:fill="auto"/>
            <w:noWrap/>
            <w:vAlign w:val="bottom"/>
            <w:hideMark/>
          </w:tcPr>
          <w:p w14:paraId="79E4BA3E" w14:textId="77777777" w:rsidR="0038475A" w:rsidRPr="002C5292" w:rsidRDefault="0038475A" w:rsidP="0038475A">
            <w:pPr>
              <w:jc w:val="right"/>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56C9E86A"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1AE60925" w14:textId="77777777" w:rsidR="0038475A" w:rsidRPr="002C5292" w:rsidRDefault="0038475A" w:rsidP="0038475A">
            <w:pPr>
              <w:rPr>
                <w:rFonts w:asciiTheme="minorHAnsi" w:hAnsiTheme="minorHAnsi" w:cstheme="minorHAnsi"/>
                <w:sz w:val="22"/>
                <w:szCs w:val="22"/>
                <w:lang w:eastAsia="en-AU"/>
              </w:rPr>
            </w:pPr>
          </w:p>
        </w:tc>
      </w:tr>
      <w:tr w:rsidR="004879C9" w:rsidRPr="002C5292" w14:paraId="4D890B75"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52A524C1" w14:textId="77777777" w:rsidR="0038475A" w:rsidRPr="002C5292" w:rsidRDefault="0038475A" w:rsidP="004879C9">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center"/>
            <w:hideMark/>
          </w:tcPr>
          <w:p w14:paraId="247FE651"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1" w:type="dxa"/>
            <w:tcBorders>
              <w:top w:val="nil"/>
              <w:left w:val="nil"/>
              <w:bottom w:val="single" w:sz="4" w:space="0" w:color="auto"/>
              <w:right w:val="single" w:sz="4" w:space="0" w:color="auto"/>
            </w:tcBorders>
            <w:shd w:val="clear" w:color="auto" w:fill="auto"/>
            <w:noWrap/>
            <w:vAlign w:val="center"/>
            <w:hideMark/>
          </w:tcPr>
          <w:p w14:paraId="59B381F9" w14:textId="77777777"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236" w:type="dxa"/>
            <w:tcBorders>
              <w:top w:val="nil"/>
              <w:left w:val="nil"/>
              <w:bottom w:val="nil"/>
              <w:right w:val="nil"/>
            </w:tcBorders>
            <w:shd w:val="clear" w:color="auto" w:fill="auto"/>
            <w:noWrap/>
            <w:vAlign w:val="bottom"/>
            <w:hideMark/>
          </w:tcPr>
          <w:p w14:paraId="568E1169" w14:textId="77777777" w:rsidR="0038475A" w:rsidRPr="002C5292" w:rsidRDefault="0038475A" w:rsidP="0038475A">
            <w:pPr>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233ECED3"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3B913AC9" w14:textId="77777777" w:rsidR="0038475A" w:rsidRPr="002C5292" w:rsidRDefault="0038475A" w:rsidP="0038475A">
            <w:pPr>
              <w:rPr>
                <w:rFonts w:asciiTheme="minorHAnsi" w:hAnsiTheme="minorHAnsi" w:cstheme="minorHAnsi"/>
                <w:sz w:val="22"/>
                <w:szCs w:val="22"/>
                <w:lang w:eastAsia="en-AU"/>
              </w:rPr>
            </w:pPr>
          </w:p>
        </w:tc>
      </w:tr>
      <w:tr w:rsidR="004879C9" w:rsidRPr="002C5292" w14:paraId="03055CD7" w14:textId="77777777" w:rsidTr="004879C9">
        <w:trPr>
          <w:gridAfter w:val="5"/>
          <w:wAfter w:w="1377" w:type="dxa"/>
          <w:trHeight w:val="285"/>
        </w:trPr>
        <w:tc>
          <w:tcPr>
            <w:tcW w:w="7054" w:type="dxa"/>
            <w:tcBorders>
              <w:top w:val="nil"/>
              <w:left w:val="single" w:sz="4" w:space="0" w:color="auto"/>
              <w:bottom w:val="single" w:sz="4" w:space="0" w:color="auto"/>
              <w:right w:val="single" w:sz="4" w:space="0" w:color="auto"/>
            </w:tcBorders>
            <w:shd w:val="clear" w:color="auto" w:fill="auto"/>
            <w:noWrap/>
            <w:vAlign w:val="center"/>
            <w:hideMark/>
          </w:tcPr>
          <w:p w14:paraId="1D896A90" w14:textId="77777777" w:rsidR="0038475A" w:rsidRPr="002C5292" w:rsidRDefault="0038475A" w:rsidP="004879C9">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Net avoided costs</w:t>
            </w:r>
          </w:p>
        </w:tc>
        <w:tc>
          <w:tcPr>
            <w:tcW w:w="1361" w:type="dxa"/>
            <w:tcBorders>
              <w:top w:val="nil"/>
              <w:left w:val="nil"/>
              <w:bottom w:val="single" w:sz="4" w:space="0" w:color="auto"/>
              <w:right w:val="single" w:sz="4" w:space="0" w:color="auto"/>
            </w:tcBorders>
            <w:shd w:val="clear" w:color="auto" w:fill="auto"/>
            <w:noWrap/>
            <w:vAlign w:val="center"/>
            <w:hideMark/>
          </w:tcPr>
          <w:p w14:paraId="3BC9CEBC" w14:textId="291800AF"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796,816</w:t>
            </w:r>
          </w:p>
        </w:tc>
        <w:tc>
          <w:tcPr>
            <w:tcW w:w="1361" w:type="dxa"/>
            <w:tcBorders>
              <w:top w:val="nil"/>
              <w:left w:val="nil"/>
              <w:bottom w:val="single" w:sz="4" w:space="0" w:color="auto"/>
              <w:right w:val="single" w:sz="4" w:space="0" w:color="auto"/>
            </w:tcBorders>
            <w:shd w:val="clear" w:color="auto" w:fill="auto"/>
            <w:noWrap/>
            <w:vAlign w:val="center"/>
            <w:hideMark/>
          </w:tcPr>
          <w:p w14:paraId="480CD385" w14:textId="18DF09AD" w:rsidR="0038475A" w:rsidRPr="002C5292" w:rsidRDefault="0038475A" w:rsidP="004879C9">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790,816</w:t>
            </w:r>
          </w:p>
        </w:tc>
        <w:tc>
          <w:tcPr>
            <w:tcW w:w="236" w:type="dxa"/>
            <w:tcBorders>
              <w:top w:val="nil"/>
              <w:left w:val="nil"/>
              <w:bottom w:val="nil"/>
              <w:right w:val="nil"/>
            </w:tcBorders>
            <w:shd w:val="clear" w:color="auto" w:fill="auto"/>
            <w:noWrap/>
            <w:vAlign w:val="bottom"/>
            <w:hideMark/>
          </w:tcPr>
          <w:p w14:paraId="2F1B6B43" w14:textId="77777777" w:rsidR="0038475A" w:rsidRPr="002C5292" w:rsidRDefault="0038475A" w:rsidP="0038475A">
            <w:pPr>
              <w:jc w:val="right"/>
              <w:rPr>
                <w:rFonts w:asciiTheme="minorHAnsi" w:hAnsiTheme="minorHAnsi" w:cstheme="minorHAnsi"/>
                <w:color w:val="000000"/>
                <w:sz w:val="22"/>
                <w:szCs w:val="22"/>
                <w:lang w:eastAsia="en-AU"/>
              </w:rPr>
            </w:pPr>
          </w:p>
        </w:tc>
        <w:tc>
          <w:tcPr>
            <w:tcW w:w="236" w:type="dxa"/>
            <w:tcBorders>
              <w:top w:val="nil"/>
              <w:left w:val="nil"/>
              <w:bottom w:val="nil"/>
              <w:right w:val="nil"/>
            </w:tcBorders>
            <w:shd w:val="clear" w:color="auto" w:fill="auto"/>
            <w:noWrap/>
            <w:vAlign w:val="bottom"/>
            <w:hideMark/>
          </w:tcPr>
          <w:p w14:paraId="49EEA9EE" w14:textId="77777777" w:rsidR="0038475A" w:rsidRPr="002C5292" w:rsidRDefault="0038475A" w:rsidP="0038475A">
            <w:pPr>
              <w:rPr>
                <w:rFonts w:asciiTheme="minorHAnsi" w:hAnsiTheme="minorHAnsi" w:cstheme="minorHAnsi"/>
                <w:sz w:val="22"/>
                <w:szCs w:val="22"/>
                <w:lang w:eastAsia="en-AU"/>
              </w:rPr>
            </w:pPr>
          </w:p>
        </w:tc>
        <w:tc>
          <w:tcPr>
            <w:tcW w:w="236" w:type="dxa"/>
            <w:tcBorders>
              <w:top w:val="nil"/>
              <w:left w:val="nil"/>
              <w:bottom w:val="nil"/>
              <w:right w:val="nil"/>
            </w:tcBorders>
            <w:shd w:val="clear" w:color="auto" w:fill="auto"/>
            <w:noWrap/>
            <w:vAlign w:val="bottom"/>
            <w:hideMark/>
          </w:tcPr>
          <w:p w14:paraId="63F9D8F7" w14:textId="77777777" w:rsidR="0038475A" w:rsidRPr="002C5292" w:rsidRDefault="0038475A" w:rsidP="0038475A">
            <w:pPr>
              <w:rPr>
                <w:rFonts w:asciiTheme="minorHAnsi" w:hAnsiTheme="minorHAnsi" w:cstheme="minorHAnsi"/>
                <w:sz w:val="22"/>
                <w:szCs w:val="22"/>
                <w:lang w:eastAsia="en-AU"/>
              </w:rPr>
            </w:pPr>
          </w:p>
        </w:tc>
      </w:tr>
      <w:bookmarkEnd w:id="73"/>
    </w:tbl>
    <w:p w14:paraId="14ABD01B" w14:textId="03EB063F" w:rsidR="003B2B57" w:rsidRPr="002C5292" w:rsidRDefault="003B2B57"/>
    <w:tbl>
      <w:tblPr>
        <w:tblW w:w="10314" w:type="dxa"/>
        <w:tblLayout w:type="fixed"/>
        <w:tblLook w:val="04A0" w:firstRow="1" w:lastRow="0" w:firstColumn="1" w:lastColumn="0" w:noHBand="0" w:noVBand="1"/>
      </w:tblPr>
      <w:tblGrid>
        <w:gridCol w:w="3794"/>
        <w:gridCol w:w="1321"/>
        <w:gridCol w:w="1230"/>
        <w:gridCol w:w="1366"/>
        <w:gridCol w:w="1469"/>
        <w:gridCol w:w="1134"/>
      </w:tblGrid>
      <w:tr w:rsidR="00BF6E68" w:rsidRPr="002C5292" w14:paraId="543EC385" w14:textId="77777777" w:rsidTr="00A27CE6">
        <w:trPr>
          <w:trHeight w:val="285"/>
        </w:trPr>
        <w:tc>
          <w:tcPr>
            <w:tcW w:w="3794" w:type="dxa"/>
            <w:tcBorders>
              <w:top w:val="nil"/>
              <w:left w:val="nil"/>
              <w:bottom w:val="nil"/>
              <w:right w:val="nil"/>
            </w:tcBorders>
            <w:shd w:val="clear" w:color="auto" w:fill="auto"/>
            <w:noWrap/>
            <w:vAlign w:val="bottom"/>
            <w:hideMark/>
          </w:tcPr>
          <w:p w14:paraId="7FC7672A" w14:textId="49B083D2" w:rsidR="0038475A" w:rsidRPr="002C5292" w:rsidRDefault="00821E6B" w:rsidP="0038475A">
            <w:pPr>
              <w:rPr>
                <w:rFonts w:ascii="Times New Roman" w:hAnsi="Times New Roman"/>
                <w:lang w:eastAsia="en-AU"/>
              </w:rPr>
            </w:pPr>
            <w:r w:rsidRPr="002C5292">
              <w:rPr>
                <w:rFonts w:asciiTheme="majorHAnsi" w:eastAsia="MS Gothic" w:hAnsiTheme="majorHAnsi"/>
                <w:b/>
                <w:bCs/>
                <w:color w:val="53565A"/>
              </w:rPr>
              <w:t>Table 7B</w:t>
            </w:r>
          </w:p>
        </w:tc>
        <w:tc>
          <w:tcPr>
            <w:tcW w:w="1321" w:type="dxa"/>
            <w:tcBorders>
              <w:top w:val="nil"/>
              <w:left w:val="nil"/>
              <w:bottom w:val="nil"/>
              <w:right w:val="nil"/>
            </w:tcBorders>
            <w:shd w:val="clear" w:color="auto" w:fill="auto"/>
            <w:noWrap/>
            <w:vAlign w:val="bottom"/>
            <w:hideMark/>
          </w:tcPr>
          <w:p w14:paraId="1FCDA5E8" w14:textId="77777777" w:rsidR="0038475A" w:rsidRPr="002C5292" w:rsidRDefault="0038475A" w:rsidP="0038475A">
            <w:pPr>
              <w:rPr>
                <w:rFonts w:ascii="Times New Roman" w:hAnsi="Times New Roman"/>
                <w:lang w:eastAsia="en-AU"/>
              </w:rPr>
            </w:pPr>
          </w:p>
        </w:tc>
        <w:tc>
          <w:tcPr>
            <w:tcW w:w="1230" w:type="dxa"/>
            <w:tcBorders>
              <w:top w:val="nil"/>
              <w:left w:val="nil"/>
              <w:bottom w:val="nil"/>
              <w:right w:val="nil"/>
            </w:tcBorders>
            <w:shd w:val="clear" w:color="auto" w:fill="auto"/>
            <w:noWrap/>
            <w:vAlign w:val="bottom"/>
            <w:hideMark/>
          </w:tcPr>
          <w:p w14:paraId="2F627233" w14:textId="77777777" w:rsidR="0038475A" w:rsidRPr="002C5292" w:rsidRDefault="0038475A" w:rsidP="0038475A">
            <w:pPr>
              <w:rPr>
                <w:rFonts w:ascii="Times New Roman" w:hAnsi="Times New Roman"/>
                <w:lang w:eastAsia="en-AU"/>
              </w:rPr>
            </w:pPr>
          </w:p>
        </w:tc>
        <w:tc>
          <w:tcPr>
            <w:tcW w:w="1366" w:type="dxa"/>
            <w:tcBorders>
              <w:top w:val="nil"/>
              <w:left w:val="nil"/>
              <w:bottom w:val="nil"/>
              <w:right w:val="nil"/>
            </w:tcBorders>
            <w:shd w:val="clear" w:color="auto" w:fill="auto"/>
            <w:noWrap/>
            <w:vAlign w:val="bottom"/>
            <w:hideMark/>
          </w:tcPr>
          <w:p w14:paraId="6EC3DBDA" w14:textId="77777777" w:rsidR="0038475A" w:rsidRPr="002C5292" w:rsidRDefault="0038475A" w:rsidP="0038475A">
            <w:pPr>
              <w:rPr>
                <w:rFonts w:ascii="Times New Roman" w:hAnsi="Times New Roman"/>
                <w:lang w:eastAsia="en-AU"/>
              </w:rPr>
            </w:pPr>
          </w:p>
        </w:tc>
        <w:tc>
          <w:tcPr>
            <w:tcW w:w="1469" w:type="dxa"/>
            <w:tcBorders>
              <w:top w:val="nil"/>
              <w:left w:val="nil"/>
              <w:bottom w:val="nil"/>
              <w:right w:val="nil"/>
            </w:tcBorders>
            <w:shd w:val="clear" w:color="auto" w:fill="auto"/>
            <w:noWrap/>
            <w:vAlign w:val="bottom"/>
            <w:hideMark/>
          </w:tcPr>
          <w:p w14:paraId="6AD6256A" w14:textId="77777777" w:rsidR="0038475A" w:rsidRPr="002C5292" w:rsidRDefault="0038475A" w:rsidP="0038475A">
            <w:pPr>
              <w:rPr>
                <w:rFonts w:ascii="Times New Roman" w:hAnsi="Times New Roman"/>
                <w:lang w:eastAsia="en-AU"/>
              </w:rPr>
            </w:pPr>
          </w:p>
        </w:tc>
        <w:tc>
          <w:tcPr>
            <w:tcW w:w="1134" w:type="dxa"/>
            <w:tcBorders>
              <w:top w:val="nil"/>
              <w:left w:val="nil"/>
              <w:bottom w:val="nil"/>
              <w:right w:val="nil"/>
            </w:tcBorders>
            <w:shd w:val="clear" w:color="auto" w:fill="auto"/>
            <w:noWrap/>
            <w:vAlign w:val="bottom"/>
            <w:hideMark/>
          </w:tcPr>
          <w:p w14:paraId="34665104" w14:textId="77777777" w:rsidR="0038475A" w:rsidRPr="002C5292" w:rsidRDefault="0038475A" w:rsidP="0038475A">
            <w:pPr>
              <w:rPr>
                <w:rFonts w:ascii="Times New Roman" w:hAnsi="Times New Roman"/>
                <w:lang w:eastAsia="en-AU"/>
              </w:rPr>
            </w:pPr>
          </w:p>
        </w:tc>
      </w:tr>
      <w:tr w:rsidR="00BF6E68" w:rsidRPr="002C5292" w14:paraId="3B5215E7" w14:textId="77777777" w:rsidTr="00A27CE6">
        <w:trPr>
          <w:trHeight w:val="285"/>
        </w:trPr>
        <w:tc>
          <w:tcPr>
            <w:tcW w:w="3794" w:type="dxa"/>
            <w:tcBorders>
              <w:top w:val="single" w:sz="4" w:space="0" w:color="auto"/>
              <w:left w:val="single" w:sz="4" w:space="0" w:color="auto"/>
              <w:bottom w:val="single" w:sz="4" w:space="0" w:color="auto"/>
              <w:right w:val="single" w:sz="4" w:space="0" w:color="auto"/>
            </w:tcBorders>
            <w:shd w:val="clear" w:color="auto" w:fill="auto"/>
            <w:noWrap/>
            <w:hideMark/>
          </w:tcPr>
          <w:p w14:paraId="06DFA095" w14:textId="77777777" w:rsidR="0038475A" w:rsidRPr="002C5292" w:rsidRDefault="0038475A" w:rsidP="00A24E2E">
            <w:pPr>
              <w:rPr>
                <w:rFonts w:asciiTheme="minorHAnsi" w:hAnsiTheme="minorHAnsi" w:cstheme="minorHAnsi"/>
                <w:b/>
                <w:bCs/>
                <w:color w:val="000000"/>
                <w:sz w:val="22"/>
                <w:szCs w:val="22"/>
                <w:u w:val="single"/>
                <w:lang w:eastAsia="en-AU"/>
              </w:rPr>
            </w:pPr>
            <w:r w:rsidRPr="002C5292">
              <w:rPr>
                <w:rFonts w:asciiTheme="minorHAnsi" w:hAnsiTheme="minorHAnsi" w:cstheme="minorHAnsi"/>
                <w:b/>
                <w:bCs/>
                <w:color w:val="000000"/>
                <w:sz w:val="22"/>
                <w:szCs w:val="22"/>
                <w:u w:val="single"/>
                <w:lang w:eastAsia="en-AU"/>
              </w:rPr>
              <w:t>Annual use of Government resources - Option 1</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4C2030BF"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09FAE735"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79848B3B"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6CDE525D"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0AA469"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BF6E68" w:rsidRPr="002C5292" w14:paraId="58395BAF"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571F1CE1"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bottom"/>
            <w:hideMark/>
          </w:tcPr>
          <w:p w14:paraId="5FA3B509"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Agencies</w:t>
            </w:r>
          </w:p>
        </w:tc>
        <w:tc>
          <w:tcPr>
            <w:tcW w:w="1230" w:type="dxa"/>
            <w:tcBorders>
              <w:top w:val="nil"/>
              <w:left w:val="nil"/>
              <w:bottom w:val="single" w:sz="4" w:space="0" w:color="auto"/>
              <w:right w:val="single" w:sz="4" w:space="0" w:color="auto"/>
            </w:tcBorders>
            <w:shd w:val="clear" w:color="auto" w:fill="auto"/>
            <w:noWrap/>
            <w:vAlign w:val="bottom"/>
            <w:hideMark/>
          </w:tcPr>
          <w:p w14:paraId="2664F72F"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DPC</w:t>
            </w:r>
          </w:p>
        </w:tc>
        <w:tc>
          <w:tcPr>
            <w:tcW w:w="1366" w:type="dxa"/>
            <w:tcBorders>
              <w:top w:val="nil"/>
              <w:left w:val="nil"/>
              <w:bottom w:val="single" w:sz="4" w:space="0" w:color="auto"/>
              <w:right w:val="single" w:sz="4" w:space="0" w:color="auto"/>
            </w:tcBorders>
            <w:shd w:val="clear" w:color="auto" w:fill="auto"/>
            <w:noWrap/>
            <w:vAlign w:val="bottom"/>
            <w:hideMark/>
          </w:tcPr>
          <w:p w14:paraId="0A6B828C"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BRV</w:t>
            </w:r>
          </w:p>
        </w:tc>
        <w:tc>
          <w:tcPr>
            <w:tcW w:w="1469" w:type="dxa"/>
            <w:tcBorders>
              <w:top w:val="nil"/>
              <w:left w:val="nil"/>
              <w:bottom w:val="single" w:sz="4" w:space="0" w:color="auto"/>
              <w:right w:val="single" w:sz="4" w:space="0" w:color="auto"/>
            </w:tcBorders>
            <w:shd w:val="clear" w:color="auto" w:fill="auto"/>
            <w:noWrap/>
            <w:vAlign w:val="bottom"/>
            <w:hideMark/>
          </w:tcPr>
          <w:p w14:paraId="597BD860"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Parliament</w:t>
            </w:r>
          </w:p>
        </w:tc>
        <w:tc>
          <w:tcPr>
            <w:tcW w:w="1134" w:type="dxa"/>
            <w:tcBorders>
              <w:top w:val="nil"/>
              <w:left w:val="nil"/>
              <w:bottom w:val="single" w:sz="4" w:space="0" w:color="auto"/>
              <w:right w:val="single" w:sz="4" w:space="0" w:color="auto"/>
            </w:tcBorders>
            <w:shd w:val="clear" w:color="auto" w:fill="auto"/>
            <w:noWrap/>
            <w:vAlign w:val="bottom"/>
            <w:hideMark/>
          </w:tcPr>
          <w:p w14:paraId="7F28B875"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Total</w:t>
            </w:r>
          </w:p>
        </w:tc>
      </w:tr>
      <w:tr w:rsidR="00BF6E68" w:rsidRPr="002C5292" w14:paraId="7DE2B567"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2B7F3A18" w14:textId="77777777" w:rsidR="0038475A" w:rsidRPr="002C5292" w:rsidRDefault="0038475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Avoided costs</w:t>
            </w:r>
          </w:p>
        </w:tc>
        <w:tc>
          <w:tcPr>
            <w:tcW w:w="1321" w:type="dxa"/>
            <w:tcBorders>
              <w:top w:val="nil"/>
              <w:left w:val="nil"/>
              <w:bottom w:val="single" w:sz="4" w:space="0" w:color="auto"/>
              <w:right w:val="single" w:sz="4" w:space="0" w:color="auto"/>
            </w:tcBorders>
            <w:shd w:val="clear" w:color="auto" w:fill="auto"/>
            <w:noWrap/>
            <w:vAlign w:val="center"/>
            <w:hideMark/>
          </w:tcPr>
          <w:p w14:paraId="4AE46550" w14:textId="6AF05659" w:rsidR="0038475A" w:rsidRPr="002C5292" w:rsidRDefault="0038475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370F898D" w14:textId="212D93F0" w:rsidR="0038475A" w:rsidRPr="002C5292" w:rsidRDefault="0038475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6A1CB7BE" w14:textId="6C911E8C" w:rsidR="0038475A" w:rsidRPr="002C5292" w:rsidRDefault="0038475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6AC1E5D6" w14:textId="164DE230" w:rsidR="0038475A" w:rsidRPr="002C5292" w:rsidRDefault="0038475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2B9B3F93" w14:textId="44EB12B2" w:rsidR="0038475A" w:rsidRPr="002C5292" w:rsidRDefault="0038475A" w:rsidP="00A24E2E">
            <w:pPr>
              <w:jc w:val="center"/>
              <w:rPr>
                <w:rFonts w:asciiTheme="minorHAnsi" w:hAnsiTheme="minorHAnsi" w:cstheme="minorHAnsi"/>
                <w:color w:val="000000"/>
                <w:sz w:val="22"/>
                <w:szCs w:val="22"/>
                <w:lang w:eastAsia="en-AU"/>
              </w:rPr>
            </w:pPr>
          </w:p>
        </w:tc>
      </w:tr>
      <w:tr w:rsidR="00BF6E68" w:rsidRPr="002C5292" w14:paraId="30EC911B"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7D5629CC"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RISs</w:t>
            </w:r>
          </w:p>
        </w:tc>
        <w:tc>
          <w:tcPr>
            <w:tcW w:w="1321" w:type="dxa"/>
            <w:tcBorders>
              <w:top w:val="nil"/>
              <w:left w:val="nil"/>
              <w:bottom w:val="single" w:sz="4" w:space="0" w:color="auto"/>
              <w:right w:val="single" w:sz="4" w:space="0" w:color="auto"/>
            </w:tcBorders>
            <w:shd w:val="clear" w:color="auto" w:fill="auto"/>
            <w:noWrap/>
            <w:vAlign w:val="center"/>
            <w:hideMark/>
          </w:tcPr>
          <w:p w14:paraId="6D8E8133"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$500,000</w:t>
            </w:r>
          </w:p>
        </w:tc>
        <w:tc>
          <w:tcPr>
            <w:tcW w:w="1230" w:type="dxa"/>
            <w:tcBorders>
              <w:top w:val="nil"/>
              <w:left w:val="nil"/>
              <w:bottom w:val="single" w:sz="4" w:space="0" w:color="auto"/>
              <w:right w:val="single" w:sz="4" w:space="0" w:color="auto"/>
            </w:tcBorders>
            <w:shd w:val="clear" w:color="000000" w:fill="D9D9D9"/>
            <w:noWrap/>
            <w:vAlign w:val="center"/>
            <w:hideMark/>
          </w:tcPr>
          <w:p w14:paraId="0EFF78BE"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N/A</w:t>
            </w:r>
          </w:p>
        </w:tc>
        <w:tc>
          <w:tcPr>
            <w:tcW w:w="1366" w:type="dxa"/>
            <w:tcBorders>
              <w:top w:val="nil"/>
              <w:left w:val="nil"/>
              <w:bottom w:val="single" w:sz="4" w:space="0" w:color="auto"/>
              <w:right w:val="single" w:sz="4" w:space="0" w:color="auto"/>
            </w:tcBorders>
            <w:shd w:val="clear" w:color="auto" w:fill="auto"/>
            <w:noWrap/>
            <w:vAlign w:val="center"/>
            <w:hideMark/>
          </w:tcPr>
          <w:p w14:paraId="79C7C432"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$75,000</w:t>
            </w:r>
          </w:p>
        </w:tc>
        <w:tc>
          <w:tcPr>
            <w:tcW w:w="1469" w:type="dxa"/>
            <w:tcBorders>
              <w:top w:val="nil"/>
              <w:left w:val="nil"/>
              <w:bottom w:val="single" w:sz="4" w:space="0" w:color="auto"/>
              <w:right w:val="single" w:sz="4" w:space="0" w:color="auto"/>
            </w:tcBorders>
            <w:shd w:val="clear" w:color="000000" w:fill="D9D9D9"/>
            <w:noWrap/>
            <w:vAlign w:val="center"/>
            <w:hideMark/>
          </w:tcPr>
          <w:p w14:paraId="7FBEB4B0"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5226ADF6"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$575,000</w:t>
            </w:r>
          </w:p>
        </w:tc>
      </w:tr>
      <w:tr w:rsidR="00BF6E68" w:rsidRPr="002C5292" w14:paraId="00B54F34"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7E87915F"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exemption certificates (sections 12F, 12G)</w:t>
            </w:r>
          </w:p>
        </w:tc>
        <w:tc>
          <w:tcPr>
            <w:tcW w:w="1321" w:type="dxa"/>
            <w:tcBorders>
              <w:top w:val="nil"/>
              <w:left w:val="nil"/>
              <w:bottom w:val="single" w:sz="4" w:space="0" w:color="auto"/>
              <w:right w:val="single" w:sz="4" w:space="0" w:color="auto"/>
            </w:tcBorders>
            <w:shd w:val="clear" w:color="auto" w:fill="auto"/>
            <w:noWrap/>
            <w:vAlign w:val="center"/>
            <w:hideMark/>
          </w:tcPr>
          <w:p w14:paraId="31E0DE2D"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$177,000</w:t>
            </w:r>
          </w:p>
        </w:tc>
        <w:tc>
          <w:tcPr>
            <w:tcW w:w="1230" w:type="dxa"/>
            <w:tcBorders>
              <w:top w:val="nil"/>
              <w:left w:val="nil"/>
              <w:bottom w:val="single" w:sz="4" w:space="0" w:color="auto"/>
              <w:right w:val="single" w:sz="4" w:space="0" w:color="auto"/>
            </w:tcBorders>
            <w:shd w:val="clear" w:color="auto" w:fill="auto"/>
            <w:noWrap/>
            <w:vAlign w:val="center"/>
            <w:hideMark/>
          </w:tcPr>
          <w:p w14:paraId="1AB83725" w14:textId="0164B860" w:rsidR="0038475A" w:rsidRPr="002C5292" w:rsidRDefault="00A24E2E" w:rsidP="00A24E2E">
            <w:pPr>
              <w:ind w:right="23"/>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149,896</w:t>
            </w:r>
          </w:p>
        </w:tc>
        <w:tc>
          <w:tcPr>
            <w:tcW w:w="1366" w:type="dxa"/>
            <w:tcBorders>
              <w:top w:val="nil"/>
              <w:left w:val="nil"/>
              <w:bottom w:val="single" w:sz="4" w:space="0" w:color="auto"/>
              <w:right w:val="single" w:sz="4" w:space="0" w:color="auto"/>
            </w:tcBorders>
            <w:shd w:val="clear" w:color="000000" w:fill="D9D9D9"/>
            <w:noWrap/>
            <w:vAlign w:val="center"/>
            <w:hideMark/>
          </w:tcPr>
          <w:p w14:paraId="28285545"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469" w:type="dxa"/>
            <w:tcBorders>
              <w:top w:val="nil"/>
              <w:left w:val="nil"/>
              <w:bottom w:val="single" w:sz="4" w:space="0" w:color="auto"/>
              <w:right w:val="single" w:sz="4" w:space="0" w:color="auto"/>
            </w:tcBorders>
            <w:shd w:val="clear" w:color="000000" w:fill="D9D9D9"/>
            <w:noWrap/>
            <w:vAlign w:val="center"/>
            <w:hideMark/>
          </w:tcPr>
          <w:p w14:paraId="2E5BEED7"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17E67F7B" w14:textId="1001E9A2"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326,896</w:t>
            </w:r>
          </w:p>
        </w:tc>
      </w:tr>
      <w:tr w:rsidR="00BF6E68" w:rsidRPr="002C5292" w14:paraId="3EFBBBEC"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46AC363D"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center"/>
            <w:hideMark/>
          </w:tcPr>
          <w:p w14:paraId="57A98C6A" w14:textId="0939068B" w:rsidR="0038475A" w:rsidRPr="002C5292" w:rsidRDefault="0038475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1E7CA40A" w14:textId="6BBCA7BC" w:rsidR="0038475A" w:rsidRPr="002C5292" w:rsidRDefault="0038475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2EADCBD5" w14:textId="3F7BBBB3" w:rsidR="0038475A" w:rsidRPr="002C5292" w:rsidRDefault="0038475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5C7166B2" w14:textId="08DCAB28" w:rsidR="0038475A" w:rsidRPr="002C5292" w:rsidRDefault="0038475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057D9CF9" w14:textId="149ECAF1" w:rsidR="0038475A" w:rsidRPr="002C5292" w:rsidRDefault="0038475A" w:rsidP="00A24E2E">
            <w:pPr>
              <w:jc w:val="center"/>
              <w:rPr>
                <w:rFonts w:asciiTheme="minorHAnsi" w:hAnsiTheme="minorHAnsi" w:cstheme="minorHAnsi"/>
                <w:color w:val="000000"/>
                <w:sz w:val="22"/>
                <w:szCs w:val="22"/>
                <w:lang w:eastAsia="en-AU"/>
              </w:rPr>
            </w:pPr>
          </w:p>
        </w:tc>
      </w:tr>
      <w:tr w:rsidR="00BF6E68" w:rsidRPr="002C5292" w14:paraId="4672DA99"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5A6520CD" w14:textId="77777777" w:rsidR="0038475A" w:rsidRPr="002C5292" w:rsidRDefault="0038475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Additional costs</w:t>
            </w:r>
          </w:p>
        </w:tc>
        <w:tc>
          <w:tcPr>
            <w:tcW w:w="1321" w:type="dxa"/>
            <w:tcBorders>
              <w:top w:val="nil"/>
              <w:left w:val="nil"/>
              <w:bottom w:val="single" w:sz="4" w:space="0" w:color="auto"/>
              <w:right w:val="single" w:sz="4" w:space="0" w:color="auto"/>
            </w:tcBorders>
            <w:shd w:val="clear" w:color="auto" w:fill="auto"/>
            <w:noWrap/>
            <w:vAlign w:val="center"/>
            <w:hideMark/>
          </w:tcPr>
          <w:p w14:paraId="74A85108" w14:textId="2ADC35E0" w:rsidR="0038475A" w:rsidRPr="002C5292" w:rsidRDefault="0038475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783983B5" w14:textId="5D0BA04D" w:rsidR="0038475A" w:rsidRPr="002C5292" w:rsidRDefault="0038475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517EB4DC" w14:textId="22118038" w:rsidR="0038475A" w:rsidRPr="002C5292" w:rsidRDefault="0038475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04ED2A60" w14:textId="14709A72" w:rsidR="0038475A" w:rsidRPr="002C5292" w:rsidRDefault="0038475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197F5F2C" w14:textId="3EE1C06F" w:rsidR="0038475A" w:rsidRPr="002C5292" w:rsidRDefault="0038475A" w:rsidP="00A24E2E">
            <w:pPr>
              <w:jc w:val="center"/>
              <w:rPr>
                <w:rFonts w:asciiTheme="minorHAnsi" w:hAnsiTheme="minorHAnsi" w:cstheme="minorHAnsi"/>
                <w:color w:val="000000"/>
                <w:sz w:val="22"/>
                <w:szCs w:val="22"/>
                <w:lang w:eastAsia="en-AU"/>
              </w:rPr>
            </w:pPr>
          </w:p>
        </w:tc>
      </w:tr>
      <w:tr w:rsidR="00BF6E68" w:rsidRPr="002C5292" w14:paraId="2FFCF4A2"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3F390197"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Cost of preparing and updating the regulations</w:t>
            </w:r>
          </w:p>
        </w:tc>
        <w:tc>
          <w:tcPr>
            <w:tcW w:w="1321" w:type="dxa"/>
            <w:tcBorders>
              <w:top w:val="nil"/>
              <w:left w:val="nil"/>
              <w:bottom w:val="single" w:sz="4" w:space="0" w:color="auto"/>
              <w:right w:val="single" w:sz="4" w:space="0" w:color="auto"/>
            </w:tcBorders>
            <w:shd w:val="clear" w:color="auto" w:fill="auto"/>
            <w:noWrap/>
            <w:vAlign w:val="center"/>
            <w:hideMark/>
          </w:tcPr>
          <w:p w14:paraId="08FEC7D0" w14:textId="346CAC84"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$6</w:t>
            </w:r>
            <w:r w:rsidR="00A24E2E" w:rsidRPr="002C5292">
              <w:rPr>
                <w:rFonts w:asciiTheme="minorHAnsi" w:hAnsiTheme="minorHAnsi" w:cstheme="minorHAnsi"/>
                <w:color w:val="000000"/>
                <w:sz w:val="22"/>
                <w:szCs w:val="22"/>
                <w:lang w:eastAsia="en-AU"/>
              </w:rPr>
              <w:t>5,580</w:t>
            </w:r>
          </w:p>
        </w:tc>
        <w:tc>
          <w:tcPr>
            <w:tcW w:w="1230" w:type="dxa"/>
            <w:tcBorders>
              <w:top w:val="nil"/>
              <w:left w:val="nil"/>
              <w:bottom w:val="single" w:sz="4" w:space="0" w:color="auto"/>
              <w:right w:val="single" w:sz="4" w:space="0" w:color="auto"/>
            </w:tcBorders>
            <w:shd w:val="clear" w:color="auto" w:fill="auto"/>
            <w:noWrap/>
            <w:vAlign w:val="center"/>
            <w:hideMark/>
          </w:tcPr>
          <w:p w14:paraId="314434C1"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$38,000</w:t>
            </w:r>
          </w:p>
        </w:tc>
        <w:tc>
          <w:tcPr>
            <w:tcW w:w="1366" w:type="dxa"/>
            <w:tcBorders>
              <w:top w:val="nil"/>
              <w:left w:val="nil"/>
              <w:bottom w:val="single" w:sz="4" w:space="0" w:color="auto"/>
              <w:right w:val="single" w:sz="4" w:space="0" w:color="auto"/>
            </w:tcBorders>
            <w:shd w:val="clear" w:color="auto" w:fill="auto"/>
            <w:noWrap/>
            <w:vAlign w:val="center"/>
            <w:hideMark/>
          </w:tcPr>
          <w:p w14:paraId="20A8A0D0"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$1,500</w:t>
            </w:r>
          </w:p>
        </w:tc>
        <w:tc>
          <w:tcPr>
            <w:tcW w:w="1469" w:type="dxa"/>
            <w:tcBorders>
              <w:top w:val="nil"/>
              <w:left w:val="nil"/>
              <w:bottom w:val="single" w:sz="4" w:space="0" w:color="auto"/>
              <w:right w:val="single" w:sz="4" w:space="0" w:color="auto"/>
            </w:tcBorders>
            <w:shd w:val="clear" w:color="000000" w:fill="D9D9D9"/>
            <w:noWrap/>
            <w:vAlign w:val="center"/>
            <w:hideMark/>
          </w:tcPr>
          <w:p w14:paraId="002E1718"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0338AACC" w14:textId="48231FED"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w:t>
            </w:r>
            <w:r w:rsidR="00A24E2E" w:rsidRPr="002C5292">
              <w:rPr>
                <w:rFonts w:asciiTheme="minorHAnsi" w:hAnsiTheme="minorHAnsi" w:cstheme="minorHAnsi"/>
                <w:color w:val="000000"/>
                <w:sz w:val="22"/>
                <w:szCs w:val="22"/>
                <w:lang w:eastAsia="en-AU"/>
              </w:rPr>
              <w:t>5,080</w:t>
            </w:r>
          </w:p>
        </w:tc>
      </w:tr>
      <w:tr w:rsidR="00BF6E68" w:rsidRPr="002C5292" w14:paraId="1D15BB32"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1641A643"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center"/>
            <w:hideMark/>
          </w:tcPr>
          <w:p w14:paraId="6F940D80" w14:textId="75A044ED" w:rsidR="0038475A" w:rsidRPr="002C5292" w:rsidRDefault="0038475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1DD6CFB1" w14:textId="208139CD" w:rsidR="0038475A" w:rsidRPr="002C5292" w:rsidRDefault="0038475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54EA6F9F" w14:textId="18933123" w:rsidR="0038475A" w:rsidRPr="002C5292" w:rsidRDefault="0038475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40C91B0D" w14:textId="61D0C003" w:rsidR="0038475A" w:rsidRPr="002C5292" w:rsidRDefault="0038475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7E1F97F6" w14:textId="20632B0D" w:rsidR="0038475A" w:rsidRPr="002C5292" w:rsidRDefault="0038475A" w:rsidP="00A24E2E">
            <w:pPr>
              <w:jc w:val="center"/>
              <w:rPr>
                <w:rFonts w:asciiTheme="minorHAnsi" w:hAnsiTheme="minorHAnsi" w:cstheme="minorHAnsi"/>
                <w:color w:val="000000"/>
                <w:sz w:val="22"/>
                <w:szCs w:val="22"/>
                <w:lang w:eastAsia="en-AU"/>
              </w:rPr>
            </w:pPr>
          </w:p>
        </w:tc>
      </w:tr>
      <w:tr w:rsidR="00BF6E68" w:rsidRPr="002C5292" w14:paraId="54FB8400"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65BB2655" w14:textId="77777777" w:rsidR="0038475A" w:rsidRPr="002C5292" w:rsidRDefault="0038475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Net avoided costs</w:t>
            </w:r>
          </w:p>
        </w:tc>
        <w:tc>
          <w:tcPr>
            <w:tcW w:w="1321" w:type="dxa"/>
            <w:tcBorders>
              <w:top w:val="nil"/>
              <w:left w:val="nil"/>
              <w:bottom w:val="single" w:sz="4" w:space="0" w:color="auto"/>
              <w:right w:val="single" w:sz="4" w:space="0" w:color="auto"/>
            </w:tcBorders>
            <w:shd w:val="clear" w:color="auto" w:fill="auto"/>
            <w:noWrap/>
            <w:vAlign w:val="center"/>
            <w:hideMark/>
          </w:tcPr>
          <w:p w14:paraId="57BA7B6C" w14:textId="5EB19A2E"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$6</w:t>
            </w:r>
            <w:r w:rsidR="00A24E2E" w:rsidRPr="002C5292">
              <w:rPr>
                <w:rFonts w:asciiTheme="minorHAnsi" w:hAnsiTheme="minorHAnsi" w:cstheme="minorHAnsi"/>
                <w:color w:val="000000"/>
                <w:sz w:val="22"/>
                <w:szCs w:val="22"/>
                <w:lang w:eastAsia="en-AU"/>
              </w:rPr>
              <w:t>11</w:t>
            </w:r>
            <w:r w:rsidRPr="002C5292">
              <w:rPr>
                <w:rFonts w:asciiTheme="minorHAnsi" w:hAnsiTheme="minorHAnsi" w:cstheme="minorHAnsi"/>
                <w:color w:val="000000"/>
                <w:sz w:val="22"/>
                <w:szCs w:val="22"/>
                <w:lang w:eastAsia="en-AU"/>
              </w:rPr>
              <w:t>,</w:t>
            </w:r>
            <w:r w:rsidR="00A24E2E" w:rsidRPr="002C5292">
              <w:rPr>
                <w:rFonts w:asciiTheme="minorHAnsi" w:hAnsiTheme="minorHAnsi" w:cstheme="minorHAnsi"/>
                <w:color w:val="000000"/>
                <w:sz w:val="22"/>
                <w:szCs w:val="22"/>
                <w:lang w:eastAsia="en-AU"/>
              </w:rPr>
              <w:t>420</w:t>
            </w:r>
          </w:p>
        </w:tc>
        <w:tc>
          <w:tcPr>
            <w:tcW w:w="1230" w:type="dxa"/>
            <w:tcBorders>
              <w:top w:val="nil"/>
              <w:left w:val="nil"/>
              <w:bottom w:val="single" w:sz="4" w:space="0" w:color="auto"/>
              <w:right w:val="single" w:sz="4" w:space="0" w:color="auto"/>
            </w:tcBorders>
            <w:shd w:val="clear" w:color="auto" w:fill="auto"/>
            <w:noWrap/>
            <w:vAlign w:val="center"/>
            <w:hideMark/>
          </w:tcPr>
          <w:p w14:paraId="281DB155" w14:textId="40E77D64"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111,896</w:t>
            </w:r>
          </w:p>
        </w:tc>
        <w:tc>
          <w:tcPr>
            <w:tcW w:w="1366" w:type="dxa"/>
            <w:tcBorders>
              <w:top w:val="nil"/>
              <w:left w:val="nil"/>
              <w:bottom w:val="single" w:sz="4" w:space="0" w:color="auto"/>
              <w:right w:val="single" w:sz="4" w:space="0" w:color="auto"/>
            </w:tcBorders>
            <w:shd w:val="clear" w:color="auto" w:fill="auto"/>
            <w:noWrap/>
            <w:vAlign w:val="center"/>
            <w:hideMark/>
          </w:tcPr>
          <w:p w14:paraId="1628CE37"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$73,500</w:t>
            </w:r>
          </w:p>
        </w:tc>
        <w:tc>
          <w:tcPr>
            <w:tcW w:w="1469" w:type="dxa"/>
            <w:tcBorders>
              <w:top w:val="nil"/>
              <w:left w:val="nil"/>
              <w:bottom w:val="single" w:sz="4" w:space="0" w:color="auto"/>
              <w:right w:val="single" w:sz="4" w:space="0" w:color="auto"/>
            </w:tcBorders>
            <w:shd w:val="clear" w:color="000000" w:fill="D9D9D9"/>
            <w:noWrap/>
            <w:vAlign w:val="center"/>
            <w:hideMark/>
          </w:tcPr>
          <w:p w14:paraId="367BE0A2"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496579B9" w14:textId="0BC238E0"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796,816</w:t>
            </w:r>
          </w:p>
        </w:tc>
      </w:tr>
      <w:tr w:rsidR="00BF6E68" w:rsidRPr="002C5292" w14:paraId="0FFA3CA2" w14:textId="77777777" w:rsidTr="00A27CE6">
        <w:trPr>
          <w:trHeight w:val="285"/>
        </w:trPr>
        <w:tc>
          <w:tcPr>
            <w:tcW w:w="3794" w:type="dxa"/>
            <w:tcBorders>
              <w:top w:val="nil"/>
              <w:left w:val="nil"/>
              <w:bottom w:val="nil"/>
              <w:right w:val="nil"/>
            </w:tcBorders>
            <w:shd w:val="clear" w:color="auto" w:fill="auto"/>
            <w:noWrap/>
            <w:vAlign w:val="bottom"/>
            <w:hideMark/>
          </w:tcPr>
          <w:p w14:paraId="3F711BF2" w14:textId="77777777" w:rsidR="0038475A" w:rsidRPr="002C5292" w:rsidRDefault="0038475A" w:rsidP="0038475A">
            <w:pPr>
              <w:jc w:val="right"/>
              <w:rPr>
                <w:rFonts w:asciiTheme="minorHAnsi" w:hAnsiTheme="minorHAnsi" w:cstheme="minorHAnsi"/>
                <w:color w:val="000000"/>
                <w:sz w:val="22"/>
                <w:szCs w:val="22"/>
                <w:lang w:eastAsia="en-AU"/>
              </w:rPr>
            </w:pPr>
          </w:p>
          <w:p w14:paraId="5003CD04" w14:textId="570B1216" w:rsidR="00821E6B" w:rsidRPr="002C5292" w:rsidRDefault="00821E6B" w:rsidP="00E81135">
            <w:pPr>
              <w:rPr>
                <w:rFonts w:asciiTheme="minorHAnsi" w:hAnsiTheme="minorHAnsi" w:cstheme="minorHAnsi"/>
                <w:color w:val="000000"/>
                <w:sz w:val="22"/>
                <w:szCs w:val="22"/>
                <w:lang w:eastAsia="en-AU"/>
              </w:rPr>
            </w:pPr>
            <w:r w:rsidRPr="002C5292">
              <w:rPr>
                <w:rFonts w:asciiTheme="majorHAnsi" w:eastAsia="MS Gothic" w:hAnsiTheme="majorHAnsi"/>
                <w:b/>
                <w:bCs/>
                <w:color w:val="53565A"/>
              </w:rPr>
              <w:t>Table 7C</w:t>
            </w:r>
          </w:p>
        </w:tc>
        <w:tc>
          <w:tcPr>
            <w:tcW w:w="1321" w:type="dxa"/>
            <w:tcBorders>
              <w:top w:val="nil"/>
              <w:left w:val="nil"/>
              <w:bottom w:val="nil"/>
              <w:right w:val="nil"/>
            </w:tcBorders>
            <w:shd w:val="clear" w:color="auto" w:fill="auto"/>
            <w:noWrap/>
            <w:vAlign w:val="bottom"/>
            <w:hideMark/>
          </w:tcPr>
          <w:p w14:paraId="3CDCE433" w14:textId="77777777" w:rsidR="0038475A" w:rsidRPr="002C5292" w:rsidRDefault="0038475A" w:rsidP="0038475A">
            <w:pPr>
              <w:rPr>
                <w:rFonts w:asciiTheme="minorHAnsi" w:hAnsiTheme="minorHAnsi" w:cstheme="minorHAnsi"/>
                <w:sz w:val="22"/>
                <w:szCs w:val="22"/>
                <w:lang w:eastAsia="en-AU"/>
              </w:rPr>
            </w:pPr>
          </w:p>
        </w:tc>
        <w:tc>
          <w:tcPr>
            <w:tcW w:w="1230" w:type="dxa"/>
            <w:tcBorders>
              <w:top w:val="nil"/>
              <w:left w:val="nil"/>
              <w:bottom w:val="nil"/>
              <w:right w:val="nil"/>
            </w:tcBorders>
            <w:shd w:val="clear" w:color="auto" w:fill="auto"/>
            <w:noWrap/>
            <w:vAlign w:val="bottom"/>
            <w:hideMark/>
          </w:tcPr>
          <w:p w14:paraId="012B58E4" w14:textId="77777777" w:rsidR="0038475A" w:rsidRPr="002C5292" w:rsidRDefault="0038475A" w:rsidP="0038475A">
            <w:pPr>
              <w:rPr>
                <w:rFonts w:asciiTheme="minorHAnsi" w:hAnsiTheme="minorHAnsi" w:cstheme="minorHAnsi"/>
                <w:sz w:val="22"/>
                <w:szCs w:val="22"/>
                <w:lang w:eastAsia="en-AU"/>
              </w:rPr>
            </w:pPr>
          </w:p>
        </w:tc>
        <w:tc>
          <w:tcPr>
            <w:tcW w:w="1366" w:type="dxa"/>
            <w:tcBorders>
              <w:top w:val="nil"/>
              <w:left w:val="nil"/>
              <w:bottom w:val="nil"/>
              <w:right w:val="nil"/>
            </w:tcBorders>
            <w:shd w:val="clear" w:color="auto" w:fill="auto"/>
            <w:noWrap/>
            <w:vAlign w:val="bottom"/>
            <w:hideMark/>
          </w:tcPr>
          <w:p w14:paraId="76FDC691" w14:textId="77777777" w:rsidR="0038475A" w:rsidRPr="002C5292" w:rsidRDefault="0038475A" w:rsidP="0038475A">
            <w:pPr>
              <w:rPr>
                <w:rFonts w:asciiTheme="minorHAnsi" w:hAnsiTheme="minorHAnsi" w:cstheme="minorHAnsi"/>
                <w:sz w:val="22"/>
                <w:szCs w:val="22"/>
                <w:lang w:eastAsia="en-AU"/>
              </w:rPr>
            </w:pPr>
          </w:p>
        </w:tc>
        <w:tc>
          <w:tcPr>
            <w:tcW w:w="1469" w:type="dxa"/>
            <w:tcBorders>
              <w:top w:val="nil"/>
              <w:left w:val="nil"/>
              <w:bottom w:val="nil"/>
              <w:right w:val="nil"/>
            </w:tcBorders>
            <w:shd w:val="clear" w:color="auto" w:fill="auto"/>
            <w:noWrap/>
            <w:vAlign w:val="bottom"/>
            <w:hideMark/>
          </w:tcPr>
          <w:p w14:paraId="00B79B2C" w14:textId="77777777" w:rsidR="0038475A" w:rsidRPr="002C5292" w:rsidRDefault="0038475A" w:rsidP="0038475A">
            <w:pPr>
              <w:rPr>
                <w:rFonts w:asciiTheme="minorHAnsi" w:hAnsiTheme="minorHAnsi" w:cstheme="minorHAnsi"/>
                <w:sz w:val="22"/>
                <w:szCs w:val="22"/>
                <w:lang w:eastAsia="en-AU"/>
              </w:rPr>
            </w:pPr>
          </w:p>
        </w:tc>
        <w:tc>
          <w:tcPr>
            <w:tcW w:w="1134" w:type="dxa"/>
            <w:tcBorders>
              <w:top w:val="nil"/>
              <w:left w:val="nil"/>
              <w:bottom w:val="nil"/>
              <w:right w:val="nil"/>
            </w:tcBorders>
            <w:shd w:val="clear" w:color="auto" w:fill="auto"/>
            <w:noWrap/>
            <w:vAlign w:val="bottom"/>
            <w:hideMark/>
          </w:tcPr>
          <w:p w14:paraId="1EC8949E" w14:textId="77777777" w:rsidR="0038475A" w:rsidRPr="002C5292" w:rsidRDefault="0038475A" w:rsidP="0038475A">
            <w:pPr>
              <w:rPr>
                <w:rFonts w:asciiTheme="minorHAnsi" w:hAnsiTheme="minorHAnsi" w:cstheme="minorHAnsi"/>
                <w:sz w:val="22"/>
                <w:szCs w:val="22"/>
                <w:lang w:eastAsia="en-AU"/>
              </w:rPr>
            </w:pPr>
          </w:p>
        </w:tc>
      </w:tr>
      <w:tr w:rsidR="00BF6E68" w:rsidRPr="002C5292" w14:paraId="09692A69" w14:textId="77777777" w:rsidTr="00A27CE6">
        <w:trPr>
          <w:trHeight w:val="285"/>
        </w:trPr>
        <w:tc>
          <w:tcPr>
            <w:tcW w:w="3794" w:type="dxa"/>
            <w:tcBorders>
              <w:top w:val="single" w:sz="4" w:space="0" w:color="auto"/>
              <w:left w:val="single" w:sz="4" w:space="0" w:color="auto"/>
              <w:bottom w:val="single" w:sz="4" w:space="0" w:color="auto"/>
              <w:right w:val="single" w:sz="4" w:space="0" w:color="auto"/>
            </w:tcBorders>
            <w:shd w:val="clear" w:color="auto" w:fill="auto"/>
            <w:noWrap/>
            <w:hideMark/>
          </w:tcPr>
          <w:p w14:paraId="0DF4B98E" w14:textId="77777777" w:rsidR="0038475A" w:rsidRPr="002C5292" w:rsidRDefault="0038475A" w:rsidP="00A24E2E">
            <w:pPr>
              <w:rPr>
                <w:rFonts w:asciiTheme="minorHAnsi" w:hAnsiTheme="minorHAnsi" w:cstheme="minorHAnsi"/>
                <w:b/>
                <w:bCs/>
                <w:color w:val="000000"/>
                <w:sz w:val="22"/>
                <w:szCs w:val="22"/>
                <w:u w:val="single"/>
                <w:lang w:eastAsia="en-AU"/>
              </w:rPr>
            </w:pPr>
            <w:r w:rsidRPr="002C5292">
              <w:rPr>
                <w:rFonts w:asciiTheme="minorHAnsi" w:hAnsiTheme="minorHAnsi" w:cstheme="minorHAnsi"/>
                <w:b/>
                <w:bCs/>
                <w:color w:val="000000"/>
                <w:sz w:val="22"/>
                <w:szCs w:val="22"/>
                <w:u w:val="single"/>
                <w:lang w:eastAsia="en-AU"/>
              </w:rPr>
              <w:t>Annual use of Government resources - Option 2</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007F3C3E"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14:paraId="2C36C278"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14:paraId="4BCF50AB"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14:paraId="6B56A05D"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552ED5E" w14:textId="77777777" w:rsidR="0038475A" w:rsidRPr="002C5292" w:rsidRDefault="0038475A" w:rsidP="0038475A">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BF6E68" w:rsidRPr="002C5292" w14:paraId="4D3AE0E3"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228CA9FB"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bottom"/>
            <w:hideMark/>
          </w:tcPr>
          <w:p w14:paraId="0961BFA1"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Agencies</w:t>
            </w:r>
          </w:p>
        </w:tc>
        <w:tc>
          <w:tcPr>
            <w:tcW w:w="1230" w:type="dxa"/>
            <w:tcBorders>
              <w:top w:val="nil"/>
              <w:left w:val="nil"/>
              <w:bottom w:val="single" w:sz="4" w:space="0" w:color="auto"/>
              <w:right w:val="single" w:sz="4" w:space="0" w:color="auto"/>
            </w:tcBorders>
            <w:shd w:val="clear" w:color="auto" w:fill="auto"/>
            <w:noWrap/>
            <w:vAlign w:val="bottom"/>
            <w:hideMark/>
          </w:tcPr>
          <w:p w14:paraId="060134DF"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DPC</w:t>
            </w:r>
          </w:p>
        </w:tc>
        <w:tc>
          <w:tcPr>
            <w:tcW w:w="1366" w:type="dxa"/>
            <w:tcBorders>
              <w:top w:val="nil"/>
              <w:left w:val="nil"/>
              <w:bottom w:val="single" w:sz="4" w:space="0" w:color="auto"/>
              <w:right w:val="single" w:sz="4" w:space="0" w:color="auto"/>
            </w:tcBorders>
            <w:shd w:val="clear" w:color="auto" w:fill="auto"/>
            <w:noWrap/>
            <w:vAlign w:val="bottom"/>
            <w:hideMark/>
          </w:tcPr>
          <w:p w14:paraId="7755F705"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BRV</w:t>
            </w:r>
          </w:p>
        </w:tc>
        <w:tc>
          <w:tcPr>
            <w:tcW w:w="1469" w:type="dxa"/>
            <w:tcBorders>
              <w:top w:val="nil"/>
              <w:left w:val="nil"/>
              <w:bottom w:val="single" w:sz="4" w:space="0" w:color="auto"/>
              <w:right w:val="single" w:sz="4" w:space="0" w:color="auto"/>
            </w:tcBorders>
            <w:shd w:val="clear" w:color="auto" w:fill="auto"/>
            <w:noWrap/>
            <w:vAlign w:val="bottom"/>
            <w:hideMark/>
          </w:tcPr>
          <w:p w14:paraId="37F27ADF"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Parliament</w:t>
            </w:r>
          </w:p>
        </w:tc>
        <w:tc>
          <w:tcPr>
            <w:tcW w:w="1134" w:type="dxa"/>
            <w:tcBorders>
              <w:top w:val="nil"/>
              <w:left w:val="nil"/>
              <w:bottom w:val="single" w:sz="4" w:space="0" w:color="auto"/>
              <w:right w:val="single" w:sz="4" w:space="0" w:color="auto"/>
            </w:tcBorders>
            <w:shd w:val="clear" w:color="auto" w:fill="auto"/>
            <w:noWrap/>
            <w:vAlign w:val="bottom"/>
            <w:hideMark/>
          </w:tcPr>
          <w:p w14:paraId="6C6080D2" w14:textId="77777777" w:rsidR="0038475A" w:rsidRPr="002C5292" w:rsidRDefault="0038475A" w:rsidP="00A24E2E">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Total</w:t>
            </w:r>
          </w:p>
        </w:tc>
      </w:tr>
      <w:tr w:rsidR="00BF6E68" w:rsidRPr="002C5292" w14:paraId="732BAB1C"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66D2542E" w14:textId="77777777" w:rsidR="0038475A" w:rsidRPr="002C5292" w:rsidRDefault="0038475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Avoided costs</w:t>
            </w:r>
          </w:p>
        </w:tc>
        <w:tc>
          <w:tcPr>
            <w:tcW w:w="1321" w:type="dxa"/>
            <w:tcBorders>
              <w:top w:val="nil"/>
              <w:left w:val="nil"/>
              <w:bottom w:val="single" w:sz="4" w:space="0" w:color="auto"/>
              <w:right w:val="single" w:sz="4" w:space="0" w:color="auto"/>
            </w:tcBorders>
            <w:shd w:val="clear" w:color="auto" w:fill="auto"/>
            <w:noWrap/>
            <w:vAlign w:val="center"/>
            <w:hideMark/>
          </w:tcPr>
          <w:p w14:paraId="2DF4623F" w14:textId="14FD6EC6" w:rsidR="0038475A" w:rsidRPr="002C5292" w:rsidRDefault="0038475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1369D631" w14:textId="598F6C2F" w:rsidR="0038475A" w:rsidRPr="002C5292" w:rsidRDefault="0038475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5E4ADE54" w14:textId="6E362123" w:rsidR="0038475A" w:rsidRPr="002C5292" w:rsidRDefault="0038475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7940361F" w14:textId="2DA2224B" w:rsidR="0038475A" w:rsidRPr="002C5292" w:rsidRDefault="0038475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2F693BE6" w14:textId="400A6459" w:rsidR="0038475A" w:rsidRPr="002C5292" w:rsidRDefault="0038475A" w:rsidP="00A24E2E">
            <w:pPr>
              <w:jc w:val="center"/>
              <w:rPr>
                <w:rFonts w:asciiTheme="minorHAnsi" w:hAnsiTheme="minorHAnsi" w:cstheme="minorHAnsi"/>
                <w:color w:val="000000"/>
                <w:sz w:val="22"/>
                <w:szCs w:val="22"/>
                <w:lang w:eastAsia="en-AU"/>
              </w:rPr>
            </w:pPr>
          </w:p>
        </w:tc>
      </w:tr>
      <w:tr w:rsidR="00BF6E68" w:rsidRPr="002C5292" w14:paraId="5AFF5B5D"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6D505917" w14:textId="77777777" w:rsidR="0038475A" w:rsidRPr="002C5292" w:rsidRDefault="0038475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RISs</w:t>
            </w:r>
          </w:p>
        </w:tc>
        <w:tc>
          <w:tcPr>
            <w:tcW w:w="1321" w:type="dxa"/>
            <w:tcBorders>
              <w:top w:val="nil"/>
              <w:left w:val="nil"/>
              <w:bottom w:val="single" w:sz="4" w:space="0" w:color="auto"/>
              <w:right w:val="single" w:sz="4" w:space="0" w:color="auto"/>
            </w:tcBorders>
            <w:shd w:val="clear" w:color="auto" w:fill="auto"/>
            <w:noWrap/>
            <w:vAlign w:val="center"/>
            <w:hideMark/>
          </w:tcPr>
          <w:p w14:paraId="3E76B460"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$500,000</w:t>
            </w:r>
          </w:p>
        </w:tc>
        <w:tc>
          <w:tcPr>
            <w:tcW w:w="1230" w:type="dxa"/>
            <w:tcBorders>
              <w:top w:val="nil"/>
              <w:left w:val="nil"/>
              <w:bottom w:val="single" w:sz="4" w:space="0" w:color="auto"/>
              <w:right w:val="single" w:sz="4" w:space="0" w:color="auto"/>
            </w:tcBorders>
            <w:shd w:val="clear" w:color="000000" w:fill="D9D9D9"/>
            <w:noWrap/>
            <w:vAlign w:val="center"/>
            <w:hideMark/>
          </w:tcPr>
          <w:p w14:paraId="6AF2ABCD"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N/A</w:t>
            </w:r>
          </w:p>
        </w:tc>
        <w:tc>
          <w:tcPr>
            <w:tcW w:w="1366" w:type="dxa"/>
            <w:tcBorders>
              <w:top w:val="nil"/>
              <w:left w:val="nil"/>
              <w:bottom w:val="single" w:sz="4" w:space="0" w:color="auto"/>
              <w:right w:val="single" w:sz="4" w:space="0" w:color="auto"/>
            </w:tcBorders>
            <w:shd w:val="clear" w:color="auto" w:fill="auto"/>
            <w:noWrap/>
            <w:vAlign w:val="center"/>
            <w:hideMark/>
          </w:tcPr>
          <w:p w14:paraId="7AB5CB02"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$75,000</w:t>
            </w:r>
          </w:p>
        </w:tc>
        <w:tc>
          <w:tcPr>
            <w:tcW w:w="1469" w:type="dxa"/>
            <w:tcBorders>
              <w:top w:val="nil"/>
              <w:left w:val="nil"/>
              <w:bottom w:val="single" w:sz="4" w:space="0" w:color="auto"/>
              <w:right w:val="single" w:sz="4" w:space="0" w:color="auto"/>
            </w:tcBorders>
            <w:shd w:val="clear" w:color="000000" w:fill="D9D9D9"/>
            <w:noWrap/>
            <w:vAlign w:val="center"/>
            <w:hideMark/>
          </w:tcPr>
          <w:p w14:paraId="2B3A0F87"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6D7274FF" w14:textId="77777777" w:rsidR="0038475A" w:rsidRPr="002C5292" w:rsidRDefault="0038475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$575,000</w:t>
            </w:r>
          </w:p>
        </w:tc>
      </w:tr>
      <w:bookmarkEnd w:id="74"/>
      <w:tr w:rsidR="00A24E2E" w:rsidRPr="002C5292" w14:paraId="10851F69"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734F8739" w14:textId="77777777" w:rsidR="00D07F4A" w:rsidRPr="002C5292" w:rsidRDefault="00D07F4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exemption certificates (sections 12F, 12G)</w:t>
            </w:r>
          </w:p>
        </w:tc>
        <w:tc>
          <w:tcPr>
            <w:tcW w:w="1321" w:type="dxa"/>
            <w:tcBorders>
              <w:top w:val="nil"/>
              <w:left w:val="nil"/>
              <w:bottom w:val="single" w:sz="4" w:space="0" w:color="auto"/>
              <w:right w:val="single" w:sz="4" w:space="0" w:color="auto"/>
            </w:tcBorders>
            <w:shd w:val="clear" w:color="auto" w:fill="auto"/>
            <w:noWrap/>
            <w:vAlign w:val="center"/>
            <w:hideMark/>
          </w:tcPr>
          <w:p w14:paraId="4D039C0E" w14:textId="51B8BE68"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w:t>
            </w:r>
            <w:r w:rsidR="00A24E2E" w:rsidRPr="002C5292">
              <w:rPr>
                <w:rFonts w:asciiTheme="minorHAnsi" w:hAnsiTheme="minorHAnsi" w:cstheme="minorHAnsi"/>
                <w:color w:val="000000"/>
                <w:sz w:val="22"/>
                <w:szCs w:val="22"/>
                <w:lang w:eastAsia="en-AU"/>
              </w:rPr>
              <w:t>71</w:t>
            </w:r>
            <w:r w:rsidRPr="002C5292">
              <w:rPr>
                <w:rFonts w:asciiTheme="minorHAnsi" w:hAnsiTheme="minorHAnsi" w:cstheme="minorHAnsi"/>
                <w:color w:val="000000"/>
                <w:sz w:val="22"/>
                <w:szCs w:val="22"/>
                <w:lang w:eastAsia="en-AU"/>
              </w:rPr>
              <w:t>,000</w:t>
            </w:r>
          </w:p>
        </w:tc>
        <w:tc>
          <w:tcPr>
            <w:tcW w:w="1230" w:type="dxa"/>
            <w:tcBorders>
              <w:top w:val="nil"/>
              <w:left w:val="nil"/>
              <w:bottom w:val="single" w:sz="4" w:space="0" w:color="auto"/>
              <w:right w:val="single" w:sz="4" w:space="0" w:color="auto"/>
            </w:tcBorders>
            <w:shd w:val="clear" w:color="auto" w:fill="auto"/>
            <w:noWrap/>
            <w:vAlign w:val="center"/>
            <w:hideMark/>
          </w:tcPr>
          <w:p w14:paraId="1E8692CA" w14:textId="376D82CF" w:rsidR="00D07F4A" w:rsidRPr="002C5292" w:rsidRDefault="00AE220F"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$149,896</w:t>
            </w:r>
          </w:p>
        </w:tc>
        <w:tc>
          <w:tcPr>
            <w:tcW w:w="1366" w:type="dxa"/>
            <w:tcBorders>
              <w:top w:val="nil"/>
              <w:left w:val="nil"/>
              <w:bottom w:val="single" w:sz="4" w:space="0" w:color="auto"/>
              <w:right w:val="single" w:sz="4" w:space="0" w:color="auto"/>
            </w:tcBorders>
            <w:shd w:val="clear" w:color="auto" w:fill="D9D9D9" w:themeFill="background1" w:themeFillShade="D9"/>
            <w:noWrap/>
            <w:vAlign w:val="center"/>
            <w:hideMark/>
          </w:tcPr>
          <w:p w14:paraId="2BBA10B9"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469" w:type="dxa"/>
            <w:tcBorders>
              <w:top w:val="nil"/>
              <w:left w:val="nil"/>
              <w:bottom w:val="single" w:sz="4" w:space="0" w:color="auto"/>
              <w:right w:val="single" w:sz="4" w:space="0" w:color="auto"/>
            </w:tcBorders>
            <w:shd w:val="clear" w:color="000000" w:fill="D9D9D9"/>
            <w:noWrap/>
            <w:vAlign w:val="center"/>
            <w:hideMark/>
          </w:tcPr>
          <w:p w14:paraId="1C204BAC"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1E03BD62" w14:textId="7F400FAB"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320,896</w:t>
            </w:r>
          </w:p>
        </w:tc>
      </w:tr>
      <w:tr w:rsidR="00A24E2E" w:rsidRPr="002C5292" w14:paraId="27609D35"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5E12CB92" w14:textId="77777777" w:rsidR="00D07F4A" w:rsidRPr="002C5292" w:rsidRDefault="00D07F4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center"/>
            <w:hideMark/>
          </w:tcPr>
          <w:p w14:paraId="1218845F" w14:textId="734B76ED" w:rsidR="00D07F4A" w:rsidRPr="002C5292" w:rsidRDefault="00D07F4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519AEC4E" w14:textId="311E6047" w:rsidR="00D07F4A" w:rsidRPr="002C5292" w:rsidRDefault="00D07F4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3F68443A" w14:textId="75605922" w:rsidR="00D07F4A" w:rsidRPr="002C5292" w:rsidRDefault="00D07F4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1E0E4162" w14:textId="0C486949" w:rsidR="00D07F4A" w:rsidRPr="002C5292" w:rsidRDefault="00D07F4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23EF1E0D" w14:textId="50FBD9C7" w:rsidR="00D07F4A" w:rsidRPr="002C5292" w:rsidRDefault="00D07F4A" w:rsidP="00A24E2E">
            <w:pPr>
              <w:jc w:val="center"/>
              <w:rPr>
                <w:rFonts w:asciiTheme="minorHAnsi" w:hAnsiTheme="minorHAnsi" w:cstheme="minorHAnsi"/>
                <w:color w:val="000000"/>
                <w:sz w:val="22"/>
                <w:szCs w:val="22"/>
                <w:lang w:eastAsia="en-AU"/>
              </w:rPr>
            </w:pPr>
          </w:p>
        </w:tc>
      </w:tr>
      <w:tr w:rsidR="00A24E2E" w:rsidRPr="002C5292" w14:paraId="3385C023"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407BD4D8" w14:textId="77777777" w:rsidR="00D07F4A" w:rsidRPr="002C5292" w:rsidRDefault="00D07F4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Additional costs</w:t>
            </w:r>
          </w:p>
        </w:tc>
        <w:tc>
          <w:tcPr>
            <w:tcW w:w="1321" w:type="dxa"/>
            <w:tcBorders>
              <w:top w:val="nil"/>
              <w:left w:val="nil"/>
              <w:bottom w:val="single" w:sz="4" w:space="0" w:color="auto"/>
              <w:right w:val="single" w:sz="4" w:space="0" w:color="auto"/>
            </w:tcBorders>
            <w:shd w:val="clear" w:color="auto" w:fill="auto"/>
            <w:noWrap/>
            <w:vAlign w:val="center"/>
            <w:hideMark/>
          </w:tcPr>
          <w:p w14:paraId="69A12D18" w14:textId="68DE9356" w:rsidR="00D07F4A" w:rsidRPr="002C5292" w:rsidRDefault="00D07F4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674BEE9F" w14:textId="3DC74799" w:rsidR="00D07F4A" w:rsidRPr="002C5292" w:rsidRDefault="00D07F4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670E4218" w14:textId="21128E01" w:rsidR="00D07F4A" w:rsidRPr="002C5292" w:rsidRDefault="00D07F4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auto" w:fill="auto"/>
            <w:noWrap/>
            <w:vAlign w:val="center"/>
            <w:hideMark/>
          </w:tcPr>
          <w:p w14:paraId="290A87FC" w14:textId="5FDE7289" w:rsidR="00D07F4A" w:rsidRPr="002C5292" w:rsidRDefault="00D07F4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140F8C4A" w14:textId="73DCD81E" w:rsidR="00D07F4A" w:rsidRPr="002C5292" w:rsidRDefault="00D07F4A" w:rsidP="00A24E2E">
            <w:pPr>
              <w:jc w:val="center"/>
              <w:rPr>
                <w:rFonts w:asciiTheme="minorHAnsi" w:hAnsiTheme="minorHAnsi" w:cstheme="minorHAnsi"/>
                <w:color w:val="000000"/>
                <w:sz w:val="22"/>
                <w:szCs w:val="22"/>
                <w:lang w:eastAsia="en-AU"/>
              </w:rPr>
            </w:pPr>
          </w:p>
        </w:tc>
      </w:tr>
      <w:tr w:rsidR="00BF6E68" w:rsidRPr="002C5292" w14:paraId="19535452"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2D28BC9B" w14:textId="77777777" w:rsidR="00D07F4A" w:rsidRPr="002C5292" w:rsidRDefault="00D07F4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Cost of preparing and updating the regulations</w:t>
            </w:r>
          </w:p>
        </w:tc>
        <w:tc>
          <w:tcPr>
            <w:tcW w:w="1321" w:type="dxa"/>
            <w:tcBorders>
              <w:top w:val="nil"/>
              <w:left w:val="nil"/>
              <w:bottom w:val="single" w:sz="4" w:space="0" w:color="auto"/>
              <w:right w:val="single" w:sz="4" w:space="0" w:color="auto"/>
            </w:tcBorders>
            <w:shd w:val="clear" w:color="auto" w:fill="auto"/>
            <w:noWrap/>
            <w:vAlign w:val="center"/>
            <w:hideMark/>
          </w:tcPr>
          <w:p w14:paraId="0ED86180" w14:textId="57A61678"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$6</w:t>
            </w:r>
            <w:r w:rsidR="00A24E2E" w:rsidRPr="002C5292">
              <w:rPr>
                <w:rFonts w:asciiTheme="minorHAnsi" w:hAnsiTheme="minorHAnsi" w:cstheme="minorHAnsi"/>
                <w:color w:val="000000"/>
                <w:sz w:val="22"/>
                <w:szCs w:val="22"/>
                <w:lang w:eastAsia="en-AU"/>
              </w:rPr>
              <w:t>5,580</w:t>
            </w:r>
          </w:p>
        </w:tc>
        <w:tc>
          <w:tcPr>
            <w:tcW w:w="1230" w:type="dxa"/>
            <w:tcBorders>
              <w:top w:val="nil"/>
              <w:left w:val="nil"/>
              <w:bottom w:val="single" w:sz="4" w:space="0" w:color="auto"/>
              <w:right w:val="single" w:sz="4" w:space="0" w:color="auto"/>
            </w:tcBorders>
            <w:shd w:val="clear" w:color="auto" w:fill="auto"/>
            <w:noWrap/>
            <w:vAlign w:val="center"/>
            <w:hideMark/>
          </w:tcPr>
          <w:p w14:paraId="1E212127"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$38,000</w:t>
            </w:r>
          </w:p>
        </w:tc>
        <w:tc>
          <w:tcPr>
            <w:tcW w:w="1366" w:type="dxa"/>
            <w:tcBorders>
              <w:top w:val="nil"/>
              <w:left w:val="nil"/>
              <w:bottom w:val="single" w:sz="4" w:space="0" w:color="auto"/>
              <w:right w:val="single" w:sz="4" w:space="0" w:color="auto"/>
            </w:tcBorders>
            <w:shd w:val="clear" w:color="auto" w:fill="auto"/>
            <w:noWrap/>
            <w:vAlign w:val="center"/>
            <w:hideMark/>
          </w:tcPr>
          <w:p w14:paraId="78018ABD"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$1,500</w:t>
            </w:r>
          </w:p>
        </w:tc>
        <w:tc>
          <w:tcPr>
            <w:tcW w:w="1469" w:type="dxa"/>
            <w:tcBorders>
              <w:top w:val="nil"/>
              <w:left w:val="nil"/>
              <w:bottom w:val="single" w:sz="4" w:space="0" w:color="auto"/>
              <w:right w:val="single" w:sz="4" w:space="0" w:color="auto"/>
            </w:tcBorders>
            <w:shd w:val="clear" w:color="000000" w:fill="D9D9D9"/>
            <w:noWrap/>
            <w:vAlign w:val="center"/>
            <w:hideMark/>
          </w:tcPr>
          <w:p w14:paraId="6E346FFD"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6CB93C83" w14:textId="64FB3F52"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w:t>
            </w:r>
            <w:r w:rsidR="00A24E2E" w:rsidRPr="002C5292">
              <w:rPr>
                <w:rFonts w:asciiTheme="minorHAnsi" w:hAnsiTheme="minorHAnsi" w:cstheme="minorHAnsi"/>
                <w:color w:val="000000"/>
                <w:sz w:val="22"/>
                <w:szCs w:val="22"/>
                <w:lang w:eastAsia="en-AU"/>
              </w:rPr>
              <w:t>5</w:t>
            </w:r>
            <w:r w:rsidRPr="002C5292">
              <w:rPr>
                <w:rFonts w:asciiTheme="minorHAnsi" w:hAnsiTheme="minorHAnsi" w:cstheme="minorHAnsi"/>
                <w:color w:val="000000"/>
                <w:sz w:val="22"/>
                <w:szCs w:val="22"/>
                <w:lang w:eastAsia="en-AU"/>
              </w:rPr>
              <w:t>,</w:t>
            </w:r>
            <w:r w:rsidR="00A24E2E" w:rsidRPr="002C5292">
              <w:rPr>
                <w:rFonts w:asciiTheme="minorHAnsi" w:hAnsiTheme="minorHAnsi" w:cstheme="minorHAnsi"/>
                <w:color w:val="000000"/>
                <w:sz w:val="22"/>
                <w:szCs w:val="22"/>
                <w:lang w:eastAsia="en-AU"/>
              </w:rPr>
              <w:t>080</w:t>
            </w:r>
          </w:p>
        </w:tc>
      </w:tr>
      <w:tr w:rsidR="00BF6E68" w:rsidRPr="002C5292" w14:paraId="5F6CEA5B"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2CD68277" w14:textId="77777777" w:rsidR="00D07F4A" w:rsidRPr="002C5292" w:rsidRDefault="00D07F4A" w:rsidP="00A24E2E">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321" w:type="dxa"/>
            <w:tcBorders>
              <w:top w:val="nil"/>
              <w:left w:val="nil"/>
              <w:bottom w:val="single" w:sz="4" w:space="0" w:color="auto"/>
              <w:right w:val="single" w:sz="4" w:space="0" w:color="auto"/>
            </w:tcBorders>
            <w:shd w:val="clear" w:color="auto" w:fill="auto"/>
            <w:noWrap/>
            <w:vAlign w:val="center"/>
            <w:hideMark/>
          </w:tcPr>
          <w:p w14:paraId="3C57DD4E" w14:textId="7A5BFBBE" w:rsidR="00D07F4A" w:rsidRPr="002C5292" w:rsidRDefault="00D07F4A" w:rsidP="00A24E2E">
            <w:pPr>
              <w:jc w:val="center"/>
              <w:rPr>
                <w:rFonts w:asciiTheme="minorHAnsi" w:hAnsiTheme="minorHAnsi" w:cstheme="minorHAnsi"/>
                <w:color w:val="000000"/>
                <w:sz w:val="22"/>
                <w:szCs w:val="22"/>
                <w:lang w:eastAsia="en-AU"/>
              </w:rPr>
            </w:pPr>
          </w:p>
        </w:tc>
        <w:tc>
          <w:tcPr>
            <w:tcW w:w="1230" w:type="dxa"/>
            <w:tcBorders>
              <w:top w:val="nil"/>
              <w:left w:val="nil"/>
              <w:bottom w:val="single" w:sz="4" w:space="0" w:color="auto"/>
              <w:right w:val="single" w:sz="4" w:space="0" w:color="auto"/>
            </w:tcBorders>
            <w:shd w:val="clear" w:color="auto" w:fill="auto"/>
            <w:noWrap/>
            <w:vAlign w:val="center"/>
            <w:hideMark/>
          </w:tcPr>
          <w:p w14:paraId="11D1DD85" w14:textId="35D5AA2D" w:rsidR="00D07F4A" w:rsidRPr="002C5292" w:rsidRDefault="00D07F4A" w:rsidP="00A24E2E">
            <w:pPr>
              <w:jc w:val="center"/>
              <w:rPr>
                <w:rFonts w:asciiTheme="minorHAnsi" w:hAnsiTheme="minorHAnsi" w:cstheme="minorHAnsi"/>
                <w:color w:val="000000"/>
                <w:sz w:val="22"/>
                <w:szCs w:val="22"/>
                <w:lang w:eastAsia="en-AU"/>
              </w:rPr>
            </w:pPr>
          </w:p>
        </w:tc>
        <w:tc>
          <w:tcPr>
            <w:tcW w:w="1366" w:type="dxa"/>
            <w:tcBorders>
              <w:top w:val="nil"/>
              <w:left w:val="nil"/>
              <w:bottom w:val="single" w:sz="4" w:space="0" w:color="auto"/>
              <w:right w:val="single" w:sz="4" w:space="0" w:color="auto"/>
            </w:tcBorders>
            <w:shd w:val="clear" w:color="auto" w:fill="auto"/>
            <w:noWrap/>
            <w:vAlign w:val="center"/>
            <w:hideMark/>
          </w:tcPr>
          <w:p w14:paraId="3B2BE52C" w14:textId="60EE4774" w:rsidR="00D07F4A" w:rsidRPr="002C5292" w:rsidRDefault="00D07F4A" w:rsidP="00A24E2E">
            <w:pPr>
              <w:jc w:val="center"/>
              <w:rPr>
                <w:rFonts w:asciiTheme="minorHAnsi" w:hAnsiTheme="minorHAnsi" w:cstheme="minorHAnsi"/>
                <w:color w:val="000000"/>
                <w:sz w:val="22"/>
                <w:szCs w:val="22"/>
                <w:lang w:eastAsia="en-AU"/>
              </w:rPr>
            </w:pPr>
          </w:p>
        </w:tc>
        <w:tc>
          <w:tcPr>
            <w:tcW w:w="1469" w:type="dxa"/>
            <w:tcBorders>
              <w:top w:val="nil"/>
              <w:left w:val="nil"/>
              <w:bottom w:val="single" w:sz="4" w:space="0" w:color="auto"/>
              <w:right w:val="single" w:sz="4" w:space="0" w:color="auto"/>
            </w:tcBorders>
            <w:shd w:val="clear" w:color="000000" w:fill="D9D9D9"/>
            <w:noWrap/>
            <w:vAlign w:val="center"/>
            <w:hideMark/>
          </w:tcPr>
          <w:p w14:paraId="1E03A91F" w14:textId="30381571" w:rsidR="00D07F4A" w:rsidRPr="002C5292" w:rsidRDefault="00D07F4A" w:rsidP="00A24E2E">
            <w:pPr>
              <w:jc w:val="center"/>
              <w:rPr>
                <w:rFonts w:asciiTheme="minorHAnsi" w:hAnsiTheme="minorHAnsi" w:cstheme="minorHAnsi"/>
                <w:color w:val="000000"/>
                <w:sz w:val="22"/>
                <w:szCs w:val="22"/>
                <w:lang w:eastAsia="en-AU"/>
              </w:rPr>
            </w:pPr>
          </w:p>
        </w:tc>
        <w:tc>
          <w:tcPr>
            <w:tcW w:w="1134" w:type="dxa"/>
            <w:tcBorders>
              <w:top w:val="nil"/>
              <w:left w:val="nil"/>
              <w:bottom w:val="single" w:sz="4" w:space="0" w:color="auto"/>
              <w:right w:val="single" w:sz="4" w:space="0" w:color="auto"/>
            </w:tcBorders>
            <w:shd w:val="clear" w:color="auto" w:fill="auto"/>
            <w:noWrap/>
            <w:vAlign w:val="center"/>
            <w:hideMark/>
          </w:tcPr>
          <w:p w14:paraId="0D7BBF77" w14:textId="729B63E5" w:rsidR="00D07F4A" w:rsidRPr="002C5292" w:rsidRDefault="00D07F4A" w:rsidP="00A24E2E">
            <w:pPr>
              <w:jc w:val="center"/>
              <w:rPr>
                <w:rFonts w:asciiTheme="minorHAnsi" w:hAnsiTheme="minorHAnsi" w:cstheme="minorHAnsi"/>
                <w:color w:val="000000"/>
                <w:sz w:val="22"/>
                <w:szCs w:val="22"/>
                <w:lang w:eastAsia="en-AU"/>
              </w:rPr>
            </w:pPr>
          </w:p>
        </w:tc>
      </w:tr>
      <w:tr w:rsidR="00BF6E68" w:rsidRPr="002C5292" w14:paraId="61A30D01" w14:textId="77777777" w:rsidTr="00A27CE6">
        <w:trPr>
          <w:trHeight w:val="28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706792C0" w14:textId="77777777" w:rsidR="00D07F4A" w:rsidRPr="002C5292" w:rsidRDefault="00D07F4A" w:rsidP="00A24E2E">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Net avoided costs</w:t>
            </w:r>
          </w:p>
        </w:tc>
        <w:tc>
          <w:tcPr>
            <w:tcW w:w="1321" w:type="dxa"/>
            <w:tcBorders>
              <w:top w:val="nil"/>
              <w:left w:val="nil"/>
              <w:bottom w:val="single" w:sz="4" w:space="0" w:color="auto"/>
              <w:right w:val="single" w:sz="4" w:space="0" w:color="auto"/>
            </w:tcBorders>
            <w:shd w:val="clear" w:color="auto" w:fill="auto"/>
            <w:noWrap/>
            <w:vAlign w:val="center"/>
            <w:hideMark/>
          </w:tcPr>
          <w:p w14:paraId="5075CCF4" w14:textId="15B906A2"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24E2E" w:rsidRPr="002C5292">
              <w:rPr>
                <w:rFonts w:asciiTheme="minorHAnsi" w:hAnsiTheme="minorHAnsi" w:cstheme="minorHAnsi"/>
                <w:color w:val="000000"/>
                <w:sz w:val="22"/>
                <w:szCs w:val="22"/>
                <w:lang w:eastAsia="en-AU"/>
              </w:rPr>
              <w:t>605,420</w:t>
            </w:r>
          </w:p>
        </w:tc>
        <w:tc>
          <w:tcPr>
            <w:tcW w:w="1230" w:type="dxa"/>
            <w:tcBorders>
              <w:top w:val="nil"/>
              <w:left w:val="nil"/>
              <w:bottom w:val="single" w:sz="4" w:space="0" w:color="auto"/>
              <w:right w:val="single" w:sz="4" w:space="0" w:color="auto"/>
            </w:tcBorders>
            <w:shd w:val="clear" w:color="auto" w:fill="auto"/>
            <w:noWrap/>
            <w:vAlign w:val="center"/>
            <w:hideMark/>
          </w:tcPr>
          <w:p w14:paraId="52449A8F" w14:textId="151E9E49" w:rsidR="00D07F4A" w:rsidRPr="002C5292" w:rsidRDefault="00AE220F"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$111,896</w:t>
            </w:r>
          </w:p>
        </w:tc>
        <w:tc>
          <w:tcPr>
            <w:tcW w:w="1366" w:type="dxa"/>
            <w:tcBorders>
              <w:top w:val="nil"/>
              <w:left w:val="nil"/>
              <w:bottom w:val="single" w:sz="4" w:space="0" w:color="auto"/>
              <w:right w:val="single" w:sz="4" w:space="0" w:color="auto"/>
            </w:tcBorders>
            <w:shd w:val="clear" w:color="auto" w:fill="auto"/>
            <w:noWrap/>
            <w:vAlign w:val="center"/>
            <w:hideMark/>
          </w:tcPr>
          <w:p w14:paraId="2CEA4BB3"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$73,500</w:t>
            </w:r>
          </w:p>
        </w:tc>
        <w:tc>
          <w:tcPr>
            <w:tcW w:w="1469" w:type="dxa"/>
            <w:tcBorders>
              <w:top w:val="nil"/>
              <w:left w:val="nil"/>
              <w:bottom w:val="single" w:sz="4" w:space="0" w:color="auto"/>
              <w:right w:val="single" w:sz="4" w:space="0" w:color="auto"/>
            </w:tcBorders>
            <w:shd w:val="clear" w:color="000000" w:fill="D9D9D9"/>
            <w:noWrap/>
            <w:vAlign w:val="center"/>
            <w:hideMark/>
          </w:tcPr>
          <w:p w14:paraId="3366CD26" w14:textId="77777777"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Unavailable</w:t>
            </w:r>
          </w:p>
        </w:tc>
        <w:tc>
          <w:tcPr>
            <w:tcW w:w="1134" w:type="dxa"/>
            <w:tcBorders>
              <w:top w:val="nil"/>
              <w:left w:val="nil"/>
              <w:bottom w:val="single" w:sz="4" w:space="0" w:color="auto"/>
              <w:right w:val="single" w:sz="4" w:space="0" w:color="auto"/>
            </w:tcBorders>
            <w:shd w:val="clear" w:color="auto" w:fill="auto"/>
            <w:noWrap/>
            <w:vAlign w:val="center"/>
            <w:hideMark/>
          </w:tcPr>
          <w:p w14:paraId="09D8EA59" w14:textId="52AB24D2" w:rsidR="00D07F4A" w:rsidRPr="002C5292" w:rsidRDefault="00D07F4A" w:rsidP="00A24E2E">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AE220F" w:rsidRPr="002C5292">
              <w:rPr>
                <w:rFonts w:asciiTheme="minorHAnsi" w:hAnsiTheme="minorHAnsi" w:cstheme="minorHAnsi"/>
                <w:color w:val="000000"/>
                <w:sz w:val="22"/>
                <w:szCs w:val="22"/>
                <w:lang w:eastAsia="en-AU"/>
              </w:rPr>
              <w:t>790,816</w:t>
            </w:r>
          </w:p>
        </w:tc>
      </w:tr>
    </w:tbl>
    <w:p w14:paraId="2D1EA5CA" w14:textId="1E741661" w:rsidR="0038475A" w:rsidRPr="002C5292" w:rsidRDefault="0038475A">
      <w:pPr>
        <w:rPr>
          <w:rFonts w:asciiTheme="majorHAnsi" w:eastAsia="MS Gothic" w:hAnsiTheme="majorHAnsi"/>
          <w:b/>
          <w:bCs/>
          <w:color w:val="53565A"/>
        </w:rPr>
      </w:pPr>
    </w:p>
    <w:p w14:paraId="52A54B64" w14:textId="5BF3A00E" w:rsidR="00C13F92" w:rsidRPr="002C5292" w:rsidRDefault="00C13F92">
      <w:pPr>
        <w:rPr>
          <w:rFonts w:asciiTheme="majorHAnsi" w:eastAsia="MS Gothic" w:hAnsiTheme="majorHAnsi"/>
          <w:b/>
          <w:bCs/>
          <w:color w:val="53565A"/>
        </w:rPr>
      </w:pPr>
    </w:p>
    <w:p w14:paraId="668B3923" w14:textId="6D3CDADD" w:rsidR="003B2B57" w:rsidRPr="002C5292" w:rsidRDefault="00821E6B">
      <w:pPr>
        <w:rPr>
          <w:rFonts w:asciiTheme="majorHAnsi" w:eastAsia="MS Gothic" w:hAnsiTheme="majorHAnsi"/>
          <w:b/>
          <w:bCs/>
          <w:color w:val="53565A"/>
          <w:sz w:val="22"/>
          <w:szCs w:val="22"/>
        </w:rPr>
      </w:pPr>
      <w:r w:rsidRPr="002C5292">
        <w:rPr>
          <w:rFonts w:asciiTheme="majorHAnsi" w:eastAsia="MS Gothic" w:hAnsiTheme="majorHAnsi"/>
          <w:b/>
          <w:bCs/>
          <w:color w:val="53565A"/>
        </w:rPr>
        <w:t xml:space="preserve">Table 7D </w:t>
      </w:r>
      <w:r w:rsidR="00F829A4" w:rsidRPr="002C5292">
        <w:rPr>
          <w:rFonts w:asciiTheme="majorHAnsi" w:eastAsia="MS Gothic" w:hAnsiTheme="majorHAnsi"/>
          <w:b/>
          <w:bCs/>
          <w:color w:val="53565A"/>
        </w:rPr>
        <w:t xml:space="preserve">- </w:t>
      </w:r>
      <w:r w:rsidRPr="002C5292">
        <w:rPr>
          <w:rFonts w:asciiTheme="majorHAnsi" w:eastAsia="MS Gothic" w:hAnsiTheme="majorHAnsi"/>
          <w:b/>
          <w:bCs/>
          <w:color w:val="53565A"/>
          <w:sz w:val="22"/>
          <w:szCs w:val="22"/>
        </w:rPr>
        <w:t>Co</w:t>
      </w:r>
      <w:r w:rsidR="003B2B57" w:rsidRPr="002C5292">
        <w:rPr>
          <w:rFonts w:asciiTheme="majorHAnsi" w:eastAsia="MS Gothic" w:hAnsiTheme="majorHAnsi"/>
          <w:b/>
          <w:bCs/>
          <w:color w:val="53565A"/>
          <w:sz w:val="22"/>
          <w:szCs w:val="22"/>
        </w:rPr>
        <w:t>st estimates and assumptions</w:t>
      </w:r>
    </w:p>
    <w:p w14:paraId="198CCBD8" w14:textId="7A231D2C" w:rsidR="003402B2" w:rsidRPr="002C5292" w:rsidRDefault="003402B2">
      <w:pPr>
        <w:rPr>
          <w:rFonts w:asciiTheme="majorHAnsi" w:eastAsia="MS Gothic" w:hAnsiTheme="majorHAnsi"/>
          <w:b/>
          <w:bCs/>
          <w:color w:val="53565A"/>
          <w:sz w:val="22"/>
          <w:szCs w:val="22"/>
        </w:rPr>
      </w:pPr>
    </w:p>
    <w:tbl>
      <w:tblPr>
        <w:tblStyle w:val="TableGrid"/>
        <w:tblW w:w="10206" w:type="dxa"/>
        <w:tblLook w:val="04A0" w:firstRow="1" w:lastRow="0" w:firstColumn="1" w:lastColumn="0" w:noHBand="0" w:noVBand="1"/>
      </w:tblPr>
      <w:tblGrid>
        <w:gridCol w:w="3675"/>
        <w:gridCol w:w="2188"/>
        <w:gridCol w:w="1282"/>
        <w:gridCol w:w="1522"/>
        <w:gridCol w:w="1539"/>
      </w:tblGrid>
      <w:tr w:rsidR="00BF6E68" w:rsidRPr="002C5292" w14:paraId="2DB1D084" w14:textId="77777777" w:rsidTr="00A27CE6">
        <w:trPr>
          <w:trHeight w:val="285"/>
        </w:trPr>
        <w:tc>
          <w:tcPr>
            <w:tcW w:w="3675" w:type="dxa"/>
            <w:noWrap/>
            <w:hideMark/>
          </w:tcPr>
          <w:p w14:paraId="389EA173" w14:textId="776256FB" w:rsidR="003B2B57" w:rsidRPr="002C5292" w:rsidRDefault="00821E6B" w:rsidP="00ED3A81">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rPr>
              <w:t>C</w:t>
            </w:r>
            <w:r w:rsidR="003B2B57" w:rsidRPr="002C5292">
              <w:rPr>
                <w:rFonts w:asciiTheme="minorHAnsi" w:hAnsiTheme="minorHAnsi" w:cstheme="minorHAnsi"/>
                <w:b/>
                <w:bCs/>
                <w:color w:val="000000"/>
                <w:sz w:val="22"/>
                <w:szCs w:val="22"/>
                <w:lang w:eastAsia="en-AU"/>
              </w:rPr>
              <w:t>ost</w:t>
            </w:r>
            <w:r w:rsidR="003B2B57" w:rsidRPr="002C5292">
              <w:rPr>
                <w:rFonts w:asciiTheme="minorHAnsi" w:hAnsiTheme="minorHAnsi" w:cstheme="minorHAnsi"/>
                <w:b/>
                <w:bCs/>
                <w:color w:val="000000"/>
                <w:sz w:val="22"/>
                <w:szCs w:val="22"/>
              </w:rPr>
              <w:t xml:space="preserve"> estimates and assumptions</w:t>
            </w:r>
          </w:p>
        </w:tc>
        <w:tc>
          <w:tcPr>
            <w:tcW w:w="2188" w:type="dxa"/>
            <w:noWrap/>
            <w:hideMark/>
          </w:tcPr>
          <w:p w14:paraId="38A49025" w14:textId="77777777" w:rsidR="003B2B57" w:rsidRPr="002C5292" w:rsidRDefault="003B2B57" w:rsidP="00ED3A81">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Agencies</w:t>
            </w:r>
          </w:p>
        </w:tc>
        <w:tc>
          <w:tcPr>
            <w:tcW w:w="1286" w:type="dxa"/>
          </w:tcPr>
          <w:p w14:paraId="1C3AAD57" w14:textId="77777777" w:rsidR="003B2B57" w:rsidRPr="002C5292" w:rsidRDefault="003B2B57" w:rsidP="00ED3A81">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rPr>
              <w:t>DPC</w:t>
            </w:r>
          </w:p>
        </w:tc>
        <w:tc>
          <w:tcPr>
            <w:tcW w:w="1518" w:type="dxa"/>
            <w:noWrap/>
            <w:hideMark/>
          </w:tcPr>
          <w:p w14:paraId="1218AA8A" w14:textId="77777777" w:rsidR="003B2B57" w:rsidRPr="002C5292" w:rsidRDefault="003B2B57" w:rsidP="00ED3A81">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BRV</w:t>
            </w:r>
          </w:p>
        </w:tc>
        <w:tc>
          <w:tcPr>
            <w:tcW w:w="1539" w:type="dxa"/>
            <w:noWrap/>
            <w:hideMark/>
          </w:tcPr>
          <w:p w14:paraId="575331FE" w14:textId="77777777" w:rsidR="003B2B57" w:rsidRPr="002C5292" w:rsidRDefault="003B2B57" w:rsidP="00ED3A81">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Parliament</w:t>
            </w:r>
          </w:p>
        </w:tc>
      </w:tr>
      <w:tr w:rsidR="00BF6E68" w:rsidRPr="002C5292" w14:paraId="0A4822B8" w14:textId="77777777" w:rsidTr="00A27CE6">
        <w:trPr>
          <w:trHeight w:val="285"/>
        </w:trPr>
        <w:tc>
          <w:tcPr>
            <w:tcW w:w="3675" w:type="dxa"/>
            <w:noWrap/>
          </w:tcPr>
          <w:p w14:paraId="216EF495" w14:textId="6B6137FE" w:rsidR="00821E6B" w:rsidRPr="002C5292" w:rsidRDefault="003B2B57"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Approximate average cost of a RIS</w:t>
            </w:r>
            <w:r w:rsidR="000C4A15" w:rsidRPr="002C5292">
              <w:rPr>
                <w:rStyle w:val="FootnoteReference"/>
                <w:rFonts w:asciiTheme="minorHAnsi" w:hAnsiTheme="minorHAnsi" w:cstheme="minorHAnsi"/>
                <w:color w:val="000000"/>
                <w:sz w:val="22"/>
                <w:szCs w:val="22"/>
              </w:rPr>
              <w:footnoteReference w:id="19"/>
            </w:r>
          </w:p>
        </w:tc>
        <w:tc>
          <w:tcPr>
            <w:tcW w:w="2188" w:type="dxa"/>
            <w:noWrap/>
          </w:tcPr>
          <w:p w14:paraId="38A9ABE8"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$200,000</w:t>
            </w:r>
          </w:p>
        </w:tc>
        <w:tc>
          <w:tcPr>
            <w:tcW w:w="1286" w:type="dxa"/>
          </w:tcPr>
          <w:p w14:paraId="6034AA76" w14:textId="77777777"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518" w:type="dxa"/>
            <w:noWrap/>
          </w:tcPr>
          <w:p w14:paraId="5F7C6022"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c>
          <w:tcPr>
            <w:tcW w:w="1539" w:type="dxa"/>
            <w:noWrap/>
          </w:tcPr>
          <w:p w14:paraId="4180EE70"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r>
      <w:tr w:rsidR="00BF6E68" w:rsidRPr="002C5292" w14:paraId="343FB706" w14:textId="77777777" w:rsidTr="00A27CE6">
        <w:trPr>
          <w:trHeight w:val="285"/>
        </w:trPr>
        <w:tc>
          <w:tcPr>
            <w:tcW w:w="3675" w:type="dxa"/>
            <w:noWrap/>
          </w:tcPr>
          <w:p w14:paraId="27ACBB00" w14:textId="5BB894D9" w:rsidR="003B2B57" w:rsidRPr="002C5292" w:rsidRDefault="003B2B57"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rPr>
              <w:t>Average additional effort involved in undertaking RIS</w:t>
            </w:r>
            <w:r w:rsidR="00717327" w:rsidRPr="002C5292">
              <w:rPr>
                <w:rStyle w:val="FootnoteReference"/>
                <w:rFonts w:asciiTheme="minorHAnsi" w:hAnsiTheme="minorHAnsi" w:cstheme="minorHAnsi"/>
                <w:color w:val="000000"/>
                <w:sz w:val="22"/>
                <w:szCs w:val="22"/>
              </w:rPr>
              <w:footnoteReference w:id="20"/>
            </w:r>
          </w:p>
        </w:tc>
        <w:tc>
          <w:tcPr>
            <w:tcW w:w="2188" w:type="dxa"/>
            <w:noWrap/>
          </w:tcPr>
          <w:p w14:paraId="288EC9D1" w14:textId="0AB05F03" w:rsidR="003B2B57" w:rsidRPr="002C5292" w:rsidRDefault="009C55ED"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25%-75%</w:t>
            </w:r>
          </w:p>
        </w:tc>
        <w:tc>
          <w:tcPr>
            <w:tcW w:w="1286" w:type="dxa"/>
          </w:tcPr>
          <w:p w14:paraId="08E1101A" w14:textId="77777777"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518" w:type="dxa"/>
            <w:noWrap/>
          </w:tcPr>
          <w:p w14:paraId="3D335943"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c>
          <w:tcPr>
            <w:tcW w:w="1539" w:type="dxa"/>
            <w:noWrap/>
          </w:tcPr>
          <w:p w14:paraId="75F4326F"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r>
      <w:tr w:rsidR="00BF6E68" w:rsidRPr="002C5292" w14:paraId="45F825A6" w14:textId="77777777" w:rsidTr="00A27CE6">
        <w:trPr>
          <w:trHeight w:val="285"/>
        </w:trPr>
        <w:tc>
          <w:tcPr>
            <w:tcW w:w="3675" w:type="dxa"/>
            <w:noWrap/>
          </w:tcPr>
          <w:p w14:paraId="10B41741" w14:textId="30933025" w:rsidR="003B2B57" w:rsidRPr="002C5292" w:rsidRDefault="003B2B57"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Approximate average cost of reviewing a RIS</w:t>
            </w:r>
            <w:r w:rsidR="00717327" w:rsidRPr="002C5292">
              <w:rPr>
                <w:rStyle w:val="FootnoteReference"/>
                <w:rFonts w:asciiTheme="minorHAnsi" w:hAnsiTheme="minorHAnsi" w:cstheme="minorHAnsi"/>
                <w:color w:val="000000"/>
                <w:sz w:val="22"/>
                <w:szCs w:val="22"/>
              </w:rPr>
              <w:footnoteReference w:id="21"/>
            </w:r>
          </w:p>
        </w:tc>
        <w:tc>
          <w:tcPr>
            <w:tcW w:w="2188" w:type="dxa"/>
            <w:noWrap/>
          </w:tcPr>
          <w:p w14:paraId="67ECC80A"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c>
          <w:tcPr>
            <w:tcW w:w="1286" w:type="dxa"/>
          </w:tcPr>
          <w:p w14:paraId="01C32704" w14:textId="77777777"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518" w:type="dxa"/>
            <w:noWrap/>
          </w:tcPr>
          <w:p w14:paraId="761B4519" w14:textId="4A5F0A96"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$10,000 - $20,000</w:t>
            </w:r>
          </w:p>
        </w:tc>
        <w:tc>
          <w:tcPr>
            <w:tcW w:w="1539" w:type="dxa"/>
            <w:noWrap/>
          </w:tcPr>
          <w:p w14:paraId="0F36D78E"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Unavailable</w:t>
            </w:r>
          </w:p>
        </w:tc>
      </w:tr>
      <w:tr w:rsidR="00BF6E68" w:rsidRPr="002C5292" w14:paraId="28B8DA70" w14:textId="77777777" w:rsidTr="00A27CE6">
        <w:trPr>
          <w:trHeight w:val="285"/>
        </w:trPr>
        <w:tc>
          <w:tcPr>
            <w:tcW w:w="3675" w:type="dxa"/>
            <w:noWrap/>
          </w:tcPr>
          <w:p w14:paraId="4D0DB8B2" w14:textId="0FE28FFC" w:rsidR="003B2B57" w:rsidRPr="002C5292" w:rsidRDefault="003B2B57"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Approximate average cost of preparing</w:t>
            </w:r>
            <w:r w:rsidR="009C55ED" w:rsidRPr="002C5292">
              <w:rPr>
                <w:rFonts w:asciiTheme="minorHAnsi" w:hAnsiTheme="minorHAnsi" w:cstheme="minorHAnsi"/>
                <w:color w:val="000000"/>
                <w:sz w:val="22"/>
                <w:szCs w:val="22"/>
              </w:rPr>
              <w:t xml:space="preserve"> or reviewing</w:t>
            </w:r>
            <w:r w:rsidRPr="002C5292">
              <w:rPr>
                <w:rFonts w:asciiTheme="minorHAnsi" w:hAnsiTheme="minorHAnsi" w:cstheme="minorHAnsi"/>
                <w:color w:val="000000"/>
                <w:sz w:val="22"/>
                <w:szCs w:val="22"/>
              </w:rPr>
              <w:t xml:space="preserve"> </w:t>
            </w:r>
            <w:r w:rsidR="00821E6B" w:rsidRPr="002C5292">
              <w:rPr>
                <w:rFonts w:asciiTheme="minorHAnsi" w:hAnsiTheme="minorHAnsi" w:cstheme="minorHAnsi"/>
                <w:color w:val="000000"/>
                <w:sz w:val="22"/>
                <w:szCs w:val="22"/>
              </w:rPr>
              <w:t>s</w:t>
            </w:r>
            <w:r w:rsidRPr="002C5292">
              <w:rPr>
                <w:rFonts w:asciiTheme="minorHAnsi" w:hAnsiTheme="minorHAnsi" w:cstheme="minorHAnsi"/>
                <w:color w:val="000000"/>
                <w:sz w:val="22"/>
                <w:szCs w:val="22"/>
              </w:rPr>
              <w:t>12F exemption certificates</w:t>
            </w:r>
            <w:r w:rsidR="00717327" w:rsidRPr="002C5292">
              <w:rPr>
                <w:rStyle w:val="FootnoteReference"/>
                <w:rFonts w:asciiTheme="minorHAnsi" w:hAnsiTheme="minorHAnsi" w:cstheme="minorHAnsi"/>
                <w:color w:val="000000"/>
                <w:sz w:val="22"/>
                <w:szCs w:val="22"/>
              </w:rPr>
              <w:footnoteReference w:id="22"/>
            </w:r>
          </w:p>
        </w:tc>
        <w:tc>
          <w:tcPr>
            <w:tcW w:w="2188" w:type="dxa"/>
            <w:noWrap/>
          </w:tcPr>
          <w:p w14:paraId="22735417" w14:textId="3B25E972" w:rsidR="003B2B57" w:rsidRPr="002C5292" w:rsidRDefault="009C55ED" w:rsidP="009C55ED">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$600-$1,500</w:t>
            </w:r>
          </w:p>
        </w:tc>
        <w:tc>
          <w:tcPr>
            <w:tcW w:w="1286" w:type="dxa"/>
          </w:tcPr>
          <w:p w14:paraId="36327E5C" w14:textId="73269062" w:rsidR="003B2B57" w:rsidRPr="002C5292" w:rsidRDefault="009C55ED"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518" w:type="dxa"/>
            <w:noWrap/>
          </w:tcPr>
          <w:p w14:paraId="4A264FEF"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Unavailable</w:t>
            </w:r>
            <w:r w:rsidRPr="002C5292">
              <w:rPr>
                <w:rStyle w:val="FootnoteReference"/>
                <w:rFonts w:asciiTheme="minorHAnsi" w:eastAsia="MS Gothic" w:hAnsiTheme="minorHAnsi" w:cstheme="minorHAnsi"/>
                <w:color w:val="000000"/>
                <w:sz w:val="22"/>
                <w:szCs w:val="22"/>
              </w:rPr>
              <w:footnoteReference w:id="23"/>
            </w:r>
          </w:p>
        </w:tc>
        <w:tc>
          <w:tcPr>
            <w:tcW w:w="1539" w:type="dxa"/>
            <w:noWrap/>
          </w:tcPr>
          <w:p w14:paraId="3AD56CB9"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Unavailable</w:t>
            </w:r>
          </w:p>
        </w:tc>
      </w:tr>
      <w:tr w:rsidR="00BF6E68" w:rsidRPr="002C5292" w14:paraId="3C4C89B4" w14:textId="77777777" w:rsidTr="00A27CE6">
        <w:trPr>
          <w:trHeight w:val="285"/>
        </w:trPr>
        <w:tc>
          <w:tcPr>
            <w:tcW w:w="3675" w:type="dxa"/>
            <w:noWrap/>
          </w:tcPr>
          <w:p w14:paraId="6F8DD8AD" w14:textId="4A44587E" w:rsidR="003B2B57" w:rsidRPr="002C5292" w:rsidRDefault="003B2B57"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 xml:space="preserve">Approximate average cost of </w:t>
            </w:r>
            <w:r w:rsidR="009C55ED" w:rsidRPr="002C5292">
              <w:rPr>
                <w:rFonts w:asciiTheme="minorHAnsi" w:hAnsiTheme="minorHAnsi" w:cstheme="minorHAnsi"/>
                <w:color w:val="000000"/>
                <w:sz w:val="22"/>
                <w:szCs w:val="22"/>
              </w:rPr>
              <w:t xml:space="preserve">preparing or reviewing </w:t>
            </w:r>
            <w:r w:rsidR="00821E6B" w:rsidRPr="002C5292">
              <w:rPr>
                <w:rFonts w:asciiTheme="minorHAnsi" w:hAnsiTheme="minorHAnsi" w:cstheme="minorHAnsi"/>
                <w:color w:val="000000"/>
                <w:sz w:val="22"/>
                <w:szCs w:val="22"/>
              </w:rPr>
              <w:t>s</w:t>
            </w:r>
            <w:r w:rsidRPr="002C5292">
              <w:rPr>
                <w:rFonts w:asciiTheme="minorHAnsi" w:hAnsiTheme="minorHAnsi" w:cstheme="minorHAnsi"/>
                <w:color w:val="000000"/>
                <w:sz w:val="22"/>
                <w:szCs w:val="22"/>
              </w:rPr>
              <w:t>12G exemption certificates</w:t>
            </w:r>
            <w:r w:rsidR="00304E9F" w:rsidRPr="002C5292">
              <w:rPr>
                <w:rStyle w:val="FootnoteReference"/>
                <w:rFonts w:asciiTheme="minorHAnsi" w:hAnsiTheme="minorHAnsi" w:cstheme="minorHAnsi"/>
                <w:color w:val="000000"/>
                <w:sz w:val="22"/>
                <w:szCs w:val="22"/>
              </w:rPr>
              <w:footnoteReference w:id="24"/>
            </w:r>
            <w:r w:rsidR="00821E6B" w:rsidRPr="002C5292">
              <w:rPr>
                <w:rFonts w:asciiTheme="minorHAnsi" w:hAnsiTheme="minorHAnsi" w:cstheme="minorHAnsi"/>
                <w:color w:val="000000"/>
                <w:sz w:val="22"/>
                <w:szCs w:val="22"/>
              </w:rPr>
              <w:t xml:space="preserve"> </w:t>
            </w:r>
          </w:p>
        </w:tc>
        <w:tc>
          <w:tcPr>
            <w:tcW w:w="2188" w:type="dxa"/>
            <w:noWrap/>
          </w:tcPr>
          <w:p w14:paraId="2FBE45A8" w14:textId="297DE9A0" w:rsidR="003B2B57" w:rsidRPr="002C5292" w:rsidRDefault="009C55ED" w:rsidP="00BF6E68">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$600</w:t>
            </w:r>
            <w:r w:rsidR="00BF6E68" w:rsidRPr="002C5292">
              <w:rPr>
                <w:rFonts w:asciiTheme="minorHAnsi" w:hAnsiTheme="minorHAnsi" w:cstheme="minorHAnsi"/>
                <w:color w:val="000000"/>
                <w:sz w:val="22"/>
                <w:szCs w:val="22"/>
              </w:rPr>
              <w:t>-</w:t>
            </w:r>
            <w:r w:rsidRPr="002C5292">
              <w:rPr>
                <w:rFonts w:asciiTheme="minorHAnsi" w:hAnsiTheme="minorHAnsi" w:cstheme="minorHAnsi"/>
                <w:color w:val="000000"/>
                <w:sz w:val="22"/>
                <w:szCs w:val="22"/>
              </w:rPr>
              <w:t>$1,500</w:t>
            </w:r>
          </w:p>
        </w:tc>
        <w:tc>
          <w:tcPr>
            <w:tcW w:w="1286" w:type="dxa"/>
          </w:tcPr>
          <w:p w14:paraId="31830B95" w14:textId="4EE7EBDA" w:rsidR="003B2B57" w:rsidRPr="002C5292" w:rsidRDefault="00304E9F"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w:t>
            </w:r>
            <w:r w:rsidR="00AE220F" w:rsidRPr="002C5292">
              <w:rPr>
                <w:rFonts w:asciiTheme="minorHAnsi" w:hAnsiTheme="minorHAnsi" w:cstheme="minorHAnsi"/>
                <w:color w:val="000000"/>
                <w:sz w:val="22"/>
                <w:szCs w:val="22"/>
              </w:rPr>
              <w:t>3,747</w:t>
            </w:r>
          </w:p>
        </w:tc>
        <w:tc>
          <w:tcPr>
            <w:tcW w:w="1518" w:type="dxa"/>
            <w:noWrap/>
          </w:tcPr>
          <w:p w14:paraId="0B602CE6"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N/A</w:t>
            </w:r>
          </w:p>
        </w:tc>
        <w:tc>
          <w:tcPr>
            <w:tcW w:w="1362" w:type="dxa"/>
            <w:noWrap/>
          </w:tcPr>
          <w:p w14:paraId="03A717E6" w14:textId="77777777" w:rsidR="003B2B57" w:rsidRPr="002C5292" w:rsidRDefault="003B2B57" w:rsidP="00ED3A81">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Unavailable</w:t>
            </w:r>
          </w:p>
        </w:tc>
      </w:tr>
      <w:tr w:rsidR="00BF6E68" w:rsidRPr="002C5292" w14:paraId="2C72A2EB" w14:textId="77777777" w:rsidTr="00A27CE6">
        <w:trPr>
          <w:trHeight w:val="285"/>
        </w:trPr>
        <w:tc>
          <w:tcPr>
            <w:tcW w:w="3675" w:type="dxa"/>
            <w:noWrap/>
          </w:tcPr>
          <w:p w14:paraId="704FF5CC" w14:textId="6DA5FC8E" w:rsidR="003B2B57" w:rsidRPr="002C5292" w:rsidRDefault="003B2B57"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rPr>
              <w:t>Approximate average cost of requesting placement of a provision on Sch</w:t>
            </w:r>
            <w:r w:rsidR="00F26844" w:rsidRPr="002C5292">
              <w:rPr>
                <w:rFonts w:asciiTheme="minorHAnsi" w:hAnsiTheme="minorHAnsi" w:cstheme="minorHAnsi"/>
                <w:color w:val="000000"/>
                <w:sz w:val="22"/>
                <w:szCs w:val="22"/>
              </w:rPr>
              <w:t xml:space="preserve">edule </w:t>
            </w:r>
            <w:r w:rsidRPr="002C5292">
              <w:rPr>
                <w:rFonts w:asciiTheme="minorHAnsi" w:hAnsiTheme="minorHAnsi" w:cstheme="minorHAnsi"/>
                <w:color w:val="000000"/>
                <w:sz w:val="22"/>
                <w:szCs w:val="22"/>
              </w:rPr>
              <w:t>3 or in the body of the regulations</w:t>
            </w:r>
            <w:r w:rsidR="00717327" w:rsidRPr="002C5292">
              <w:rPr>
                <w:rStyle w:val="FootnoteReference"/>
                <w:rFonts w:asciiTheme="minorHAnsi" w:hAnsiTheme="minorHAnsi" w:cstheme="minorHAnsi"/>
                <w:color w:val="000000"/>
                <w:sz w:val="22"/>
                <w:szCs w:val="22"/>
              </w:rPr>
              <w:footnoteReference w:id="25"/>
            </w:r>
          </w:p>
        </w:tc>
        <w:tc>
          <w:tcPr>
            <w:tcW w:w="2188" w:type="dxa"/>
            <w:noWrap/>
          </w:tcPr>
          <w:p w14:paraId="469573B1" w14:textId="3C3152DC" w:rsidR="003B2B57" w:rsidRPr="002C5292" w:rsidRDefault="009C55ED" w:rsidP="00BF6E68">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$600</w:t>
            </w:r>
            <w:r w:rsidR="00BF6E68" w:rsidRPr="002C5292">
              <w:rPr>
                <w:rFonts w:asciiTheme="minorHAnsi" w:hAnsiTheme="minorHAnsi" w:cstheme="minorHAnsi"/>
                <w:color w:val="000000"/>
                <w:sz w:val="22"/>
                <w:szCs w:val="22"/>
              </w:rPr>
              <w:t>-</w:t>
            </w:r>
            <w:r w:rsidRPr="002C5292">
              <w:rPr>
                <w:rFonts w:asciiTheme="minorHAnsi" w:hAnsiTheme="minorHAnsi" w:cstheme="minorHAnsi"/>
                <w:color w:val="000000"/>
                <w:sz w:val="22"/>
                <w:szCs w:val="22"/>
              </w:rPr>
              <w:t>$1,500</w:t>
            </w:r>
          </w:p>
        </w:tc>
        <w:tc>
          <w:tcPr>
            <w:tcW w:w="1286" w:type="dxa"/>
          </w:tcPr>
          <w:p w14:paraId="5FA798B2" w14:textId="392B8A39" w:rsidR="003B2B57" w:rsidRPr="002C5292" w:rsidRDefault="009C55ED"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518" w:type="dxa"/>
            <w:noWrap/>
          </w:tcPr>
          <w:p w14:paraId="3B99D07D" w14:textId="77777777"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c>
          <w:tcPr>
            <w:tcW w:w="1362" w:type="dxa"/>
            <w:noWrap/>
          </w:tcPr>
          <w:p w14:paraId="16E00D80" w14:textId="77777777"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N/A</w:t>
            </w:r>
          </w:p>
        </w:tc>
      </w:tr>
      <w:tr w:rsidR="00BF6E68" w:rsidRPr="002C5292" w14:paraId="78A7A3D6" w14:textId="77777777" w:rsidTr="00A27CE6">
        <w:trPr>
          <w:trHeight w:val="285"/>
        </w:trPr>
        <w:tc>
          <w:tcPr>
            <w:tcW w:w="3675" w:type="dxa"/>
            <w:noWrap/>
          </w:tcPr>
          <w:p w14:paraId="03E8A594" w14:textId="19190557" w:rsidR="003B2B57" w:rsidRPr="002C5292" w:rsidRDefault="003B2B57"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 xml:space="preserve">Cost of </w:t>
            </w:r>
            <w:r w:rsidR="00717327" w:rsidRPr="002C5292">
              <w:rPr>
                <w:rFonts w:asciiTheme="minorHAnsi" w:hAnsiTheme="minorHAnsi" w:cstheme="minorHAnsi"/>
                <w:color w:val="000000"/>
                <w:sz w:val="22"/>
                <w:szCs w:val="22"/>
                <w:lang w:eastAsia="en-AU"/>
              </w:rPr>
              <w:t>making the R</w:t>
            </w:r>
            <w:r w:rsidRPr="002C5292">
              <w:rPr>
                <w:rFonts w:asciiTheme="minorHAnsi" w:hAnsiTheme="minorHAnsi" w:cstheme="minorHAnsi"/>
                <w:color w:val="000000"/>
                <w:sz w:val="22"/>
                <w:szCs w:val="22"/>
                <w:lang w:eastAsia="en-AU"/>
              </w:rPr>
              <w:t>egulations</w:t>
            </w:r>
            <w:r w:rsidRPr="002C5292">
              <w:rPr>
                <w:rStyle w:val="FootnoteReference"/>
                <w:rFonts w:asciiTheme="minorHAnsi" w:hAnsiTheme="minorHAnsi" w:cstheme="minorHAnsi"/>
                <w:color w:val="000000"/>
                <w:sz w:val="22"/>
                <w:szCs w:val="22"/>
                <w:lang w:eastAsia="en-AU"/>
              </w:rPr>
              <w:footnoteReference w:id="26"/>
            </w:r>
            <w:r w:rsidRPr="002C5292">
              <w:rPr>
                <w:rFonts w:asciiTheme="minorHAnsi" w:hAnsiTheme="minorHAnsi" w:cstheme="minorHAnsi"/>
                <w:color w:val="000000"/>
                <w:sz w:val="22"/>
                <w:szCs w:val="22"/>
              </w:rPr>
              <w:t xml:space="preserve"> (once every 10 years)</w:t>
            </w:r>
          </w:p>
        </w:tc>
        <w:tc>
          <w:tcPr>
            <w:tcW w:w="2188" w:type="dxa"/>
            <w:noWrap/>
          </w:tcPr>
          <w:p w14:paraId="0F24C7FB" w14:textId="6FEEA2FC" w:rsidR="003B2B57" w:rsidRPr="002C5292" w:rsidRDefault="0071732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c>
          <w:tcPr>
            <w:tcW w:w="1286" w:type="dxa"/>
          </w:tcPr>
          <w:p w14:paraId="111897EB" w14:textId="30EF8938"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$200,000</w:t>
            </w:r>
          </w:p>
        </w:tc>
        <w:tc>
          <w:tcPr>
            <w:tcW w:w="1518" w:type="dxa"/>
            <w:noWrap/>
          </w:tcPr>
          <w:p w14:paraId="7788BA88" w14:textId="707003EE" w:rsidR="003B2B57" w:rsidRPr="002C5292" w:rsidRDefault="0071732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c>
          <w:tcPr>
            <w:tcW w:w="1362" w:type="dxa"/>
            <w:noWrap/>
          </w:tcPr>
          <w:p w14:paraId="5368DB08" w14:textId="1453B275" w:rsidR="003B2B57" w:rsidRPr="002C5292" w:rsidRDefault="0071732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r>
      <w:tr w:rsidR="00BF6E68" w:rsidRPr="002C5292" w14:paraId="2AA95E95" w14:textId="77777777" w:rsidTr="00A27CE6">
        <w:trPr>
          <w:trHeight w:val="285"/>
        </w:trPr>
        <w:tc>
          <w:tcPr>
            <w:tcW w:w="3675" w:type="dxa"/>
            <w:noWrap/>
          </w:tcPr>
          <w:p w14:paraId="439F852E" w14:textId="7F92258B" w:rsidR="003B2B57" w:rsidRPr="002C5292" w:rsidRDefault="003B2B57"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rPr>
              <w:t xml:space="preserve">Cost to </w:t>
            </w:r>
            <w:r w:rsidR="00717327" w:rsidRPr="002C5292">
              <w:rPr>
                <w:rFonts w:asciiTheme="minorHAnsi" w:hAnsiTheme="minorHAnsi" w:cstheme="minorHAnsi"/>
                <w:color w:val="000000"/>
                <w:sz w:val="22"/>
                <w:szCs w:val="22"/>
              </w:rPr>
              <w:t>amend the R</w:t>
            </w:r>
            <w:r w:rsidRPr="002C5292">
              <w:rPr>
                <w:rFonts w:asciiTheme="minorHAnsi" w:hAnsiTheme="minorHAnsi" w:cstheme="minorHAnsi"/>
                <w:color w:val="000000"/>
                <w:sz w:val="22"/>
                <w:szCs w:val="22"/>
              </w:rPr>
              <w:t>egulations (typically annually)</w:t>
            </w:r>
            <w:r w:rsidRPr="002C5292">
              <w:rPr>
                <w:rStyle w:val="FootnoteReference"/>
                <w:rFonts w:asciiTheme="minorHAnsi" w:eastAsia="MS Gothic" w:hAnsiTheme="minorHAnsi" w:cstheme="minorHAnsi"/>
                <w:color w:val="000000"/>
                <w:sz w:val="22"/>
                <w:szCs w:val="22"/>
              </w:rPr>
              <w:footnoteReference w:id="27"/>
            </w:r>
          </w:p>
        </w:tc>
        <w:tc>
          <w:tcPr>
            <w:tcW w:w="2188" w:type="dxa"/>
            <w:noWrap/>
          </w:tcPr>
          <w:p w14:paraId="59C513F8" w14:textId="245608A8" w:rsidR="003B2B57" w:rsidRPr="002C5292" w:rsidRDefault="0071732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c>
          <w:tcPr>
            <w:tcW w:w="1286" w:type="dxa"/>
          </w:tcPr>
          <w:p w14:paraId="789BFE43" w14:textId="1396E941" w:rsidR="003B2B57" w:rsidRPr="002C5292" w:rsidRDefault="003B2B57"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$18,000</w:t>
            </w:r>
          </w:p>
        </w:tc>
        <w:tc>
          <w:tcPr>
            <w:tcW w:w="1518" w:type="dxa"/>
            <w:noWrap/>
          </w:tcPr>
          <w:p w14:paraId="13764322" w14:textId="1F7F1C63" w:rsidR="003B2B57" w:rsidRPr="002C5292" w:rsidRDefault="008D0E76"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c>
          <w:tcPr>
            <w:tcW w:w="1362" w:type="dxa"/>
            <w:noWrap/>
          </w:tcPr>
          <w:p w14:paraId="3AFA2D51" w14:textId="6A70B729" w:rsidR="003B2B57" w:rsidRPr="002C5292" w:rsidRDefault="008D0E76"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lang w:eastAsia="en-AU"/>
              </w:rPr>
              <w:t>N/A</w:t>
            </w:r>
          </w:p>
        </w:tc>
      </w:tr>
    </w:tbl>
    <w:p w14:paraId="4A58BF49" w14:textId="4A0EFCC5" w:rsidR="00D07F4A" w:rsidRPr="002C5292" w:rsidRDefault="00D07F4A"/>
    <w:tbl>
      <w:tblPr>
        <w:tblStyle w:val="TableGrid"/>
        <w:tblW w:w="9072" w:type="dxa"/>
        <w:tblLook w:val="04A0" w:firstRow="1" w:lastRow="0" w:firstColumn="1" w:lastColumn="0" w:noHBand="0" w:noVBand="1"/>
      </w:tblPr>
      <w:tblGrid>
        <w:gridCol w:w="6237"/>
        <w:gridCol w:w="2835"/>
      </w:tblGrid>
      <w:tr w:rsidR="00D07F4A" w:rsidRPr="002C5292" w14:paraId="3D304521" w14:textId="77777777" w:rsidTr="00A27CE6">
        <w:trPr>
          <w:trHeight w:val="285"/>
        </w:trPr>
        <w:tc>
          <w:tcPr>
            <w:tcW w:w="6237" w:type="dxa"/>
            <w:noWrap/>
            <w:hideMark/>
          </w:tcPr>
          <w:p w14:paraId="207FA8AB" w14:textId="766C4BF0" w:rsidR="00D07F4A" w:rsidRPr="002C5292" w:rsidRDefault="00D07F4A" w:rsidP="00A165E8">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rPr>
              <w:t>Other estimates</w:t>
            </w:r>
          </w:p>
        </w:tc>
        <w:tc>
          <w:tcPr>
            <w:tcW w:w="2835" w:type="dxa"/>
            <w:noWrap/>
            <w:hideMark/>
          </w:tcPr>
          <w:p w14:paraId="5C766F9A" w14:textId="6C233DF5" w:rsidR="00D07F4A" w:rsidRPr="002C5292" w:rsidRDefault="00D07F4A" w:rsidP="00A165E8">
            <w:pPr>
              <w:jc w:val="center"/>
              <w:rPr>
                <w:rFonts w:asciiTheme="minorHAnsi" w:hAnsiTheme="minorHAnsi" w:cstheme="minorHAnsi"/>
                <w:b/>
                <w:bCs/>
                <w:color w:val="000000"/>
                <w:sz w:val="22"/>
                <w:szCs w:val="22"/>
                <w:lang w:eastAsia="en-AU"/>
              </w:rPr>
            </w:pPr>
          </w:p>
        </w:tc>
      </w:tr>
      <w:tr w:rsidR="00D07F4A" w:rsidRPr="002C5292" w14:paraId="2D3F3774" w14:textId="77777777" w:rsidTr="00A27CE6">
        <w:trPr>
          <w:trHeight w:val="285"/>
        </w:trPr>
        <w:tc>
          <w:tcPr>
            <w:tcW w:w="6237" w:type="dxa"/>
            <w:noWrap/>
          </w:tcPr>
          <w:p w14:paraId="5ABD6620" w14:textId="5F8EE31F" w:rsidR="00D07F4A" w:rsidRPr="002C5292" w:rsidRDefault="00D07F4A"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rPr>
              <w:t xml:space="preserve">Estimated number of avoided RISs </w:t>
            </w:r>
            <w:r w:rsidR="00103806" w:rsidRPr="002C5292">
              <w:rPr>
                <w:rFonts w:asciiTheme="minorHAnsi" w:hAnsiTheme="minorHAnsi" w:cstheme="minorHAnsi"/>
                <w:color w:val="000000"/>
                <w:sz w:val="22"/>
                <w:szCs w:val="22"/>
              </w:rPr>
              <w:t xml:space="preserve">per year </w:t>
            </w:r>
            <w:r w:rsidRPr="002C5292">
              <w:rPr>
                <w:rFonts w:asciiTheme="minorHAnsi" w:hAnsiTheme="minorHAnsi" w:cstheme="minorHAnsi"/>
                <w:color w:val="000000"/>
                <w:sz w:val="22"/>
                <w:szCs w:val="22"/>
              </w:rPr>
              <w:t>(Option</w:t>
            </w:r>
            <w:r w:rsidR="001A3B93" w:rsidRPr="002C5292">
              <w:rPr>
                <w:rFonts w:asciiTheme="minorHAnsi" w:hAnsiTheme="minorHAnsi" w:cstheme="minorHAnsi"/>
                <w:color w:val="000000"/>
                <w:sz w:val="22"/>
                <w:szCs w:val="22"/>
              </w:rPr>
              <w:t>s</w:t>
            </w:r>
            <w:r w:rsidRPr="002C5292">
              <w:rPr>
                <w:rFonts w:asciiTheme="minorHAnsi" w:hAnsiTheme="minorHAnsi" w:cstheme="minorHAnsi"/>
                <w:color w:val="000000"/>
                <w:sz w:val="22"/>
                <w:szCs w:val="22"/>
              </w:rPr>
              <w:t xml:space="preserve"> 1</w:t>
            </w:r>
            <w:r w:rsidR="008D0E76" w:rsidRPr="002C5292">
              <w:rPr>
                <w:rFonts w:asciiTheme="minorHAnsi" w:hAnsiTheme="minorHAnsi" w:cstheme="minorHAnsi"/>
                <w:color w:val="000000"/>
                <w:sz w:val="22"/>
                <w:szCs w:val="22"/>
              </w:rPr>
              <w:t xml:space="preserve"> &amp; 2</w:t>
            </w:r>
            <w:r w:rsidRPr="002C5292">
              <w:rPr>
                <w:rFonts w:asciiTheme="minorHAnsi" w:hAnsiTheme="minorHAnsi" w:cstheme="minorHAnsi"/>
                <w:color w:val="000000"/>
                <w:sz w:val="22"/>
                <w:szCs w:val="22"/>
              </w:rPr>
              <w:t>)</w:t>
            </w:r>
            <w:r w:rsidR="008D0E76" w:rsidRPr="002C5292">
              <w:rPr>
                <w:rStyle w:val="FootnoteReference"/>
                <w:rFonts w:asciiTheme="minorHAnsi" w:hAnsiTheme="minorHAnsi" w:cstheme="minorHAnsi"/>
                <w:color w:val="000000"/>
                <w:sz w:val="22"/>
                <w:szCs w:val="22"/>
              </w:rPr>
              <w:footnoteReference w:id="28"/>
            </w:r>
          </w:p>
        </w:tc>
        <w:tc>
          <w:tcPr>
            <w:tcW w:w="2835" w:type="dxa"/>
            <w:noWrap/>
          </w:tcPr>
          <w:p w14:paraId="2F03D170" w14:textId="275BDED7" w:rsidR="00D07F4A" w:rsidRPr="002C5292" w:rsidRDefault="00D07F4A" w:rsidP="00ED3A81">
            <w:pPr>
              <w:jc w:val="center"/>
              <w:rPr>
                <w:rFonts w:asciiTheme="minorHAnsi" w:hAnsiTheme="minorHAnsi" w:cstheme="minorHAnsi"/>
                <w:color w:val="000000"/>
                <w:sz w:val="22"/>
                <w:szCs w:val="22"/>
              </w:rPr>
            </w:pPr>
            <w:r w:rsidRPr="002C5292">
              <w:rPr>
                <w:rFonts w:asciiTheme="minorHAnsi" w:hAnsiTheme="minorHAnsi" w:cstheme="minorHAnsi"/>
                <w:color w:val="000000"/>
                <w:sz w:val="22"/>
                <w:szCs w:val="22"/>
              </w:rPr>
              <w:t>5</w:t>
            </w:r>
            <w:r w:rsidR="008D0E76" w:rsidRPr="002C5292">
              <w:rPr>
                <w:rFonts w:asciiTheme="minorHAnsi" w:hAnsiTheme="minorHAnsi" w:cstheme="minorHAnsi"/>
                <w:color w:val="000000"/>
                <w:sz w:val="22"/>
                <w:szCs w:val="22"/>
              </w:rPr>
              <w:t>-10</w:t>
            </w:r>
          </w:p>
        </w:tc>
      </w:tr>
      <w:tr w:rsidR="00D07F4A" w:rsidRPr="002C5292" w14:paraId="4ED55033" w14:textId="77777777" w:rsidTr="00A27CE6">
        <w:trPr>
          <w:trHeight w:val="285"/>
        </w:trPr>
        <w:tc>
          <w:tcPr>
            <w:tcW w:w="6237" w:type="dxa"/>
            <w:noWrap/>
          </w:tcPr>
          <w:p w14:paraId="7E412B27" w14:textId="037FFA3C" w:rsidR="00D07F4A" w:rsidRPr="002C5292" w:rsidRDefault="00D07F4A"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 xml:space="preserve">Estimated number of avoided s12F exemption certificates </w:t>
            </w:r>
            <w:r w:rsidR="00103806" w:rsidRPr="002C5292">
              <w:rPr>
                <w:rFonts w:asciiTheme="minorHAnsi" w:hAnsiTheme="minorHAnsi" w:cstheme="minorHAnsi"/>
                <w:color w:val="000000"/>
                <w:sz w:val="22"/>
                <w:szCs w:val="22"/>
              </w:rPr>
              <w:t xml:space="preserve">per year </w:t>
            </w:r>
            <w:r w:rsidRPr="002C5292">
              <w:rPr>
                <w:rFonts w:asciiTheme="minorHAnsi" w:hAnsiTheme="minorHAnsi" w:cstheme="minorHAnsi"/>
                <w:color w:val="000000"/>
                <w:sz w:val="22"/>
                <w:szCs w:val="22"/>
              </w:rPr>
              <w:t>(Option 1)</w:t>
            </w:r>
            <w:r w:rsidR="001A3B93" w:rsidRPr="002C5292">
              <w:rPr>
                <w:rStyle w:val="FootnoteReference"/>
                <w:rFonts w:asciiTheme="minorHAnsi" w:hAnsiTheme="minorHAnsi" w:cstheme="minorHAnsi"/>
                <w:color w:val="000000"/>
                <w:sz w:val="22"/>
                <w:szCs w:val="22"/>
                <w:lang w:eastAsia="en-AU"/>
              </w:rPr>
              <w:footnoteReference w:id="29"/>
            </w:r>
          </w:p>
        </w:tc>
        <w:tc>
          <w:tcPr>
            <w:tcW w:w="2835" w:type="dxa"/>
            <w:noWrap/>
          </w:tcPr>
          <w:p w14:paraId="2521713A" w14:textId="68DF0209" w:rsidR="00D07F4A" w:rsidRPr="002C5292" w:rsidRDefault="001A3B93" w:rsidP="00821E6B">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255-435</w:t>
            </w:r>
          </w:p>
        </w:tc>
      </w:tr>
      <w:tr w:rsidR="00103806" w:rsidRPr="002C5292" w14:paraId="198F24CB" w14:textId="77777777" w:rsidTr="00E94889">
        <w:trPr>
          <w:trHeight w:val="285"/>
        </w:trPr>
        <w:tc>
          <w:tcPr>
            <w:tcW w:w="6237" w:type="dxa"/>
            <w:noWrap/>
          </w:tcPr>
          <w:p w14:paraId="0D72AB85" w14:textId="6245077D" w:rsidR="00103806" w:rsidRPr="002C5292" w:rsidRDefault="00103806" w:rsidP="00821E6B">
            <w:pPr>
              <w:rPr>
                <w:rFonts w:asciiTheme="minorHAnsi" w:hAnsiTheme="minorHAnsi" w:cstheme="minorHAnsi"/>
                <w:color w:val="000000"/>
                <w:sz w:val="22"/>
                <w:szCs w:val="22"/>
              </w:rPr>
            </w:pPr>
            <w:r w:rsidRPr="002C5292">
              <w:rPr>
                <w:rFonts w:asciiTheme="minorHAnsi" w:hAnsiTheme="minorHAnsi" w:cstheme="minorHAnsi"/>
                <w:color w:val="000000"/>
                <w:sz w:val="22"/>
                <w:szCs w:val="22"/>
              </w:rPr>
              <w:t>Estimated number of avoided s12F exemption certificates per year (Option 2)</w:t>
            </w:r>
            <w:r w:rsidR="001A3B93" w:rsidRPr="002C5292">
              <w:rPr>
                <w:rStyle w:val="FootnoteReference"/>
                <w:rFonts w:asciiTheme="minorHAnsi" w:hAnsiTheme="minorHAnsi" w:cstheme="minorHAnsi"/>
                <w:color w:val="000000"/>
                <w:sz w:val="22"/>
                <w:szCs w:val="22"/>
              </w:rPr>
              <w:footnoteReference w:id="30"/>
            </w:r>
          </w:p>
        </w:tc>
        <w:tc>
          <w:tcPr>
            <w:tcW w:w="2835" w:type="dxa"/>
            <w:noWrap/>
          </w:tcPr>
          <w:p w14:paraId="032ABC86" w14:textId="1454FA9D" w:rsidR="00103806" w:rsidRPr="002C5292" w:rsidRDefault="001A3B93" w:rsidP="00821E6B">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245-415</w:t>
            </w:r>
          </w:p>
        </w:tc>
      </w:tr>
      <w:tr w:rsidR="00D07F4A" w:rsidRPr="002C5292" w14:paraId="7A297E61" w14:textId="77777777" w:rsidTr="00A27CE6">
        <w:trPr>
          <w:trHeight w:val="285"/>
        </w:trPr>
        <w:tc>
          <w:tcPr>
            <w:tcW w:w="6237" w:type="dxa"/>
            <w:noWrap/>
          </w:tcPr>
          <w:p w14:paraId="11365682" w14:textId="6079ED24" w:rsidR="00D07F4A" w:rsidRPr="002C5292" w:rsidRDefault="00D07F4A" w:rsidP="00821E6B">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Estimated number of avoided s12G</w:t>
            </w:r>
            <w:r w:rsidR="00E94889" w:rsidRPr="002C5292">
              <w:rPr>
                <w:rFonts w:asciiTheme="minorHAnsi" w:hAnsiTheme="minorHAnsi" w:cstheme="minorHAnsi"/>
                <w:color w:val="000000"/>
                <w:sz w:val="22"/>
                <w:szCs w:val="22"/>
              </w:rPr>
              <w:t xml:space="preserve"> </w:t>
            </w:r>
            <w:r w:rsidRPr="002C5292">
              <w:rPr>
                <w:rFonts w:asciiTheme="minorHAnsi" w:hAnsiTheme="minorHAnsi" w:cstheme="minorHAnsi"/>
                <w:color w:val="000000"/>
                <w:sz w:val="22"/>
                <w:szCs w:val="22"/>
              </w:rPr>
              <w:t xml:space="preserve">exemption certificates </w:t>
            </w:r>
            <w:r w:rsidR="00103806" w:rsidRPr="002C5292">
              <w:rPr>
                <w:rFonts w:asciiTheme="minorHAnsi" w:hAnsiTheme="minorHAnsi" w:cstheme="minorHAnsi"/>
                <w:color w:val="000000"/>
                <w:sz w:val="22"/>
                <w:szCs w:val="22"/>
              </w:rPr>
              <w:t xml:space="preserve">per year </w:t>
            </w:r>
            <w:r w:rsidRPr="002C5292">
              <w:rPr>
                <w:rFonts w:asciiTheme="minorHAnsi" w:hAnsiTheme="minorHAnsi" w:cstheme="minorHAnsi"/>
                <w:color w:val="000000"/>
                <w:sz w:val="22"/>
                <w:szCs w:val="22"/>
              </w:rPr>
              <w:t>(Option</w:t>
            </w:r>
            <w:r w:rsidR="001A3B93" w:rsidRPr="002C5292">
              <w:rPr>
                <w:rFonts w:asciiTheme="minorHAnsi" w:hAnsiTheme="minorHAnsi" w:cstheme="minorHAnsi"/>
                <w:color w:val="000000"/>
                <w:sz w:val="22"/>
                <w:szCs w:val="22"/>
              </w:rPr>
              <w:t>s</w:t>
            </w:r>
            <w:r w:rsidRPr="002C5292">
              <w:rPr>
                <w:rFonts w:asciiTheme="minorHAnsi" w:hAnsiTheme="minorHAnsi" w:cstheme="minorHAnsi"/>
                <w:color w:val="000000"/>
                <w:sz w:val="22"/>
                <w:szCs w:val="22"/>
              </w:rPr>
              <w:t xml:space="preserve"> </w:t>
            </w:r>
            <w:r w:rsidR="00103806" w:rsidRPr="002C5292">
              <w:rPr>
                <w:rFonts w:asciiTheme="minorHAnsi" w:hAnsiTheme="minorHAnsi" w:cstheme="minorHAnsi"/>
                <w:color w:val="000000"/>
                <w:sz w:val="22"/>
                <w:szCs w:val="22"/>
              </w:rPr>
              <w:t xml:space="preserve">1 &amp; </w:t>
            </w:r>
            <w:r w:rsidRPr="002C5292">
              <w:rPr>
                <w:rFonts w:asciiTheme="minorHAnsi" w:hAnsiTheme="minorHAnsi" w:cstheme="minorHAnsi"/>
                <w:color w:val="000000"/>
                <w:sz w:val="22"/>
                <w:szCs w:val="22"/>
              </w:rPr>
              <w:t>2)</w:t>
            </w:r>
            <w:r w:rsidR="00103806" w:rsidRPr="002C5292">
              <w:rPr>
                <w:rStyle w:val="FootnoteReference"/>
                <w:rFonts w:asciiTheme="minorHAnsi" w:hAnsiTheme="minorHAnsi" w:cstheme="minorHAnsi"/>
                <w:color w:val="000000"/>
                <w:sz w:val="22"/>
                <w:szCs w:val="22"/>
                <w:lang w:eastAsia="en-AU"/>
              </w:rPr>
              <w:footnoteReference w:id="31"/>
            </w:r>
          </w:p>
        </w:tc>
        <w:tc>
          <w:tcPr>
            <w:tcW w:w="2835" w:type="dxa"/>
            <w:noWrap/>
          </w:tcPr>
          <w:p w14:paraId="6CA17970" w14:textId="609EA4C2" w:rsidR="00D07F4A" w:rsidRPr="002C5292" w:rsidRDefault="00103806" w:rsidP="00821E6B">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40-60</w:t>
            </w:r>
          </w:p>
        </w:tc>
      </w:tr>
      <w:tr w:rsidR="00D07F4A" w:rsidRPr="002C5292" w14:paraId="0F60254E" w14:textId="77777777" w:rsidTr="00A27CE6">
        <w:trPr>
          <w:trHeight w:val="285"/>
        </w:trPr>
        <w:tc>
          <w:tcPr>
            <w:tcW w:w="6237" w:type="dxa"/>
            <w:noWrap/>
            <w:hideMark/>
          </w:tcPr>
          <w:p w14:paraId="15348016" w14:textId="5998AAA6" w:rsidR="00D07F4A" w:rsidRPr="002C5292" w:rsidRDefault="00D07F4A" w:rsidP="00304E9F">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Estimated number of instruments automatically exempted under Schedule 3 for National Scheme or RIS equivalence only per year</w:t>
            </w:r>
            <w:r w:rsidR="001A3B93" w:rsidRPr="002C5292">
              <w:rPr>
                <w:rFonts w:asciiTheme="minorHAnsi" w:hAnsiTheme="minorHAnsi" w:cstheme="minorHAnsi"/>
                <w:color w:val="000000"/>
                <w:sz w:val="22"/>
                <w:szCs w:val="22"/>
              </w:rPr>
              <w:t xml:space="preserve"> (Option 1)</w:t>
            </w:r>
            <w:r w:rsidR="008D0E76" w:rsidRPr="002C5292">
              <w:rPr>
                <w:rStyle w:val="FootnoteReference"/>
                <w:rFonts w:asciiTheme="minorHAnsi" w:hAnsiTheme="minorHAnsi" w:cstheme="minorHAnsi"/>
                <w:color w:val="000000"/>
                <w:sz w:val="22"/>
                <w:szCs w:val="22"/>
              </w:rPr>
              <w:footnoteReference w:id="32"/>
            </w:r>
          </w:p>
        </w:tc>
        <w:tc>
          <w:tcPr>
            <w:tcW w:w="2835" w:type="dxa"/>
            <w:noWrap/>
          </w:tcPr>
          <w:p w14:paraId="1A22791A" w14:textId="41237F1E" w:rsidR="00D07F4A" w:rsidRPr="002C5292" w:rsidRDefault="008D0E76" w:rsidP="00821E6B">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10-20</w:t>
            </w:r>
          </w:p>
        </w:tc>
      </w:tr>
      <w:tr w:rsidR="00103806" w:rsidRPr="002C5292" w14:paraId="2193F568" w14:textId="77777777" w:rsidTr="00E94889">
        <w:trPr>
          <w:trHeight w:val="285"/>
        </w:trPr>
        <w:tc>
          <w:tcPr>
            <w:tcW w:w="6237" w:type="dxa"/>
            <w:noWrap/>
          </w:tcPr>
          <w:p w14:paraId="5234E6CC" w14:textId="2B5880B3" w:rsidR="00103806" w:rsidRPr="002C5292" w:rsidRDefault="00103806" w:rsidP="00304E9F">
            <w:pPr>
              <w:rPr>
                <w:rFonts w:asciiTheme="minorHAnsi" w:hAnsiTheme="minorHAnsi" w:cstheme="minorHAnsi"/>
                <w:color w:val="000000"/>
                <w:sz w:val="22"/>
                <w:szCs w:val="22"/>
              </w:rPr>
            </w:pPr>
            <w:r w:rsidRPr="002C5292">
              <w:rPr>
                <w:rFonts w:asciiTheme="minorHAnsi" w:hAnsiTheme="minorHAnsi" w:cstheme="minorHAnsi"/>
                <w:color w:val="000000"/>
                <w:sz w:val="22"/>
                <w:szCs w:val="22"/>
              </w:rPr>
              <w:t>Estimated number of instruments automatically exempted under Schedule 3 and the body of the Regulations per year</w:t>
            </w:r>
            <w:r w:rsidR="001A3B93" w:rsidRPr="002C5292">
              <w:rPr>
                <w:rFonts w:asciiTheme="minorHAnsi" w:hAnsiTheme="minorHAnsi" w:cstheme="minorHAnsi"/>
                <w:color w:val="000000"/>
                <w:sz w:val="22"/>
                <w:szCs w:val="22"/>
              </w:rPr>
              <w:t xml:space="preserve"> (Options 1 &amp; 2)</w:t>
            </w:r>
            <w:r w:rsidRPr="002C5292">
              <w:rPr>
                <w:rStyle w:val="FootnoteReference"/>
                <w:rFonts w:asciiTheme="minorHAnsi" w:hAnsiTheme="minorHAnsi" w:cstheme="minorHAnsi"/>
                <w:color w:val="000000"/>
                <w:sz w:val="22"/>
                <w:szCs w:val="22"/>
              </w:rPr>
              <w:footnoteReference w:id="33"/>
            </w:r>
          </w:p>
        </w:tc>
        <w:tc>
          <w:tcPr>
            <w:tcW w:w="2835" w:type="dxa"/>
            <w:noWrap/>
          </w:tcPr>
          <w:p w14:paraId="528709E8" w14:textId="74E10031" w:rsidR="00103806" w:rsidRPr="002C5292" w:rsidDel="008D0E76" w:rsidRDefault="00103806" w:rsidP="00821E6B">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300-500</w:t>
            </w:r>
          </w:p>
        </w:tc>
      </w:tr>
      <w:tr w:rsidR="00D07F4A" w:rsidRPr="002C5292" w14:paraId="6766FEF3" w14:textId="77777777" w:rsidTr="00A27CE6">
        <w:trPr>
          <w:trHeight w:val="285"/>
        </w:trPr>
        <w:tc>
          <w:tcPr>
            <w:tcW w:w="6237" w:type="dxa"/>
            <w:noWrap/>
          </w:tcPr>
          <w:p w14:paraId="2541C0EA" w14:textId="64F8287C" w:rsidR="00D07F4A" w:rsidRPr="002C5292" w:rsidRDefault="00D07F4A" w:rsidP="00D07F4A">
            <w:pPr>
              <w:rPr>
                <w:rFonts w:asciiTheme="minorHAnsi" w:hAnsiTheme="minorHAnsi" w:cstheme="minorHAnsi"/>
                <w:b/>
                <w:bCs/>
                <w:color w:val="000000"/>
                <w:sz w:val="22"/>
                <w:szCs w:val="22"/>
                <w:lang w:eastAsia="en-AU"/>
              </w:rPr>
            </w:pPr>
            <w:r w:rsidRPr="002C5292">
              <w:rPr>
                <w:rFonts w:asciiTheme="minorHAnsi" w:hAnsiTheme="minorHAnsi" w:cstheme="minorHAnsi"/>
                <w:color w:val="000000"/>
                <w:sz w:val="22"/>
                <w:szCs w:val="22"/>
              </w:rPr>
              <w:t xml:space="preserve">Number of provisions listed in Schedule 3 and body of the regulations </w:t>
            </w:r>
          </w:p>
        </w:tc>
        <w:tc>
          <w:tcPr>
            <w:tcW w:w="2835" w:type="dxa"/>
            <w:noWrap/>
          </w:tcPr>
          <w:p w14:paraId="66928D9F" w14:textId="09D0772C" w:rsidR="00D07F4A" w:rsidRPr="002C5292" w:rsidRDefault="00D07F4A" w:rsidP="00D07F4A">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593</w:t>
            </w:r>
          </w:p>
        </w:tc>
      </w:tr>
      <w:tr w:rsidR="00D07F4A" w:rsidRPr="002C5292" w14:paraId="58A58559" w14:textId="77777777" w:rsidTr="00A27CE6">
        <w:trPr>
          <w:trHeight w:val="285"/>
        </w:trPr>
        <w:tc>
          <w:tcPr>
            <w:tcW w:w="6237" w:type="dxa"/>
            <w:noWrap/>
          </w:tcPr>
          <w:p w14:paraId="08164B34" w14:textId="651A8692" w:rsidR="00D07F4A" w:rsidRPr="002C5292" w:rsidRDefault="00D07F4A" w:rsidP="00D07F4A">
            <w:pPr>
              <w:rPr>
                <w:rFonts w:asciiTheme="minorHAnsi" w:hAnsiTheme="minorHAnsi" w:cstheme="minorHAnsi"/>
                <w:b/>
                <w:bCs/>
                <w:color w:val="000000"/>
                <w:sz w:val="22"/>
                <w:szCs w:val="22"/>
                <w:lang w:eastAsia="en-AU"/>
              </w:rPr>
            </w:pPr>
            <w:r w:rsidRPr="002C5292">
              <w:rPr>
                <w:rFonts w:asciiTheme="minorHAnsi" w:hAnsiTheme="minorHAnsi" w:cstheme="minorHAnsi"/>
                <w:color w:val="000000"/>
                <w:sz w:val="22"/>
                <w:szCs w:val="22"/>
              </w:rPr>
              <w:t>Estimated number of provisions added, removed or amended in the regulations per year</w:t>
            </w:r>
            <w:r w:rsidR="00103806" w:rsidRPr="002C5292">
              <w:rPr>
                <w:rStyle w:val="FootnoteReference"/>
                <w:rFonts w:asciiTheme="minorHAnsi" w:hAnsiTheme="minorHAnsi" w:cstheme="minorHAnsi"/>
                <w:color w:val="000000"/>
                <w:sz w:val="22"/>
                <w:szCs w:val="22"/>
              </w:rPr>
              <w:footnoteReference w:id="34"/>
            </w:r>
          </w:p>
        </w:tc>
        <w:tc>
          <w:tcPr>
            <w:tcW w:w="2835" w:type="dxa"/>
            <w:noWrap/>
          </w:tcPr>
          <w:p w14:paraId="5A4FB845" w14:textId="321C01F0" w:rsidR="00D07F4A" w:rsidRPr="002C5292" w:rsidRDefault="00D07F4A" w:rsidP="00D07F4A">
            <w:pPr>
              <w:jc w:val="cente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rPr>
              <w:t>50</w:t>
            </w:r>
          </w:p>
        </w:tc>
      </w:tr>
    </w:tbl>
    <w:tbl>
      <w:tblPr>
        <w:tblW w:w="11861" w:type="dxa"/>
        <w:tblLayout w:type="fixed"/>
        <w:tblLook w:val="04A0" w:firstRow="1" w:lastRow="0" w:firstColumn="1" w:lastColumn="0" w:noHBand="0" w:noVBand="1"/>
      </w:tblPr>
      <w:tblGrid>
        <w:gridCol w:w="7503"/>
        <w:gridCol w:w="1447"/>
        <w:gridCol w:w="1447"/>
        <w:gridCol w:w="1464"/>
      </w:tblGrid>
      <w:tr w:rsidR="004879C9" w:rsidRPr="002C5292" w14:paraId="008BF6B1" w14:textId="77777777" w:rsidTr="004879C9">
        <w:trPr>
          <w:trHeight w:val="285"/>
        </w:trPr>
        <w:tc>
          <w:tcPr>
            <w:tcW w:w="7503" w:type="dxa"/>
            <w:tcBorders>
              <w:top w:val="nil"/>
              <w:left w:val="nil"/>
              <w:bottom w:val="nil"/>
              <w:right w:val="nil"/>
            </w:tcBorders>
            <w:shd w:val="clear" w:color="auto" w:fill="auto"/>
            <w:noWrap/>
            <w:vAlign w:val="bottom"/>
            <w:hideMark/>
          </w:tcPr>
          <w:p w14:paraId="7C915100" w14:textId="77777777" w:rsidR="004879C9" w:rsidRPr="002C5292" w:rsidRDefault="004879C9" w:rsidP="00315C1D">
            <w:pPr>
              <w:rPr>
                <w:rFonts w:asciiTheme="majorHAnsi" w:eastAsia="MS Gothic" w:hAnsiTheme="majorHAnsi"/>
                <w:b/>
                <w:bCs/>
                <w:color w:val="53565A"/>
              </w:rPr>
            </w:pPr>
          </w:p>
          <w:p w14:paraId="6DDD663B" w14:textId="502113E0" w:rsidR="004879C9" w:rsidRPr="002C5292" w:rsidRDefault="004879C9" w:rsidP="00315C1D">
            <w:pPr>
              <w:rPr>
                <w:rFonts w:asciiTheme="majorHAnsi" w:eastAsia="MS Gothic" w:hAnsiTheme="majorHAnsi"/>
                <w:b/>
                <w:bCs/>
                <w:color w:val="53565A"/>
              </w:rPr>
            </w:pPr>
            <w:r w:rsidRPr="002C5292">
              <w:rPr>
                <w:rFonts w:asciiTheme="majorHAnsi" w:eastAsia="MS Gothic" w:hAnsiTheme="majorHAnsi"/>
                <w:b/>
                <w:bCs/>
                <w:color w:val="53565A"/>
              </w:rPr>
              <w:t>Table 7E</w:t>
            </w:r>
          </w:p>
        </w:tc>
        <w:tc>
          <w:tcPr>
            <w:tcW w:w="4358" w:type="dxa"/>
            <w:gridSpan w:val="3"/>
            <w:tcBorders>
              <w:top w:val="nil"/>
              <w:left w:val="nil"/>
              <w:bottom w:val="nil"/>
              <w:right w:val="nil"/>
            </w:tcBorders>
            <w:shd w:val="clear" w:color="auto" w:fill="auto"/>
            <w:noWrap/>
            <w:vAlign w:val="bottom"/>
            <w:hideMark/>
          </w:tcPr>
          <w:p w14:paraId="61A7E1BD" w14:textId="77777777" w:rsidR="004879C9" w:rsidRPr="002C5292" w:rsidRDefault="004879C9" w:rsidP="00315C1D">
            <w:pPr>
              <w:rPr>
                <w:rFonts w:asciiTheme="majorHAnsi" w:eastAsia="MS Gothic" w:hAnsiTheme="majorHAnsi"/>
                <w:b/>
                <w:bCs/>
                <w:color w:val="53565A"/>
              </w:rPr>
            </w:pPr>
          </w:p>
        </w:tc>
      </w:tr>
      <w:tr w:rsidR="004879C9" w:rsidRPr="002C5292" w14:paraId="5DCDBD4A" w14:textId="77777777" w:rsidTr="004879C9">
        <w:trPr>
          <w:gridAfter w:val="1"/>
          <w:wAfter w:w="1464" w:type="dxa"/>
          <w:trHeight w:val="285"/>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8E6A" w14:textId="0143042E" w:rsidR="004879C9" w:rsidRPr="002C5292" w:rsidRDefault="004879C9" w:rsidP="00315C1D">
            <w:pPr>
              <w:rPr>
                <w:rFonts w:asciiTheme="minorHAnsi" w:hAnsiTheme="minorHAnsi" w:cstheme="minorHAnsi"/>
                <w:b/>
                <w:bCs/>
                <w:color w:val="000000"/>
                <w:sz w:val="22"/>
                <w:szCs w:val="22"/>
                <w:u w:val="single"/>
                <w:lang w:eastAsia="en-AU"/>
              </w:rPr>
            </w:pPr>
            <w:r w:rsidRPr="002C5292">
              <w:rPr>
                <w:rFonts w:asciiTheme="minorHAnsi" w:hAnsiTheme="minorHAnsi" w:cstheme="minorHAnsi"/>
                <w:b/>
                <w:bCs/>
                <w:color w:val="000000"/>
                <w:sz w:val="22"/>
                <w:szCs w:val="22"/>
                <w:u w:val="single"/>
                <w:lang w:eastAsia="en-AU"/>
              </w:rPr>
              <w:t>Annual use of limited government resources – lower bound estimate</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15FB2F22"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604BFA49"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6B61E094"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38E39E4B"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bottom"/>
            <w:hideMark/>
          </w:tcPr>
          <w:p w14:paraId="0F3C77FE" w14:textId="77777777" w:rsidR="004879C9" w:rsidRPr="002C5292" w:rsidRDefault="004879C9" w:rsidP="00315C1D">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1</w:t>
            </w:r>
          </w:p>
        </w:tc>
        <w:tc>
          <w:tcPr>
            <w:tcW w:w="1447" w:type="dxa"/>
            <w:tcBorders>
              <w:top w:val="nil"/>
              <w:left w:val="nil"/>
              <w:bottom w:val="single" w:sz="4" w:space="0" w:color="auto"/>
              <w:right w:val="single" w:sz="4" w:space="0" w:color="auto"/>
            </w:tcBorders>
            <w:shd w:val="clear" w:color="auto" w:fill="auto"/>
            <w:noWrap/>
            <w:vAlign w:val="bottom"/>
            <w:hideMark/>
          </w:tcPr>
          <w:p w14:paraId="1DD40F76" w14:textId="77777777" w:rsidR="004879C9" w:rsidRPr="002C5292" w:rsidRDefault="004879C9" w:rsidP="00315C1D">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2</w:t>
            </w:r>
          </w:p>
        </w:tc>
      </w:tr>
      <w:tr w:rsidR="004879C9" w:rsidRPr="002C5292" w14:paraId="214814E5"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24F18F3E"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Avoided costs</w:t>
            </w:r>
          </w:p>
        </w:tc>
        <w:tc>
          <w:tcPr>
            <w:tcW w:w="1447" w:type="dxa"/>
            <w:tcBorders>
              <w:top w:val="nil"/>
              <w:left w:val="nil"/>
              <w:bottom w:val="single" w:sz="4" w:space="0" w:color="auto"/>
              <w:right w:val="single" w:sz="4" w:space="0" w:color="auto"/>
            </w:tcBorders>
            <w:shd w:val="clear" w:color="auto" w:fill="auto"/>
            <w:noWrap/>
            <w:vAlign w:val="bottom"/>
            <w:hideMark/>
          </w:tcPr>
          <w:p w14:paraId="62111291"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bottom"/>
            <w:hideMark/>
          </w:tcPr>
          <w:p w14:paraId="440224BC"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1C9AD672"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65564B70"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RISs</w:t>
            </w:r>
          </w:p>
        </w:tc>
        <w:tc>
          <w:tcPr>
            <w:tcW w:w="1447" w:type="dxa"/>
            <w:tcBorders>
              <w:top w:val="nil"/>
              <w:left w:val="nil"/>
              <w:bottom w:val="single" w:sz="4" w:space="0" w:color="auto"/>
              <w:right w:val="single" w:sz="4" w:space="0" w:color="auto"/>
            </w:tcBorders>
            <w:shd w:val="clear" w:color="auto" w:fill="auto"/>
            <w:noWrap/>
            <w:vAlign w:val="center"/>
            <w:hideMark/>
          </w:tcPr>
          <w:p w14:paraId="3A98F502" w14:textId="600BA8A6"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$300,000</w:t>
            </w:r>
          </w:p>
        </w:tc>
        <w:tc>
          <w:tcPr>
            <w:tcW w:w="1447" w:type="dxa"/>
            <w:tcBorders>
              <w:top w:val="nil"/>
              <w:left w:val="nil"/>
              <w:bottom w:val="single" w:sz="4" w:space="0" w:color="auto"/>
              <w:right w:val="single" w:sz="4" w:space="0" w:color="auto"/>
            </w:tcBorders>
            <w:shd w:val="clear" w:color="auto" w:fill="auto"/>
            <w:noWrap/>
            <w:vAlign w:val="center"/>
            <w:hideMark/>
          </w:tcPr>
          <w:p w14:paraId="18FC2818" w14:textId="5DC85679"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2A2E50" w:rsidRPr="002C5292">
              <w:rPr>
                <w:rFonts w:asciiTheme="minorHAnsi" w:hAnsiTheme="minorHAnsi" w:cstheme="minorHAnsi"/>
                <w:color w:val="000000"/>
                <w:sz w:val="22"/>
                <w:szCs w:val="22"/>
                <w:lang w:eastAsia="en-AU"/>
              </w:rPr>
              <w:t>300</w:t>
            </w:r>
            <w:r w:rsidRPr="002C5292">
              <w:rPr>
                <w:rFonts w:asciiTheme="minorHAnsi" w:hAnsiTheme="minorHAnsi" w:cstheme="minorHAnsi"/>
                <w:color w:val="000000"/>
                <w:sz w:val="22"/>
                <w:szCs w:val="22"/>
                <w:lang w:eastAsia="en-AU"/>
              </w:rPr>
              <w:t>,000</w:t>
            </w:r>
          </w:p>
        </w:tc>
      </w:tr>
      <w:tr w:rsidR="004879C9" w:rsidRPr="002C5292" w14:paraId="5C37C675"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7B218FF4"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exemption certificates (sections 12F, 12G)</w:t>
            </w:r>
          </w:p>
        </w:tc>
        <w:tc>
          <w:tcPr>
            <w:tcW w:w="1447" w:type="dxa"/>
            <w:tcBorders>
              <w:top w:val="nil"/>
              <w:left w:val="nil"/>
              <w:bottom w:val="single" w:sz="4" w:space="0" w:color="auto"/>
              <w:right w:val="single" w:sz="4" w:space="0" w:color="auto"/>
            </w:tcBorders>
            <w:shd w:val="clear" w:color="auto" w:fill="auto"/>
            <w:noWrap/>
            <w:vAlign w:val="center"/>
            <w:hideMark/>
          </w:tcPr>
          <w:p w14:paraId="519C7ADA" w14:textId="59325FAB"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326,896</w:t>
            </w:r>
          </w:p>
        </w:tc>
        <w:tc>
          <w:tcPr>
            <w:tcW w:w="1447" w:type="dxa"/>
            <w:tcBorders>
              <w:top w:val="nil"/>
              <w:left w:val="nil"/>
              <w:bottom w:val="single" w:sz="4" w:space="0" w:color="auto"/>
              <w:right w:val="single" w:sz="4" w:space="0" w:color="auto"/>
            </w:tcBorders>
            <w:shd w:val="clear" w:color="auto" w:fill="auto"/>
            <w:noWrap/>
            <w:vAlign w:val="center"/>
            <w:hideMark/>
          </w:tcPr>
          <w:p w14:paraId="7B21D6BB" w14:textId="21D29ED9"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320,896</w:t>
            </w:r>
          </w:p>
        </w:tc>
      </w:tr>
      <w:tr w:rsidR="004879C9" w:rsidRPr="002C5292" w14:paraId="0BB8391F"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62C56087"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4914F5B5"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4422F25A"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7124D403"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3574063F"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Additional costs</w:t>
            </w:r>
          </w:p>
        </w:tc>
        <w:tc>
          <w:tcPr>
            <w:tcW w:w="1447" w:type="dxa"/>
            <w:tcBorders>
              <w:top w:val="nil"/>
              <w:left w:val="nil"/>
              <w:bottom w:val="single" w:sz="4" w:space="0" w:color="auto"/>
              <w:right w:val="single" w:sz="4" w:space="0" w:color="auto"/>
            </w:tcBorders>
            <w:shd w:val="clear" w:color="auto" w:fill="auto"/>
            <w:noWrap/>
            <w:vAlign w:val="center"/>
            <w:hideMark/>
          </w:tcPr>
          <w:p w14:paraId="3F206A44"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59998233"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4C597E7D"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2CE6701A"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Cost of preparing and updating the regulations</w:t>
            </w:r>
          </w:p>
        </w:tc>
        <w:tc>
          <w:tcPr>
            <w:tcW w:w="1447" w:type="dxa"/>
            <w:tcBorders>
              <w:top w:val="nil"/>
              <w:left w:val="nil"/>
              <w:bottom w:val="single" w:sz="4" w:space="0" w:color="auto"/>
              <w:right w:val="single" w:sz="4" w:space="0" w:color="auto"/>
            </w:tcBorders>
            <w:shd w:val="clear" w:color="auto" w:fill="auto"/>
            <w:noWrap/>
            <w:vAlign w:val="center"/>
            <w:hideMark/>
          </w:tcPr>
          <w:p w14:paraId="1F675669" w14:textId="421317DA"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$104,580</w:t>
            </w:r>
          </w:p>
        </w:tc>
        <w:tc>
          <w:tcPr>
            <w:tcW w:w="1447" w:type="dxa"/>
            <w:tcBorders>
              <w:top w:val="nil"/>
              <w:left w:val="nil"/>
              <w:bottom w:val="single" w:sz="4" w:space="0" w:color="auto"/>
              <w:right w:val="single" w:sz="4" w:space="0" w:color="auto"/>
            </w:tcBorders>
            <w:shd w:val="clear" w:color="auto" w:fill="auto"/>
            <w:noWrap/>
            <w:vAlign w:val="center"/>
            <w:hideMark/>
          </w:tcPr>
          <w:p w14:paraId="5A6AC020" w14:textId="7DB21C62"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$104,580</w:t>
            </w:r>
          </w:p>
        </w:tc>
      </w:tr>
      <w:tr w:rsidR="004879C9" w:rsidRPr="002C5292" w14:paraId="255C0319"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20566CB6"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2E9539CA"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2DD6D2A6"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5872CCBD"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55EF92EC"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Net avoided costs</w:t>
            </w:r>
          </w:p>
        </w:tc>
        <w:tc>
          <w:tcPr>
            <w:tcW w:w="1447" w:type="dxa"/>
            <w:tcBorders>
              <w:top w:val="nil"/>
              <w:left w:val="nil"/>
              <w:bottom w:val="single" w:sz="4" w:space="0" w:color="auto"/>
              <w:right w:val="single" w:sz="4" w:space="0" w:color="auto"/>
            </w:tcBorders>
            <w:shd w:val="clear" w:color="auto" w:fill="auto"/>
            <w:noWrap/>
            <w:vAlign w:val="center"/>
            <w:hideMark/>
          </w:tcPr>
          <w:p w14:paraId="62E45474" w14:textId="07966895"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522,316</w:t>
            </w:r>
          </w:p>
        </w:tc>
        <w:tc>
          <w:tcPr>
            <w:tcW w:w="1447" w:type="dxa"/>
            <w:tcBorders>
              <w:top w:val="nil"/>
              <w:left w:val="nil"/>
              <w:bottom w:val="single" w:sz="4" w:space="0" w:color="auto"/>
              <w:right w:val="single" w:sz="4" w:space="0" w:color="auto"/>
            </w:tcBorders>
            <w:shd w:val="clear" w:color="auto" w:fill="auto"/>
            <w:noWrap/>
            <w:vAlign w:val="center"/>
            <w:hideMark/>
          </w:tcPr>
          <w:p w14:paraId="6C88D57B" w14:textId="632A4496"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516,316</w:t>
            </w:r>
          </w:p>
        </w:tc>
      </w:tr>
    </w:tbl>
    <w:p w14:paraId="426A758B" w14:textId="77777777" w:rsidR="00C13F92" w:rsidRPr="002C5292" w:rsidRDefault="00C13F92">
      <w:r w:rsidRPr="002C5292">
        <w:br w:type="page"/>
      </w:r>
    </w:p>
    <w:tbl>
      <w:tblPr>
        <w:tblW w:w="11861" w:type="dxa"/>
        <w:tblLayout w:type="fixed"/>
        <w:tblLook w:val="04A0" w:firstRow="1" w:lastRow="0" w:firstColumn="1" w:lastColumn="0" w:noHBand="0" w:noVBand="1"/>
      </w:tblPr>
      <w:tblGrid>
        <w:gridCol w:w="7503"/>
        <w:gridCol w:w="1447"/>
        <w:gridCol w:w="1447"/>
        <w:gridCol w:w="1464"/>
      </w:tblGrid>
      <w:tr w:rsidR="004879C9" w:rsidRPr="002C5292" w14:paraId="0F63B3C2" w14:textId="77777777" w:rsidTr="004879C9">
        <w:trPr>
          <w:trHeight w:val="285"/>
        </w:trPr>
        <w:tc>
          <w:tcPr>
            <w:tcW w:w="7503" w:type="dxa"/>
            <w:tcBorders>
              <w:top w:val="nil"/>
              <w:left w:val="nil"/>
              <w:bottom w:val="nil"/>
              <w:right w:val="nil"/>
            </w:tcBorders>
            <w:shd w:val="clear" w:color="auto" w:fill="auto"/>
            <w:noWrap/>
            <w:vAlign w:val="bottom"/>
            <w:hideMark/>
          </w:tcPr>
          <w:p w14:paraId="2C0EB65A" w14:textId="0007B2FE" w:rsidR="004879C9" w:rsidRPr="002C5292" w:rsidRDefault="004879C9" w:rsidP="00315C1D">
            <w:pPr>
              <w:rPr>
                <w:rFonts w:asciiTheme="majorHAnsi" w:eastAsia="MS Gothic" w:hAnsiTheme="majorHAnsi"/>
                <w:b/>
                <w:bCs/>
                <w:color w:val="53565A"/>
              </w:rPr>
            </w:pPr>
          </w:p>
          <w:p w14:paraId="4B76786E" w14:textId="09AD7FC7" w:rsidR="004879C9" w:rsidRPr="002C5292" w:rsidRDefault="004879C9" w:rsidP="00315C1D">
            <w:pPr>
              <w:rPr>
                <w:rFonts w:asciiTheme="majorHAnsi" w:eastAsia="MS Gothic" w:hAnsiTheme="majorHAnsi"/>
                <w:b/>
                <w:bCs/>
                <w:color w:val="53565A"/>
              </w:rPr>
            </w:pPr>
            <w:r w:rsidRPr="002C5292">
              <w:rPr>
                <w:rFonts w:asciiTheme="majorHAnsi" w:eastAsia="MS Gothic" w:hAnsiTheme="majorHAnsi"/>
                <w:b/>
                <w:bCs/>
                <w:color w:val="53565A"/>
              </w:rPr>
              <w:t>Table 7F</w:t>
            </w:r>
          </w:p>
        </w:tc>
        <w:tc>
          <w:tcPr>
            <w:tcW w:w="4358" w:type="dxa"/>
            <w:gridSpan w:val="3"/>
            <w:tcBorders>
              <w:top w:val="nil"/>
              <w:left w:val="nil"/>
              <w:bottom w:val="nil"/>
              <w:right w:val="nil"/>
            </w:tcBorders>
            <w:shd w:val="clear" w:color="auto" w:fill="auto"/>
            <w:noWrap/>
            <w:vAlign w:val="bottom"/>
            <w:hideMark/>
          </w:tcPr>
          <w:p w14:paraId="1AF6F6B8" w14:textId="77777777" w:rsidR="004879C9" w:rsidRPr="002C5292" w:rsidRDefault="004879C9" w:rsidP="00315C1D">
            <w:pPr>
              <w:rPr>
                <w:rFonts w:asciiTheme="majorHAnsi" w:eastAsia="MS Gothic" w:hAnsiTheme="majorHAnsi"/>
                <w:b/>
                <w:bCs/>
                <w:color w:val="53565A"/>
              </w:rPr>
            </w:pPr>
          </w:p>
        </w:tc>
      </w:tr>
      <w:tr w:rsidR="004879C9" w:rsidRPr="002C5292" w14:paraId="007AA19B" w14:textId="77777777" w:rsidTr="004879C9">
        <w:trPr>
          <w:gridAfter w:val="1"/>
          <w:wAfter w:w="1464" w:type="dxa"/>
          <w:trHeight w:val="285"/>
        </w:trPr>
        <w:tc>
          <w:tcPr>
            <w:tcW w:w="7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D4D1" w14:textId="46E0F5AF" w:rsidR="004879C9" w:rsidRPr="002C5292" w:rsidRDefault="004879C9" w:rsidP="00315C1D">
            <w:pPr>
              <w:rPr>
                <w:rFonts w:asciiTheme="minorHAnsi" w:hAnsiTheme="minorHAnsi" w:cstheme="minorHAnsi"/>
                <w:b/>
                <w:bCs/>
                <w:color w:val="000000"/>
                <w:sz w:val="22"/>
                <w:szCs w:val="22"/>
                <w:u w:val="single"/>
                <w:lang w:eastAsia="en-AU"/>
              </w:rPr>
            </w:pPr>
            <w:r w:rsidRPr="002C5292">
              <w:rPr>
                <w:rFonts w:asciiTheme="minorHAnsi" w:hAnsiTheme="minorHAnsi" w:cstheme="minorHAnsi"/>
                <w:b/>
                <w:bCs/>
                <w:color w:val="000000"/>
                <w:sz w:val="22"/>
                <w:szCs w:val="22"/>
                <w:u w:val="single"/>
                <w:lang w:eastAsia="en-AU"/>
              </w:rPr>
              <w:t>Annual use of limited government resources – upper bound estimate</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6B3850BB"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6A7E0B0B"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2861DC94"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7B966D67"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bottom"/>
            <w:hideMark/>
          </w:tcPr>
          <w:p w14:paraId="54F00E2A" w14:textId="77777777" w:rsidR="004879C9" w:rsidRPr="002C5292" w:rsidRDefault="004879C9" w:rsidP="00315C1D">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1</w:t>
            </w:r>
          </w:p>
        </w:tc>
        <w:tc>
          <w:tcPr>
            <w:tcW w:w="1447" w:type="dxa"/>
            <w:tcBorders>
              <w:top w:val="nil"/>
              <w:left w:val="nil"/>
              <w:bottom w:val="single" w:sz="4" w:space="0" w:color="auto"/>
              <w:right w:val="single" w:sz="4" w:space="0" w:color="auto"/>
            </w:tcBorders>
            <w:shd w:val="clear" w:color="auto" w:fill="auto"/>
            <w:noWrap/>
            <w:vAlign w:val="bottom"/>
            <w:hideMark/>
          </w:tcPr>
          <w:p w14:paraId="185C4F7B" w14:textId="77777777" w:rsidR="004879C9" w:rsidRPr="002C5292" w:rsidRDefault="004879C9" w:rsidP="00315C1D">
            <w:pPr>
              <w:jc w:val="cente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Option 2</w:t>
            </w:r>
          </w:p>
        </w:tc>
      </w:tr>
      <w:tr w:rsidR="004879C9" w:rsidRPr="002C5292" w14:paraId="16CA1DB4"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4D57EAC3"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Avoided costs</w:t>
            </w:r>
          </w:p>
        </w:tc>
        <w:tc>
          <w:tcPr>
            <w:tcW w:w="1447" w:type="dxa"/>
            <w:tcBorders>
              <w:top w:val="nil"/>
              <w:left w:val="nil"/>
              <w:bottom w:val="single" w:sz="4" w:space="0" w:color="auto"/>
              <w:right w:val="single" w:sz="4" w:space="0" w:color="auto"/>
            </w:tcBorders>
            <w:shd w:val="clear" w:color="auto" w:fill="auto"/>
            <w:noWrap/>
            <w:vAlign w:val="bottom"/>
            <w:hideMark/>
          </w:tcPr>
          <w:p w14:paraId="40D6223E"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bottom"/>
            <w:hideMark/>
          </w:tcPr>
          <w:p w14:paraId="71EC7179"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6432E999"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62E247D9"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RISs</w:t>
            </w:r>
          </w:p>
        </w:tc>
        <w:tc>
          <w:tcPr>
            <w:tcW w:w="1447" w:type="dxa"/>
            <w:tcBorders>
              <w:top w:val="nil"/>
              <w:left w:val="nil"/>
              <w:bottom w:val="single" w:sz="4" w:space="0" w:color="auto"/>
              <w:right w:val="single" w:sz="4" w:space="0" w:color="auto"/>
            </w:tcBorders>
            <w:shd w:val="clear" w:color="auto" w:fill="auto"/>
            <w:noWrap/>
            <w:vAlign w:val="center"/>
            <w:hideMark/>
          </w:tcPr>
          <w:p w14:paraId="1DEB3849" w14:textId="22F242D3"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$1,700,000</w:t>
            </w:r>
          </w:p>
        </w:tc>
        <w:tc>
          <w:tcPr>
            <w:tcW w:w="1447" w:type="dxa"/>
            <w:tcBorders>
              <w:top w:val="nil"/>
              <w:left w:val="nil"/>
              <w:bottom w:val="single" w:sz="4" w:space="0" w:color="auto"/>
              <w:right w:val="single" w:sz="4" w:space="0" w:color="auto"/>
            </w:tcBorders>
            <w:shd w:val="clear" w:color="auto" w:fill="auto"/>
            <w:noWrap/>
            <w:vAlign w:val="center"/>
            <w:hideMark/>
          </w:tcPr>
          <w:p w14:paraId="63DB03F0" w14:textId="640E502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$1,700,000</w:t>
            </w:r>
          </w:p>
        </w:tc>
      </w:tr>
      <w:tr w:rsidR="004879C9" w:rsidRPr="002C5292" w14:paraId="20D0382A"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10388381"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Marginal avoided cost of exemption certificates (sections 12F, 12G)</w:t>
            </w:r>
          </w:p>
        </w:tc>
        <w:tc>
          <w:tcPr>
            <w:tcW w:w="1447" w:type="dxa"/>
            <w:tcBorders>
              <w:top w:val="nil"/>
              <w:left w:val="nil"/>
              <w:bottom w:val="single" w:sz="4" w:space="0" w:color="auto"/>
              <w:right w:val="single" w:sz="4" w:space="0" w:color="auto"/>
            </w:tcBorders>
            <w:shd w:val="clear" w:color="auto" w:fill="auto"/>
            <w:noWrap/>
            <w:vAlign w:val="center"/>
            <w:hideMark/>
          </w:tcPr>
          <w:p w14:paraId="63199512" w14:textId="789B3CC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967,345</w:t>
            </w:r>
          </w:p>
        </w:tc>
        <w:tc>
          <w:tcPr>
            <w:tcW w:w="1447" w:type="dxa"/>
            <w:tcBorders>
              <w:top w:val="nil"/>
              <w:left w:val="nil"/>
              <w:bottom w:val="single" w:sz="4" w:space="0" w:color="auto"/>
              <w:right w:val="single" w:sz="4" w:space="0" w:color="auto"/>
            </w:tcBorders>
            <w:shd w:val="clear" w:color="auto" w:fill="auto"/>
            <w:noWrap/>
            <w:vAlign w:val="center"/>
            <w:hideMark/>
          </w:tcPr>
          <w:p w14:paraId="6778CFFE" w14:textId="542BC6CD"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w:t>
            </w:r>
            <w:r w:rsidR="0000486C" w:rsidRPr="002C5292">
              <w:rPr>
                <w:rFonts w:asciiTheme="minorHAnsi" w:hAnsiTheme="minorHAnsi" w:cstheme="minorHAnsi"/>
                <w:color w:val="000000"/>
                <w:sz w:val="22"/>
                <w:szCs w:val="22"/>
                <w:lang w:eastAsia="en-AU"/>
              </w:rPr>
              <w:t>937,345</w:t>
            </w:r>
          </w:p>
        </w:tc>
      </w:tr>
      <w:tr w:rsidR="004879C9" w:rsidRPr="002C5292" w14:paraId="68E83252"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6F076485"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09A8242D"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12808E85"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375F1E7E"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2EDF61DC"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Additional costs</w:t>
            </w:r>
          </w:p>
        </w:tc>
        <w:tc>
          <w:tcPr>
            <w:tcW w:w="1447" w:type="dxa"/>
            <w:tcBorders>
              <w:top w:val="nil"/>
              <w:left w:val="nil"/>
              <w:bottom w:val="single" w:sz="4" w:space="0" w:color="auto"/>
              <w:right w:val="single" w:sz="4" w:space="0" w:color="auto"/>
            </w:tcBorders>
            <w:shd w:val="clear" w:color="auto" w:fill="auto"/>
            <w:noWrap/>
            <w:vAlign w:val="center"/>
            <w:hideMark/>
          </w:tcPr>
          <w:p w14:paraId="4ABA083E"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5DDB0BC3"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5F3E9BD9"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57219BC4"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Cost of preparing and updating the regulations</w:t>
            </w:r>
          </w:p>
        </w:tc>
        <w:tc>
          <w:tcPr>
            <w:tcW w:w="1447" w:type="dxa"/>
            <w:tcBorders>
              <w:top w:val="nil"/>
              <w:left w:val="nil"/>
              <w:bottom w:val="single" w:sz="4" w:space="0" w:color="auto"/>
              <w:right w:val="single" w:sz="4" w:space="0" w:color="auto"/>
            </w:tcBorders>
            <w:shd w:val="clear" w:color="auto" w:fill="auto"/>
            <w:noWrap/>
            <w:vAlign w:val="center"/>
            <w:hideMark/>
          </w:tcPr>
          <w:p w14:paraId="3F619FCB" w14:textId="36A24E74"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$203,950</w:t>
            </w:r>
          </w:p>
        </w:tc>
        <w:tc>
          <w:tcPr>
            <w:tcW w:w="1447" w:type="dxa"/>
            <w:tcBorders>
              <w:top w:val="nil"/>
              <w:left w:val="nil"/>
              <w:bottom w:val="single" w:sz="4" w:space="0" w:color="auto"/>
              <w:right w:val="single" w:sz="4" w:space="0" w:color="auto"/>
            </w:tcBorders>
            <w:shd w:val="clear" w:color="auto" w:fill="auto"/>
            <w:noWrap/>
            <w:vAlign w:val="center"/>
            <w:hideMark/>
          </w:tcPr>
          <w:p w14:paraId="1F3C16AD" w14:textId="2CFBEEC4"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$203,950</w:t>
            </w:r>
          </w:p>
        </w:tc>
      </w:tr>
      <w:tr w:rsidR="004879C9" w:rsidRPr="002C5292" w14:paraId="754B3248"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7FEDCC17" w14:textId="77777777" w:rsidR="004879C9" w:rsidRPr="002C5292" w:rsidRDefault="004879C9" w:rsidP="00315C1D">
            <w:pPr>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60BB7CA6"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c>
          <w:tcPr>
            <w:tcW w:w="1447" w:type="dxa"/>
            <w:tcBorders>
              <w:top w:val="nil"/>
              <w:left w:val="nil"/>
              <w:bottom w:val="single" w:sz="4" w:space="0" w:color="auto"/>
              <w:right w:val="single" w:sz="4" w:space="0" w:color="auto"/>
            </w:tcBorders>
            <w:shd w:val="clear" w:color="auto" w:fill="auto"/>
            <w:noWrap/>
            <w:vAlign w:val="center"/>
            <w:hideMark/>
          </w:tcPr>
          <w:p w14:paraId="13A9D488" w14:textId="77777777"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 </w:t>
            </w:r>
          </w:p>
        </w:tc>
      </w:tr>
      <w:tr w:rsidR="004879C9" w:rsidRPr="002C5292" w14:paraId="0C2A2930" w14:textId="77777777" w:rsidTr="004879C9">
        <w:trPr>
          <w:gridAfter w:val="1"/>
          <w:wAfter w:w="1464" w:type="dxa"/>
          <w:trHeight w:val="285"/>
        </w:trPr>
        <w:tc>
          <w:tcPr>
            <w:tcW w:w="7503" w:type="dxa"/>
            <w:tcBorders>
              <w:top w:val="nil"/>
              <w:left w:val="single" w:sz="4" w:space="0" w:color="auto"/>
              <w:bottom w:val="single" w:sz="4" w:space="0" w:color="auto"/>
              <w:right w:val="single" w:sz="4" w:space="0" w:color="auto"/>
            </w:tcBorders>
            <w:shd w:val="clear" w:color="auto" w:fill="auto"/>
            <w:noWrap/>
            <w:vAlign w:val="center"/>
            <w:hideMark/>
          </w:tcPr>
          <w:p w14:paraId="60D4DBEE" w14:textId="77777777" w:rsidR="004879C9" w:rsidRPr="002C5292" w:rsidRDefault="004879C9" w:rsidP="00315C1D">
            <w:pPr>
              <w:rPr>
                <w:rFonts w:asciiTheme="minorHAnsi" w:hAnsiTheme="minorHAnsi" w:cstheme="minorHAnsi"/>
                <w:b/>
                <w:bCs/>
                <w:color w:val="000000"/>
                <w:sz w:val="22"/>
                <w:szCs w:val="22"/>
                <w:lang w:eastAsia="en-AU"/>
              </w:rPr>
            </w:pPr>
            <w:r w:rsidRPr="002C5292">
              <w:rPr>
                <w:rFonts w:asciiTheme="minorHAnsi" w:hAnsiTheme="minorHAnsi" w:cstheme="minorHAnsi"/>
                <w:b/>
                <w:bCs/>
                <w:color w:val="000000"/>
                <w:sz w:val="22"/>
                <w:szCs w:val="22"/>
                <w:lang w:eastAsia="en-AU"/>
              </w:rPr>
              <w:t>Net avoided costs</w:t>
            </w:r>
          </w:p>
        </w:tc>
        <w:tc>
          <w:tcPr>
            <w:tcW w:w="1447" w:type="dxa"/>
            <w:tcBorders>
              <w:top w:val="nil"/>
              <w:left w:val="nil"/>
              <w:bottom w:val="single" w:sz="4" w:space="0" w:color="auto"/>
              <w:right w:val="single" w:sz="4" w:space="0" w:color="auto"/>
            </w:tcBorders>
            <w:shd w:val="clear" w:color="auto" w:fill="auto"/>
            <w:noWrap/>
            <w:vAlign w:val="center"/>
            <w:hideMark/>
          </w:tcPr>
          <w:p w14:paraId="61062954" w14:textId="614DCA59"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w:t>
            </w:r>
            <w:r w:rsidR="0000486C" w:rsidRPr="002C5292">
              <w:rPr>
                <w:rFonts w:asciiTheme="minorHAnsi" w:hAnsiTheme="minorHAnsi" w:cstheme="minorHAnsi"/>
                <w:color w:val="000000"/>
                <w:sz w:val="22"/>
                <w:szCs w:val="22"/>
                <w:lang w:eastAsia="en-AU"/>
              </w:rPr>
              <w:t>463,395</w:t>
            </w:r>
          </w:p>
        </w:tc>
        <w:tc>
          <w:tcPr>
            <w:tcW w:w="1447" w:type="dxa"/>
            <w:tcBorders>
              <w:top w:val="nil"/>
              <w:left w:val="nil"/>
              <w:bottom w:val="single" w:sz="4" w:space="0" w:color="auto"/>
              <w:right w:val="single" w:sz="4" w:space="0" w:color="auto"/>
            </w:tcBorders>
            <w:shd w:val="clear" w:color="auto" w:fill="auto"/>
            <w:noWrap/>
            <w:vAlign w:val="center"/>
            <w:hideMark/>
          </w:tcPr>
          <w:p w14:paraId="446C5C9F" w14:textId="4510B8F1" w:rsidR="004879C9" w:rsidRPr="002C5292" w:rsidRDefault="004879C9" w:rsidP="00315C1D">
            <w:pPr>
              <w:jc w:val="right"/>
              <w:rPr>
                <w:rFonts w:asciiTheme="minorHAnsi" w:hAnsiTheme="minorHAnsi" w:cstheme="minorHAnsi"/>
                <w:color w:val="000000"/>
                <w:sz w:val="22"/>
                <w:szCs w:val="22"/>
                <w:lang w:eastAsia="en-AU"/>
              </w:rPr>
            </w:pPr>
            <w:r w:rsidRPr="002C5292">
              <w:rPr>
                <w:rFonts w:asciiTheme="minorHAnsi" w:hAnsiTheme="minorHAnsi" w:cstheme="minorHAnsi"/>
                <w:color w:val="000000"/>
                <w:sz w:val="22"/>
                <w:szCs w:val="22"/>
                <w:lang w:eastAsia="en-AU"/>
              </w:rPr>
              <w:t>$2,</w:t>
            </w:r>
            <w:r w:rsidR="0000486C" w:rsidRPr="002C5292">
              <w:rPr>
                <w:rFonts w:asciiTheme="minorHAnsi" w:hAnsiTheme="minorHAnsi" w:cstheme="minorHAnsi"/>
                <w:color w:val="000000"/>
                <w:sz w:val="22"/>
                <w:szCs w:val="22"/>
                <w:lang w:eastAsia="en-AU"/>
              </w:rPr>
              <w:t>433,395</w:t>
            </w:r>
          </w:p>
        </w:tc>
      </w:tr>
    </w:tbl>
    <w:p w14:paraId="6305CAAD" w14:textId="1D3A983B" w:rsidR="00C72EB3" w:rsidRPr="002C5292" w:rsidRDefault="00C72EB3" w:rsidP="00C72EB3">
      <w:pPr>
        <w:pStyle w:val="Heading3"/>
        <w:rPr>
          <w:b w:val="0"/>
          <w:bCs w:val="0"/>
          <w:sz w:val="22"/>
          <w:szCs w:val="22"/>
        </w:rPr>
      </w:pPr>
      <w:bookmarkStart w:id="75" w:name="_Toc70082379"/>
      <w:r w:rsidRPr="002C5292">
        <w:rPr>
          <w:sz w:val="22"/>
          <w:szCs w:val="22"/>
        </w:rPr>
        <w:t xml:space="preserve">Minimising </w:t>
      </w:r>
      <w:r w:rsidR="00DF16F9" w:rsidRPr="002C5292">
        <w:rPr>
          <w:sz w:val="22"/>
          <w:szCs w:val="22"/>
        </w:rPr>
        <w:t>unnecessary</w:t>
      </w:r>
      <w:r w:rsidRPr="002C5292">
        <w:rPr>
          <w:sz w:val="22"/>
          <w:szCs w:val="22"/>
        </w:rPr>
        <w:t xml:space="preserve"> delay</w:t>
      </w:r>
      <w:bookmarkEnd w:id="75"/>
    </w:p>
    <w:p w14:paraId="703D4070" w14:textId="100CC440"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Option 1 ensures the most efficiency in terms of having legislative instruments made in a timely manner, without delays which are considered unnecessary given the size, nature or impact of those legislative instruments proposed for exemption</w:t>
      </w:r>
      <w:r w:rsidR="00517E47" w:rsidRPr="002C5292">
        <w:rPr>
          <w:rFonts w:asciiTheme="minorHAnsi" w:hAnsiTheme="minorHAnsi" w:cstheme="minorHAnsi"/>
          <w:sz w:val="22"/>
          <w:szCs w:val="22"/>
        </w:rPr>
        <w:t xml:space="preserve">. Avoiding </w:t>
      </w:r>
      <w:r w:rsidR="00F95E74" w:rsidRPr="002C5292">
        <w:rPr>
          <w:rFonts w:asciiTheme="minorHAnsi" w:hAnsiTheme="minorHAnsi" w:cstheme="minorHAnsi"/>
          <w:sz w:val="22"/>
          <w:szCs w:val="22"/>
        </w:rPr>
        <w:t>some of the SLA process (</w:t>
      </w:r>
      <w:r w:rsidR="0021508B" w:rsidRPr="002C5292">
        <w:rPr>
          <w:rFonts w:asciiTheme="minorHAnsi" w:hAnsiTheme="minorHAnsi" w:cstheme="minorHAnsi"/>
          <w:sz w:val="22"/>
          <w:szCs w:val="22"/>
        </w:rPr>
        <w:t>such as the</w:t>
      </w:r>
      <w:r w:rsidR="00F95E74" w:rsidRPr="002C5292">
        <w:rPr>
          <w:rFonts w:asciiTheme="minorHAnsi" w:hAnsiTheme="minorHAnsi" w:cstheme="minorHAnsi"/>
          <w:sz w:val="22"/>
          <w:szCs w:val="22"/>
        </w:rPr>
        <w:t xml:space="preserve"> Ministerial case-by-case exemption</w:t>
      </w:r>
      <w:r w:rsidR="00517E47" w:rsidRPr="002C5292">
        <w:rPr>
          <w:rFonts w:asciiTheme="minorHAnsi" w:hAnsiTheme="minorHAnsi" w:cstheme="minorHAnsi"/>
          <w:sz w:val="22"/>
          <w:szCs w:val="22"/>
        </w:rPr>
        <w:t xml:space="preserve"> </w:t>
      </w:r>
      <w:r w:rsidR="00F95E74" w:rsidRPr="002C5292">
        <w:rPr>
          <w:rFonts w:asciiTheme="minorHAnsi" w:hAnsiTheme="minorHAnsi" w:cstheme="minorHAnsi"/>
          <w:sz w:val="22"/>
          <w:szCs w:val="22"/>
        </w:rPr>
        <w:t xml:space="preserve">or the preparation of a RIS) </w:t>
      </w:r>
      <w:r w:rsidR="00517E47" w:rsidRPr="002C5292">
        <w:rPr>
          <w:rFonts w:asciiTheme="minorHAnsi" w:hAnsiTheme="minorHAnsi" w:cstheme="minorHAnsi"/>
          <w:sz w:val="22"/>
          <w:szCs w:val="22"/>
        </w:rPr>
        <w:t>allows an instrument to be prepared more quickly.</w:t>
      </w:r>
      <w:r w:rsidRPr="002C5292">
        <w:rPr>
          <w:rFonts w:asciiTheme="minorHAnsi" w:hAnsiTheme="minorHAnsi" w:cstheme="minorHAnsi"/>
          <w:sz w:val="22"/>
          <w:szCs w:val="22"/>
        </w:rPr>
        <w:t xml:space="preserve"> </w:t>
      </w:r>
      <w:r w:rsidR="00F95E74" w:rsidRPr="002C5292">
        <w:rPr>
          <w:rFonts w:asciiTheme="minorHAnsi" w:hAnsiTheme="minorHAnsi" w:cstheme="minorHAnsi"/>
          <w:sz w:val="22"/>
          <w:szCs w:val="22"/>
        </w:rPr>
        <w:t>For instance, preparing a RIS can take on average 6-12 months</w:t>
      </w:r>
      <w:r w:rsidR="005142D4" w:rsidRPr="002C5292">
        <w:rPr>
          <w:rFonts w:asciiTheme="minorHAnsi" w:hAnsiTheme="minorHAnsi" w:cstheme="minorHAnsi"/>
          <w:sz w:val="22"/>
          <w:szCs w:val="22"/>
        </w:rPr>
        <w:t xml:space="preserve">. </w:t>
      </w:r>
      <w:r w:rsidR="00DA3265" w:rsidRPr="002C5292">
        <w:rPr>
          <w:rFonts w:asciiTheme="minorHAnsi" w:hAnsiTheme="minorHAnsi" w:cstheme="minorHAnsi"/>
          <w:sz w:val="22"/>
          <w:szCs w:val="22"/>
        </w:rPr>
        <w:t>T</w:t>
      </w:r>
      <w:r w:rsidR="00F95E74" w:rsidRPr="002C5292">
        <w:rPr>
          <w:rFonts w:asciiTheme="minorHAnsi" w:hAnsiTheme="minorHAnsi" w:cstheme="minorHAnsi"/>
          <w:sz w:val="22"/>
          <w:szCs w:val="22"/>
        </w:rPr>
        <w:t>he length of time to prepare a Ministerial cases-by-case exemption varies greatly</w:t>
      </w:r>
      <w:r w:rsidR="00DA3265" w:rsidRPr="002C5292">
        <w:rPr>
          <w:rFonts w:asciiTheme="minorHAnsi" w:hAnsiTheme="minorHAnsi" w:cstheme="minorHAnsi"/>
          <w:sz w:val="22"/>
          <w:szCs w:val="22"/>
        </w:rPr>
        <w:t xml:space="preserve"> from </w:t>
      </w:r>
      <w:r w:rsidR="001F4EC6" w:rsidRPr="002C5292">
        <w:rPr>
          <w:rFonts w:asciiTheme="minorHAnsi" w:hAnsiTheme="minorHAnsi" w:cstheme="minorHAnsi"/>
          <w:sz w:val="22"/>
          <w:szCs w:val="22"/>
        </w:rPr>
        <w:t>instrument</w:t>
      </w:r>
      <w:r w:rsidR="00DA3265" w:rsidRPr="002C5292">
        <w:rPr>
          <w:rFonts w:asciiTheme="minorHAnsi" w:hAnsiTheme="minorHAnsi" w:cstheme="minorHAnsi"/>
          <w:sz w:val="22"/>
          <w:szCs w:val="22"/>
        </w:rPr>
        <w:t xml:space="preserve"> to </w:t>
      </w:r>
      <w:r w:rsidR="001F4EC6" w:rsidRPr="002C5292">
        <w:rPr>
          <w:rFonts w:asciiTheme="minorHAnsi" w:hAnsiTheme="minorHAnsi" w:cstheme="minorHAnsi"/>
          <w:sz w:val="22"/>
          <w:szCs w:val="22"/>
        </w:rPr>
        <w:t>instrument</w:t>
      </w:r>
      <w:r w:rsidR="00F95E74" w:rsidRPr="002C5292">
        <w:rPr>
          <w:rFonts w:asciiTheme="minorHAnsi" w:hAnsiTheme="minorHAnsi" w:cstheme="minorHAnsi"/>
          <w:sz w:val="22"/>
          <w:szCs w:val="22"/>
        </w:rPr>
        <w:t>, depending on the complexity</w:t>
      </w:r>
      <w:r w:rsidR="005142D4" w:rsidRPr="002C5292">
        <w:rPr>
          <w:rFonts w:asciiTheme="minorHAnsi" w:hAnsiTheme="minorHAnsi" w:cstheme="minorHAnsi"/>
          <w:sz w:val="22"/>
          <w:szCs w:val="22"/>
        </w:rPr>
        <w:t xml:space="preserve"> and level of assessment required</w:t>
      </w:r>
      <w:r w:rsidR="00DA3265" w:rsidRPr="002C5292">
        <w:rPr>
          <w:rFonts w:asciiTheme="minorHAnsi" w:hAnsiTheme="minorHAnsi" w:cstheme="minorHAnsi"/>
          <w:sz w:val="22"/>
          <w:szCs w:val="22"/>
        </w:rPr>
        <w:t>. I</w:t>
      </w:r>
      <w:r w:rsidR="005142D4" w:rsidRPr="002C5292">
        <w:rPr>
          <w:rFonts w:asciiTheme="minorHAnsi" w:hAnsiTheme="minorHAnsi" w:cstheme="minorHAnsi"/>
          <w:sz w:val="22"/>
          <w:szCs w:val="22"/>
        </w:rPr>
        <w:t xml:space="preserve">t can take anywhere from </w:t>
      </w:r>
      <w:r w:rsidR="00DA3265" w:rsidRPr="002C5292">
        <w:rPr>
          <w:rFonts w:asciiTheme="minorHAnsi" w:hAnsiTheme="minorHAnsi" w:cstheme="minorHAnsi"/>
          <w:sz w:val="22"/>
          <w:szCs w:val="22"/>
        </w:rPr>
        <w:t>a few</w:t>
      </w:r>
      <w:r w:rsidR="00EA335A" w:rsidRPr="002C5292">
        <w:rPr>
          <w:rFonts w:asciiTheme="minorHAnsi" w:hAnsiTheme="minorHAnsi" w:cstheme="minorHAnsi"/>
          <w:sz w:val="22"/>
          <w:szCs w:val="22"/>
        </w:rPr>
        <w:t xml:space="preserve"> days</w:t>
      </w:r>
      <w:r w:rsidR="005142D4" w:rsidRPr="002C5292">
        <w:rPr>
          <w:rFonts w:asciiTheme="minorHAnsi" w:hAnsiTheme="minorHAnsi" w:cstheme="minorHAnsi"/>
          <w:sz w:val="22"/>
          <w:szCs w:val="22"/>
        </w:rPr>
        <w:t xml:space="preserve"> through to </w:t>
      </w:r>
      <w:r w:rsidR="00DA3265" w:rsidRPr="002C5292">
        <w:rPr>
          <w:rFonts w:asciiTheme="minorHAnsi" w:hAnsiTheme="minorHAnsi" w:cstheme="minorHAnsi"/>
          <w:sz w:val="22"/>
          <w:szCs w:val="22"/>
        </w:rPr>
        <w:t>a couple of</w:t>
      </w:r>
      <w:r w:rsidR="005142D4" w:rsidRPr="002C5292">
        <w:rPr>
          <w:rFonts w:asciiTheme="minorHAnsi" w:hAnsiTheme="minorHAnsi" w:cstheme="minorHAnsi"/>
          <w:sz w:val="22"/>
          <w:szCs w:val="22"/>
        </w:rPr>
        <w:t xml:space="preserve"> months</w:t>
      </w:r>
      <w:r w:rsidR="00F95E74" w:rsidRPr="002C5292">
        <w:rPr>
          <w:rFonts w:asciiTheme="minorHAnsi" w:hAnsiTheme="minorHAnsi" w:cstheme="minorHAnsi"/>
          <w:sz w:val="22"/>
          <w:szCs w:val="22"/>
        </w:rPr>
        <w:t xml:space="preserve">. </w:t>
      </w:r>
      <w:r w:rsidRPr="002C5292">
        <w:rPr>
          <w:rFonts w:asciiTheme="minorHAnsi" w:hAnsiTheme="minorHAnsi" w:cstheme="minorHAnsi"/>
          <w:sz w:val="22"/>
          <w:szCs w:val="22"/>
        </w:rPr>
        <w:t>As delays are minimised to the maximum extent under this option, it receives a score of +10 of 10.</w:t>
      </w:r>
    </w:p>
    <w:p w14:paraId="75648E79" w14:textId="092C22FA" w:rsidR="00C72EB3" w:rsidRPr="002C5292" w:rsidRDefault="00C72EB3" w:rsidP="00C72EB3">
      <w:pPr>
        <w:spacing w:before="120" w:after="120" w:line="280" w:lineRule="exact"/>
        <w:rPr>
          <w:rFonts w:asciiTheme="minorHAnsi" w:hAnsiTheme="minorHAnsi" w:cstheme="minorHAnsi"/>
          <w:i/>
          <w:sz w:val="22"/>
          <w:szCs w:val="22"/>
          <w:lang w:eastAsia="en-AU"/>
        </w:rPr>
      </w:pPr>
      <w:r w:rsidRPr="002C5292">
        <w:rPr>
          <w:rFonts w:asciiTheme="minorHAnsi" w:hAnsiTheme="minorHAnsi" w:cstheme="minorHAnsi"/>
          <w:sz w:val="22"/>
          <w:szCs w:val="22"/>
        </w:rPr>
        <w:t xml:space="preserve">Option 2 would lead to delays for the </w:t>
      </w:r>
      <w:r w:rsidR="000B6F2F" w:rsidRPr="002C5292">
        <w:rPr>
          <w:rFonts w:asciiTheme="minorHAnsi" w:hAnsiTheme="minorHAnsi" w:cstheme="minorHAnsi"/>
          <w:sz w:val="22"/>
          <w:szCs w:val="22"/>
        </w:rPr>
        <w:t>8</w:t>
      </w:r>
      <w:r w:rsidR="00DF16F9" w:rsidRPr="002C5292">
        <w:rPr>
          <w:rFonts w:asciiTheme="minorHAnsi" w:hAnsiTheme="minorHAnsi" w:cstheme="minorHAnsi"/>
          <w:sz w:val="22"/>
          <w:szCs w:val="22"/>
        </w:rPr>
        <w:t>7</w:t>
      </w:r>
      <w:r w:rsidR="000B6F2F"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provisions </w:t>
      </w:r>
      <w:r w:rsidR="00917268" w:rsidRPr="002C5292">
        <w:rPr>
          <w:rFonts w:asciiTheme="minorHAnsi" w:hAnsiTheme="minorHAnsi" w:cstheme="minorHAnsi"/>
          <w:sz w:val="22"/>
          <w:szCs w:val="22"/>
        </w:rPr>
        <w:t>to make</w:t>
      </w:r>
      <w:r w:rsidRPr="002C5292">
        <w:rPr>
          <w:rFonts w:asciiTheme="minorHAnsi" w:hAnsiTheme="minorHAnsi" w:cstheme="minorHAnsi"/>
          <w:sz w:val="22"/>
          <w:szCs w:val="22"/>
        </w:rPr>
        <w:t xml:space="preserve"> instruments discussed previously, which are proposed for exemption under the RIS-equivalency and national uniform legislation criteria under Option 1, but will not be exempt legislative instruments under Option 2. While there is arguably some benefit in</w:t>
      </w:r>
      <w:r w:rsidR="0021508B" w:rsidRPr="002C5292">
        <w:rPr>
          <w:rFonts w:asciiTheme="minorHAnsi" w:hAnsiTheme="minorHAnsi" w:cstheme="minorHAnsi"/>
          <w:sz w:val="22"/>
          <w:szCs w:val="22"/>
        </w:rPr>
        <w:t xml:space="preserve"> subjecting instruments made under these provisions to the SLA, there would be a net cost</w:t>
      </w:r>
      <w:r w:rsidRPr="002C5292">
        <w:rPr>
          <w:rFonts w:asciiTheme="minorHAnsi" w:hAnsiTheme="minorHAnsi" w:cstheme="minorHAnsi"/>
          <w:sz w:val="22"/>
          <w:szCs w:val="22"/>
        </w:rPr>
        <w:t xml:space="preserve"> overall. Delays also run the risk of, for example, impacting on State-Commonwealth relations if a particular legislative instrument was delayed by a RIS and associated consultation process, which impacted on overall implementation timeframes agreed to at a Commonwealth level. Given that the delay impacts of the </w:t>
      </w:r>
      <w:r w:rsidR="00AF1D14" w:rsidRPr="002C5292">
        <w:rPr>
          <w:rFonts w:asciiTheme="minorHAnsi" w:hAnsiTheme="minorHAnsi" w:cstheme="minorHAnsi"/>
          <w:sz w:val="22"/>
          <w:szCs w:val="22"/>
        </w:rPr>
        <w:t>8</w:t>
      </w:r>
      <w:r w:rsidR="00DF16F9" w:rsidRPr="002C5292">
        <w:rPr>
          <w:rFonts w:asciiTheme="minorHAnsi" w:hAnsiTheme="minorHAnsi" w:cstheme="minorHAnsi"/>
          <w:sz w:val="22"/>
          <w:szCs w:val="22"/>
        </w:rPr>
        <w:t>7</w:t>
      </w:r>
      <w:r w:rsidR="00AF1D14" w:rsidRPr="002C5292">
        <w:rPr>
          <w:rFonts w:asciiTheme="minorHAnsi" w:hAnsiTheme="minorHAnsi" w:cstheme="minorHAnsi"/>
          <w:sz w:val="22"/>
          <w:szCs w:val="22"/>
        </w:rPr>
        <w:t xml:space="preserve"> </w:t>
      </w:r>
      <w:r w:rsidRPr="002C5292">
        <w:rPr>
          <w:rFonts w:asciiTheme="minorHAnsi" w:hAnsiTheme="minorHAnsi" w:cstheme="minorHAnsi"/>
          <w:sz w:val="22"/>
          <w:szCs w:val="22"/>
        </w:rPr>
        <w:t>provisions</w:t>
      </w:r>
      <w:r w:rsidR="00917268" w:rsidRPr="002C5292">
        <w:rPr>
          <w:rFonts w:asciiTheme="minorHAnsi" w:hAnsiTheme="minorHAnsi" w:cstheme="minorHAnsi"/>
          <w:sz w:val="22"/>
          <w:szCs w:val="22"/>
        </w:rPr>
        <w:t xml:space="preserve"> to make</w:t>
      </w:r>
      <w:r w:rsidRPr="002C5292">
        <w:rPr>
          <w:rFonts w:asciiTheme="minorHAnsi" w:hAnsiTheme="minorHAnsi" w:cstheme="minorHAnsi"/>
          <w:sz w:val="22"/>
          <w:szCs w:val="22"/>
        </w:rPr>
        <w:t xml:space="preserve"> instruments that are not made exempt legislative instruments under </w:t>
      </w:r>
      <w:r w:rsidR="00AF1D14" w:rsidRPr="002C5292">
        <w:rPr>
          <w:rFonts w:asciiTheme="minorHAnsi" w:hAnsiTheme="minorHAnsi" w:cstheme="minorHAnsi"/>
          <w:sz w:val="22"/>
          <w:szCs w:val="22"/>
        </w:rPr>
        <w:t>O</w:t>
      </w:r>
      <w:r w:rsidRPr="002C5292">
        <w:rPr>
          <w:rFonts w:asciiTheme="minorHAnsi" w:hAnsiTheme="minorHAnsi" w:cstheme="minorHAnsi"/>
          <w:sz w:val="22"/>
          <w:szCs w:val="22"/>
        </w:rPr>
        <w:t xml:space="preserve">ption </w:t>
      </w:r>
      <w:r w:rsidR="00AF1D14" w:rsidRPr="002C5292">
        <w:rPr>
          <w:rFonts w:asciiTheme="minorHAnsi" w:hAnsiTheme="minorHAnsi" w:cstheme="minorHAnsi"/>
          <w:sz w:val="22"/>
          <w:szCs w:val="22"/>
        </w:rPr>
        <w:t xml:space="preserve">2 </w:t>
      </w:r>
      <w:r w:rsidRPr="002C5292">
        <w:rPr>
          <w:rFonts w:asciiTheme="minorHAnsi" w:hAnsiTheme="minorHAnsi" w:cstheme="minorHAnsi"/>
          <w:sz w:val="22"/>
          <w:szCs w:val="22"/>
        </w:rPr>
        <w:t>could be quite costly, this option has been scored +</w:t>
      </w:r>
      <w:r w:rsidR="00A83AA5" w:rsidRPr="002C5292">
        <w:rPr>
          <w:rFonts w:asciiTheme="minorHAnsi" w:hAnsiTheme="minorHAnsi" w:cstheme="minorHAnsi"/>
          <w:sz w:val="22"/>
          <w:szCs w:val="22"/>
        </w:rPr>
        <w:t>7</w:t>
      </w:r>
      <w:r w:rsidRPr="002C5292">
        <w:rPr>
          <w:rFonts w:asciiTheme="minorHAnsi" w:hAnsiTheme="minorHAnsi" w:cstheme="minorHAnsi"/>
          <w:sz w:val="22"/>
          <w:szCs w:val="22"/>
        </w:rPr>
        <w:t xml:space="preserve"> out of 10.</w:t>
      </w:r>
    </w:p>
    <w:p w14:paraId="2DBAB743" w14:textId="4905A680" w:rsidR="00C72EB3" w:rsidRPr="002C5292" w:rsidRDefault="00C72EB3" w:rsidP="00C72EB3">
      <w:pPr>
        <w:pStyle w:val="Heading3"/>
        <w:rPr>
          <w:b w:val="0"/>
          <w:bCs w:val="0"/>
          <w:sz w:val="22"/>
          <w:szCs w:val="22"/>
        </w:rPr>
      </w:pPr>
      <w:bookmarkStart w:id="76" w:name="_Toc70082380"/>
      <w:r w:rsidRPr="002C5292">
        <w:rPr>
          <w:sz w:val="22"/>
          <w:szCs w:val="22"/>
        </w:rPr>
        <w:t>Appropriate level of parliamentary and public scrutiny</w:t>
      </w:r>
      <w:bookmarkEnd w:id="76"/>
      <w:r w:rsidRPr="002C5292">
        <w:rPr>
          <w:sz w:val="22"/>
          <w:szCs w:val="22"/>
        </w:rPr>
        <w:t xml:space="preserve"> </w:t>
      </w:r>
    </w:p>
    <w:p w14:paraId="6F155031" w14:textId="68C4B021"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Option 1 poses a somewhat greater risk of legislative instruments being made that impose a significant cost or burden, without having undergone adequate analysis and consultation. Parliamentary scrutiny is forgone for exempt legislative instruments, due to forgoing the processes of tabling legislative instruments in Parliament and having SARC scrutinise each one. </w:t>
      </w:r>
      <w:r w:rsidR="002A2E50" w:rsidRPr="002C5292">
        <w:rPr>
          <w:rFonts w:asciiTheme="minorHAnsi" w:hAnsiTheme="minorHAnsi" w:cstheme="minorHAnsi"/>
          <w:sz w:val="22"/>
          <w:szCs w:val="22"/>
        </w:rPr>
        <w:t>However, the loss of consultation and scrutiny is mitigated to some extent because, b</w:t>
      </w:r>
      <w:r w:rsidRPr="002C5292">
        <w:rPr>
          <w:rFonts w:asciiTheme="minorHAnsi" w:hAnsiTheme="minorHAnsi" w:cstheme="minorHAnsi"/>
          <w:sz w:val="22"/>
          <w:szCs w:val="22"/>
        </w:rPr>
        <w:t>y providing a mechanism to remove or reduce the consultation and scrutiny requirements for lower impact instruments, the public, Parliament and SARC is able to better focus on those instruments that are most likely to have a significant impact and are therefore more likely to be of interest to the public.</w:t>
      </w:r>
      <w:r w:rsidR="00D430E3" w:rsidRPr="002C5292">
        <w:rPr>
          <w:rFonts w:asciiTheme="minorHAnsi" w:hAnsiTheme="minorHAnsi" w:cstheme="minorHAnsi"/>
          <w:sz w:val="22"/>
          <w:szCs w:val="22"/>
        </w:rPr>
        <w:t xml:space="preserve"> Moreover, if public consultation through the Engage Victoria online platform included all lower and higher impact instruments, the public may not be able to determine or focus on those instruments that are of most relevance to them. </w:t>
      </w:r>
    </w:p>
    <w:p w14:paraId="5DDD4C7E" w14:textId="608BFD05" w:rsidR="0021508B" w:rsidRPr="002C5292" w:rsidRDefault="0021508B" w:rsidP="00C72EB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N</w:t>
      </w:r>
      <w:r w:rsidR="00C72EB3" w:rsidRPr="002C5292">
        <w:rPr>
          <w:rFonts w:asciiTheme="majorHAnsi" w:hAnsiTheme="majorHAnsi" w:cstheme="majorHAnsi"/>
          <w:sz w:val="22"/>
          <w:szCs w:val="22"/>
        </w:rPr>
        <w:t xml:space="preserve">ot all legislative instruments need to face such a rigorous scrutiny process. There is a risk that requiring SARC to scrutinise a much larger number of legislative instruments under the Base Case (compared to Options 1 and 2) would compromise SARC’s ability to effectively scrutinise each instrument including those with higher impacts on a sector of the public. </w:t>
      </w:r>
      <w:r w:rsidR="00D443D8" w:rsidRPr="002C5292">
        <w:rPr>
          <w:rFonts w:asciiTheme="majorHAnsi" w:hAnsiTheme="majorHAnsi" w:cstheme="majorHAnsi"/>
          <w:sz w:val="22"/>
          <w:szCs w:val="22"/>
        </w:rPr>
        <w:t xml:space="preserve">A similar risk would exist for public scrutiny, if a much larger number of legislative instruments required feedback, which </w:t>
      </w:r>
      <w:r w:rsidR="0069324B" w:rsidRPr="002C5292">
        <w:rPr>
          <w:rFonts w:asciiTheme="majorHAnsi" w:hAnsiTheme="majorHAnsi" w:cstheme="majorHAnsi"/>
          <w:sz w:val="22"/>
          <w:szCs w:val="22"/>
        </w:rPr>
        <w:t>may</w:t>
      </w:r>
      <w:r w:rsidR="00D443D8" w:rsidRPr="002C5292">
        <w:rPr>
          <w:rFonts w:asciiTheme="majorHAnsi" w:hAnsiTheme="majorHAnsi" w:cstheme="majorHAnsi"/>
          <w:sz w:val="22"/>
          <w:szCs w:val="22"/>
        </w:rPr>
        <w:t xml:space="preserve"> compromise the public’s ability to focus its feedback on those instruments that have a higher impact.</w:t>
      </w:r>
    </w:p>
    <w:p w14:paraId="1FB25340" w14:textId="573ED89F" w:rsidR="00C72EB3" w:rsidRPr="002C5292" w:rsidRDefault="00C72EB3" w:rsidP="00C72EB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Little or no scrutiny processes in relation to legislative instruments may pose a risk to the community in that impacts or burdens placed on them by a legislative instrument may not be justified and proportionate measures.</w:t>
      </w:r>
      <w:r w:rsidR="0021508B" w:rsidRPr="002C5292">
        <w:rPr>
          <w:rFonts w:asciiTheme="majorHAnsi" w:hAnsiTheme="majorHAnsi" w:cstheme="majorHAnsi"/>
          <w:sz w:val="22"/>
          <w:szCs w:val="22"/>
        </w:rPr>
        <w:t xml:space="preserve"> Regulatory scrutiny can help identify and address issues with regulations. For example, the SLA requires </w:t>
      </w:r>
      <w:r w:rsidR="00DF16F9" w:rsidRPr="002C5292">
        <w:rPr>
          <w:rFonts w:asciiTheme="majorHAnsi" w:hAnsiTheme="majorHAnsi" w:cstheme="majorHAnsi"/>
          <w:sz w:val="22"/>
          <w:szCs w:val="22"/>
        </w:rPr>
        <w:t xml:space="preserve">consultation </w:t>
      </w:r>
      <w:r w:rsidR="0021508B" w:rsidRPr="002C5292">
        <w:rPr>
          <w:rFonts w:asciiTheme="majorHAnsi" w:hAnsiTheme="majorHAnsi" w:cstheme="majorHAnsi"/>
          <w:sz w:val="22"/>
          <w:szCs w:val="22"/>
        </w:rPr>
        <w:t xml:space="preserve">with significantly affected parties on proposed instruments, and these parties can identify issues, which can then be addressed to increase the benefits and/or reduce the costs of a proposal. </w:t>
      </w:r>
      <w:r w:rsidRPr="002C5292">
        <w:rPr>
          <w:rFonts w:asciiTheme="majorHAnsi" w:hAnsiTheme="majorHAnsi" w:cstheme="majorHAnsi"/>
          <w:sz w:val="22"/>
          <w:szCs w:val="22"/>
        </w:rPr>
        <w:t>However, this risk is low due to the fact that most exempt legislative instruments will only have minor impacts</w:t>
      </w:r>
      <w:r w:rsidR="00DF16F9" w:rsidRPr="002C5292">
        <w:rPr>
          <w:rFonts w:asciiTheme="majorHAnsi" w:hAnsiTheme="majorHAnsi" w:cstheme="majorHAnsi"/>
          <w:sz w:val="22"/>
          <w:szCs w:val="22"/>
        </w:rPr>
        <w:t xml:space="preserve"> or are unsuitable for public </w:t>
      </w:r>
      <w:bookmarkStart w:id="77" w:name="_Hlk69726631"/>
      <w:r w:rsidR="00DF16F9" w:rsidRPr="002C5292">
        <w:rPr>
          <w:rFonts w:asciiTheme="majorHAnsi" w:hAnsiTheme="majorHAnsi" w:cstheme="majorHAnsi"/>
          <w:sz w:val="22"/>
          <w:szCs w:val="22"/>
        </w:rPr>
        <w:t>consultation</w:t>
      </w:r>
      <w:bookmarkEnd w:id="77"/>
      <w:r w:rsidR="00DF16F9" w:rsidRPr="002C5292">
        <w:rPr>
          <w:rFonts w:asciiTheme="majorHAnsi" w:hAnsiTheme="majorHAnsi" w:cstheme="majorHAnsi"/>
          <w:sz w:val="22"/>
          <w:szCs w:val="22"/>
        </w:rPr>
        <w:t>.</w:t>
      </w:r>
    </w:p>
    <w:p w14:paraId="17308403" w14:textId="60764212" w:rsidR="00C72EB3" w:rsidRPr="002C5292" w:rsidRDefault="00C72EB3" w:rsidP="00C72EB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In summary, DPC, in consultation with </w:t>
      </w:r>
      <w:r w:rsidR="00DC6368" w:rsidRPr="002C5292">
        <w:rPr>
          <w:rFonts w:asciiTheme="majorHAnsi" w:hAnsiTheme="majorHAnsi" w:cstheme="majorHAnsi"/>
          <w:sz w:val="22"/>
          <w:szCs w:val="22"/>
        </w:rPr>
        <w:t>d</w:t>
      </w:r>
      <w:r w:rsidRPr="002C5292">
        <w:rPr>
          <w:rFonts w:asciiTheme="majorHAnsi" w:hAnsiTheme="majorHAnsi" w:cstheme="majorHAnsi"/>
          <w:sz w:val="22"/>
          <w:szCs w:val="22"/>
        </w:rPr>
        <w:t>epartments:</w:t>
      </w:r>
    </w:p>
    <w:p w14:paraId="3B451EB0" w14:textId="33D18DB9" w:rsidR="00C72EB3" w:rsidRPr="002C5292" w:rsidRDefault="00C72EB3" w:rsidP="008B6A1F">
      <w:pPr>
        <w:pStyle w:val="ListParagraph"/>
        <w:numPr>
          <w:ilvl w:val="0"/>
          <w:numId w:val="40"/>
        </w:numPr>
        <w:spacing w:before="120" w:after="120" w:line="280" w:lineRule="exact"/>
        <w:rPr>
          <w:rFonts w:asciiTheme="majorHAnsi" w:hAnsiTheme="majorHAnsi" w:cstheme="majorHAnsi"/>
        </w:rPr>
      </w:pPr>
      <w:r w:rsidRPr="002C5292">
        <w:rPr>
          <w:rFonts w:asciiTheme="majorHAnsi" w:hAnsiTheme="majorHAnsi" w:cstheme="majorHAnsi"/>
        </w:rPr>
        <w:t>considered whether each exempt legislative instrument to be included in the Proposed Regulations require</w:t>
      </w:r>
      <w:r w:rsidR="00DC3CF1" w:rsidRPr="002C5292">
        <w:rPr>
          <w:rFonts w:asciiTheme="majorHAnsi" w:hAnsiTheme="majorHAnsi" w:cstheme="majorHAnsi"/>
        </w:rPr>
        <w:t>s</w:t>
      </w:r>
      <w:r w:rsidRPr="002C5292">
        <w:rPr>
          <w:rFonts w:asciiTheme="majorHAnsi" w:hAnsiTheme="majorHAnsi" w:cstheme="majorHAnsi"/>
        </w:rPr>
        <w:t xml:space="preserve"> a</w:t>
      </w:r>
      <w:r w:rsidR="00D36ADD" w:rsidRPr="002C5292">
        <w:rPr>
          <w:rFonts w:asciiTheme="majorHAnsi" w:hAnsiTheme="majorHAnsi" w:cstheme="majorHAnsi"/>
        </w:rPr>
        <w:t xml:space="preserve"> significant</w:t>
      </w:r>
      <w:r w:rsidRPr="002C5292">
        <w:rPr>
          <w:rFonts w:asciiTheme="majorHAnsi" w:hAnsiTheme="majorHAnsi" w:cstheme="majorHAnsi"/>
        </w:rPr>
        <w:t xml:space="preserve"> </w:t>
      </w:r>
      <w:bookmarkStart w:id="78" w:name="_Hlk69726732"/>
      <w:r w:rsidR="00DF16F9" w:rsidRPr="002C5292">
        <w:rPr>
          <w:rFonts w:asciiTheme="majorHAnsi" w:hAnsiTheme="majorHAnsi" w:cstheme="majorHAnsi"/>
        </w:rPr>
        <w:t>level of parliamentary and public scrutin</w:t>
      </w:r>
      <w:bookmarkEnd w:id="78"/>
      <w:r w:rsidR="00DF16F9" w:rsidRPr="002C5292">
        <w:rPr>
          <w:rFonts w:asciiTheme="majorHAnsi" w:hAnsiTheme="majorHAnsi" w:cstheme="majorHAnsi"/>
        </w:rPr>
        <w:t xml:space="preserve">y. </w:t>
      </w:r>
      <w:r w:rsidRPr="002C5292">
        <w:rPr>
          <w:rFonts w:asciiTheme="majorHAnsi" w:hAnsiTheme="majorHAnsi" w:cstheme="majorHAnsi"/>
        </w:rPr>
        <w:t>The exempt legislative instruments in the Proposed Regulations are those which do not require such an intensive assessment as offered through the RIS, consultation, parliamentary and SARC processes; and</w:t>
      </w:r>
    </w:p>
    <w:p w14:paraId="65B7173C" w14:textId="28788C32" w:rsidR="00C72EB3" w:rsidRPr="002C5292" w:rsidRDefault="00C72EB3" w:rsidP="008B6A1F">
      <w:pPr>
        <w:pStyle w:val="ListParagraph"/>
        <w:numPr>
          <w:ilvl w:val="0"/>
          <w:numId w:val="40"/>
        </w:numPr>
        <w:spacing w:before="120" w:after="120" w:line="280" w:lineRule="exact"/>
        <w:rPr>
          <w:rFonts w:asciiTheme="majorHAnsi" w:hAnsiTheme="majorHAnsi" w:cstheme="majorHAnsi"/>
        </w:rPr>
      </w:pPr>
      <w:r w:rsidRPr="002C5292">
        <w:rPr>
          <w:rFonts w:asciiTheme="majorHAnsi" w:hAnsiTheme="majorHAnsi" w:cstheme="majorHAnsi"/>
        </w:rPr>
        <w:t xml:space="preserve">determined that the cost to departments or agencies in preparing a RIS and undertaking consultation, and the impact on parliamentary processes and SARC resources, outweighs any benefits in having legislative instruments go through these process before they are made. </w:t>
      </w:r>
    </w:p>
    <w:p w14:paraId="3C0335B5" w14:textId="21092441" w:rsidR="00C72EB3" w:rsidRPr="002C5292" w:rsidRDefault="00C72EB3" w:rsidP="00C72EB3">
      <w:pPr>
        <w:spacing w:before="120" w:after="120" w:line="280" w:lineRule="exact"/>
        <w:rPr>
          <w:rFonts w:asciiTheme="majorHAnsi" w:hAnsiTheme="majorHAnsi" w:cstheme="majorHAnsi"/>
          <w:sz w:val="22"/>
          <w:szCs w:val="22"/>
        </w:rPr>
      </w:pPr>
      <w:r w:rsidRPr="002C5292">
        <w:rPr>
          <w:rFonts w:asciiTheme="majorHAnsi" w:hAnsiTheme="majorHAnsi" w:cstheme="majorHAnsi"/>
          <w:sz w:val="22"/>
          <w:szCs w:val="22"/>
        </w:rPr>
        <w:t xml:space="preserve">Nonetheless, due to the large number of instruments being proposed for exemption, </w:t>
      </w:r>
      <w:r w:rsidR="00584394" w:rsidRPr="002C5292">
        <w:rPr>
          <w:rFonts w:asciiTheme="majorHAnsi" w:hAnsiTheme="majorHAnsi" w:cstheme="majorHAnsi"/>
          <w:sz w:val="22"/>
          <w:szCs w:val="22"/>
        </w:rPr>
        <w:t>both options have been</w:t>
      </w:r>
      <w:r w:rsidRPr="002C5292">
        <w:rPr>
          <w:rFonts w:asciiTheme="majorHAnsi" w:hAnsiTheme="majorHAnsi" w:cstheme="majorHAnsi"/>
          <w:sz w:val="22"/>
          <w:szCs w:val="22"/>
        </w:rPr>
        <w:t xml:space="preserve"> scored negatively, in recognition that these instruments could be used in an unforeseen way that imposes a significant cost or burden without adequate scrutiny. The large number means that the cumulative burden</w:t>
      </w:r>
      <w:r w:rsidR="00584394" w:rsidRPr="002C5292">
        <w:rPr>
          <w:rFonts w:asciiTheme="majorHAnsi" w:hAnsiTheme="majorHAnsi" w:cstheme="majorHAnsi"/>
          <w:sz w:val="22"/>
          <w:szCs w:val="22"/>
        </w:rPr>
        <w:t xml:space="preserve"> of these instruments</w:t>
      </w:r>
      <w:r w:rsidRPr="002C5292">
        <w:rPr>
          <w:rFonts w:asciiTheme="majorHAnsi" w:hAnsiTheme="majorHAnsi" w:cstheme="majorHAnsi"/>
          <w:sz w:val="22"/>
          <w:szCs w:val="22"/>
        </w:rPr>
        <w:t xml:space="preserve"> could be </w:t>
      </w:r>
      <w:r w:rsidR="002A2E50" w:rsidRPr="002C5292">
        <w:rPr>
          <w:rFonts w:asciiTheme="majorHAnsi" w:hAnsiTheme="majorHAnsi" w:cstheme="majorHAnsi"/>
          <w:sz w:val="22"/>
          <w:szCs w:val="22"/>
        </w:rPr>
        <w:t xml:space="preserve">moderately </w:t>
      </w:r>
      <w:r w:rsidRPr="002C5292">
        <w:rPr>
          <w:rFonts w:asciiTheme="majorHAnsi" w:hAnsiTheme="majorHAnsi" w:cstheme="majorHAnsi"/>
          <w:sz w:val="22"/>
          <w:szCs w:val="22"/>
        </w:rPr>
        <w:t>high even if the individual burdens are low. This option has been scored -4 out of 10.</w:t>
      </w:r>
    </w:p>
    <w:p w14:paraId="709D9B5E" w14:textId="3F8896BD" w:rsidR="00C72EB3" w:rsidRPr="002C5292" w:rsidRDefault="00C72EB3" w:rsidP="008B6A1F">
      <w:pPr>
        <w:spacing w:before="120" w:after="120" w:line="280" w:lineRule="exact"/>
        <w:rPr>
          <w:rFonts w:asciiTheme="majorHAnsi" w:hAnsiTheme="majorHAnsi" w:cstheme="majorHAnsi"/>
          <w:i/>
          <w:sz w:val="22"/>
          <w:szCs w:val="22"/>
          <w:lang w:eastAsia="en-AU"/>
        </w:rPr>
      </w:pPr>
      <w:r w:rsidRPr="002C5292">
        <w:rPr>
          <w:rFonts w:asciiTheme="majorHAnsi" w:hAnsiTheme="majorHAnsi" w:cstheme="majorHAnsi"/>
          <w:sz w:val="22"/>
          <w:szCs w:val="22"/>
        </w:rPr>
        <w:t xml:space="preserve">Option 2 focuses on those instruments which are likely to impose a significant cost or burden, but where an alternative and equally rigorous process is in place to ensure that burden is well justified. Removing those instruments from exemption ensures they face a more rigorous process, </w:t>
      </w:r>
      <w:r w:rsidR="00287790" w:rsidRPr="002C5292">
        <w:rPr>
          <w:rFonts w:asciiTheme="majorHAnsi" w:hAnsiTheme="majorHAnsi" w:cstheme="majorHAnsi"/>
          <w:sz w:val="22"/>
          <w:szCs w:val="22"/>
        </w:rPr>
        <w:t xml:space="preserve">somewhat </w:t>
      </w:r>
      <w:r w:rsidRPr="002C5292">
        <w:rPr>
          <w:rFonts w:asciiTheme="majorHAnsi" w:hAnsiTheme="majorHAnsi" w:cstheme="majorHAnsi"/>
          <w:sz w:val="22"/>
          <w:szCs w:val="22"/>
        </w:rPr>
        <w:t>reducing the risk slightly that a significant cost or burden will be imposed without scrutiny. This option has been scored -</w:t>
      </w:r>
      <w:r w:rsidR="00A83AA5" w:rsidRPr="002C5292">
        <w:rPr>
          <w:rFonts w:asciiTheme="majorHAnsi" w:hAnsiTheme="majorHAnsi" w:cstheme="majorHAnsi"/>
          <w:sz w:val="22"/>
          <w:szCs w:val="22"/>
        </w:rPr>
        <w:t>3</w:t>
      </w:r>
      <w:r w:rsidRPr="002C5292">
        <w:rPr>
          <w:rFonts w:asciiTheme="majorHAnsi" w:hAnsiTheme="majorHAnsi" w:cstheme="majorHAnsi"/>
          <w:sz w:val="22"/>
          <w:szCs w:val="22"/>
        </w:rPr>
        <w:t xml:space="preserve"> out of 10.</w:t>
      </w:r>
    </w:p>
    <w:p w14:paraId="695E6918" w14:textId="77777777" w:rsidR="00C72EB3" w:rsidRPr="002C5292" w:rsidRDefault="00C72EB3" w:rsidP="00C72EB3">
      <w:pPr>
        <w:pStyle w:val="Heading3"/>
        <w:rPr>
          <w:b w:val="0"/>
          <w:bCs w:val="0"/>
          <w:sz w:val="22"/>
          <w:szCs w:val="22"/>
        </w:rPr>
      </w:pPr>
      <w:bookmarkStart w:id="79" w:name="_Toc70082381"/>
      <w:r w:rsidRPr="002C5292">
        <w:rPr>
          <w:sz w:val="22"/>
          <w:szCs w:val="22"/>
        </w:rPr>
        <w:t>Total score</w:t>
      </w:r>
      <w:bookmarkEnd w:id="79"/>
      <w:r w:rsidRPr="002C5292">
        <w:rPr>
          <w:sz w:val="22"/>
          <w:szCs w:val="22"/>
        </w:rPr>
        <w:t xml:space="preserve"> </w:t>
      </w:r>
    </w:p>
    <w:p w14:paraId="65F2B8F9" w14:textId="76C098F1"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 multi-criteria analysis demonstrates that Option 1 has the greatest net benefit when scores are assigned to each of the criteria. In total, Option 1 receives a weighted score of +3 compared to Option 2 which receives a weighted score of +2.5. Both the scores are significantly in excess of the score of the Base Case of zero. The total scores for Option 1 and Option 2 are quite similar because the options are judged to have only small differences in their impact. Nonetheless, Option 1 receives the highest score and so has been judged to be the preferred option. The reasons that Option 1 is the preferred option are discussed in more detail below. </w:t>
      </w:r>
    </w:p>
    <w:p w14:paraId="2BAF20F1" w14:textId="711DA1B4" w:rsidR="00C72EB3" w:rsidRPr="002C5292" w:rsidRDefault="00C72EB3" w:rsidP="00C72EB3">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The total scores are not significantly sensitive to the assigned weightings. Option 1 receive</w:t>
      </w:r>
      <w:r w:rsidR="00287790" w:rsidRPr="002C5292">
        <w:rPr>
          <w:rFonts w:asciiTheme="minorHAnsi" w:hAnsiTheme="minorHAnsi" w:cstheme="minorHAnsi"/>
          <w:sz w:val="22"/>
          <w:szCs w:val="22"/>
        </w:rPr>
        <w:t>s</w:t>
      </w:r>
      <w:r w:rsidRPr="002C5292">
        <w:rPr>
          <w:rFonts w:asciiTheme="minorHAnsi" w:hAnsiTheme="minorHAnsi" w:cstheme="minorHAnsi"/>
          <w:sz w:val="22"/>
          <w:szCs w:val="22"/>
        </w:rPr>
        <w:t xml:space="preserve"> the highest weighted score until the weighting to the third criterion (ensure an appropriate level of parliamentary and public scrutiny when making legislative instruments) exceeds </w:t>
      </w:r>
      <w:r w:rsidR="00287790" w:rsidRPr="002C5292">
        <w:rPr>
          <w:rFonts w:asciiTheme="minorHAnsi" w:hAnsiTheme="minorHAnsi" w:cstheme="minorHAnsi"/>
          <w:sz w:val="22"/>
          <w:szCs w:val="22"/>
        </w:rPr>
        <w:t xml:space="preserve">66.66 </w:t>
      </w:r>
      <w:r w:rsidRPr="002C5292">
        <w:rPr>
          <w:rFonts w:asciiTheme="minorHAnsi" w:hAnsiTheme="minorHAnsi" w:cstheme="minorHAnsi"/>
          <w:sz w:val="22"/>
          <w:szCs w:val="22"/>
        </w:rPr>
        <w:t>per cent. Either Option 1 or Option 2 is preferred over the Base Case unless the third criterion is assigned a weighting of over 7</w:t>
      </w:r>
      <w:r w:rsidR="00287790" w:rsidRPr="002C5292">
        <w:rPr>
          <w:rFonts w:asciiTheme="minorHAnsi" w:hAnsiTheme="minorHAnsi" w:cstheme="minorHAnsi"/>
          <w:sz w:val="22"/>
          <w:szCs w:val="22"/>
        </w:rPr>
        <w:t>2</w:t>
      </w:r>
      <w:r w:rsidRPr="002C5292">
        <w:rPr>
          <w:rFonts w:asciiTheme="minorHAnsi" w:hAnsiTheme="minorHAnsi" w:cstheme="minorHAnsi"/>
          <w:sz w:val="22"/>
          <w:szCs w:val="22"/>
        </w:rPr>
        <w:t xml:space="preserve"> per cent. </w:t>
      </w:r>
    </w:p>
    <w:p w14:paraId="5A9F9867" w14:textId="18D177CB" w:rsidR="00C72EB3" w:rsidRPr="002C5292" w:rsidRDefault="00C72EB3" w:rsidP="004066C6">
      <w:r w:rsidRPr="002C5292">
        <w:rPr>
          <w:rFonts w:asciiTheme="minorHAnsi" w:hAnsiTheme="minorHAnsi" w:cstheme="minorHAnsi"/>
          <w:sz w:val="22"/>
          <w:szCs w:val="22"/>
        </w:rPr>
        <w:t xml:space="preserve">As disproportionately high weightings on one criterion are not considered appropriate when seeking an outcome that maximises the net benefit across several criteria, this </w:t>
      </w:r>
      <w:r w:rsidR="00287790" w:rsidRPr="002C5292">
        <w:rPr>
          <w:rFonts w:asciiTheme="minorHAnsi" w:hAnsiTheme="minorHAnsi" w:cstheme="minorHAnsi"/>
          <w:sz w:val="22"/>
          <w:szCs w:val="22"/>
        </w:rPr>
        <w:t xml:space="preserve">simple </w:t>
      </w:r>
      <w:r w:rsidRPr="002C5292">
        <w:rPr>
          <w:rFonts w:asciiTheme="minorHAnsi" w:hAnsiTheme="minorHAnsi" w:cstheme="minorHAnsi"/>
          <w:sz w:val="22"/>
          <w:szCs w:val="22"/>
        </w:rPr>
        <w:t xml:space="preserve">sensitivity analysis shows that Option 1 receives the highest score across a range of appropriate weights. </w:t>
      </w:r>
    </w:p>
    <w:p w14:paraId="1945E500" w14:textId="77777777" w:rsidR="00C13F92" w:rsidRPr="002C5292" w:rsidRDefault="00C13F92" w:rsidP="00C13F92">
      <w:pPr>
        <w:pStyle w:val="DPCbody"/>
      </w:pPr>
    </w:p>
    <w:p w14:paraId="35230802" w14:textId="27016C74" w:rsidR="006A52DB" w:rsidRPr="002C5292" w:rsidRDefault="00C72EB3" w:rsidP="001313D1">
      <w:pPr>
        <w:pStyle w:val="Heading2"/>
      </w:pPr>
      <w:bookmarkStart w:id="80" w:name="_Toc70082382"/>
      <w:r w:rsidRPr="002C5292">
        <w:t xml:space="preserve">Part 2 </w:t>
      </w:r>
      <w:r w:rsidR="006A52DB" w:rsidRPr="002C5292">
        <w:t>Reasons for rejecting other options</w:t>
      </w:r>
      <w:bookmarkEnd w:id="80"/>
    </w:p>
    <w:p w14:paraId="6E7293CE" w14:textId="01D82195" w:rsidR="006A52DB" w:rsidRPr="002C5292" w:rsidRDefault="006A52DB" w:rsidP="006A52DB">
      <w:pPr>
        <w:pStyle w:val="DPCbody"/>
      </w:pPr>
      <w:r w:rsidRPr="002C5292">
        <w:t>The other means of meeting the objectives that were considered were:</w:t>
      </w:r>
    </w:p>
    <w:p w14:paraId="3C9D327C" w14:textId="16E8EFEC" w:rsidR="006A52DB" w:rsidRPr="002C5292" w:rsidRDefault="006A52DB" w:rsidP="000C4A15">
      <w:pPr>
        <w:pStyle w:val="DPCbodytext"/>
        <w:numPr>
          <w:ilvl w:val="0"/>
          <w:numId w:val="105"/>
        </w:numPr>
      </w:pPr>
      <w:r w:rsidRPr="002C5292">
        <w:t>no regulation – the base case</w:t>
      </w:r>
      <w:r w:rsidR="005C458D" w:rsidRPr="002C5292">
        <w:t>;</w:t>
      </w:r>
    </w:p>
    <w:p w14:paraId="67EFC49D" w14:textId="3DBE2F1B" w:rsidR="008F21A4" w:rsidRPr="002C5292" w:rsidRDefault="008F21A4" w:rsidP="000C4A15">
      <w:pPr>
        <w:pStyle w:val="DPCbodytext"/>
        <w:numPr>
          <w:ilvl w:val="0"/>
          <w:numId w:val="105"/>
        </w:numPr>
      </w:pPr>
      <w:r w:rsidRPr="002C5292">
        <w:t>making the Proposed Regulations as in Option 1 but with the exclusion of two categories of legislative instruments that face alternative scrutiny processes</w:t>
      </w:r>
      <w:r w:rsidR="009E34C5" w:rsidRPr="002C5292">
        <w:t xml:space="preserve"> – Option 2.</w:t>
      </w:r>
    </w:p>
    <w:p w14:paraId="75A68135" w14:textId="49757CD2" w:rsidR="006A52DB" w:rsidRPr="002C5292" w:rsidRDefault="006A52DB" w:rsidP="00175AB7">
      <w:pPr>
        <w:pStyle w:val="DPCbody"/>
      </w:pPr>
      <w:r w:rsidRPr="002C5292">
        <w:t>These options were not selected as they do not sufficiently meet the desired objectives set</w:t>
      </w:r>
      <w:r w:rsidR="004A200C" w:rsidRPr="002C5292">
        <w:t xml:space="preserve"> </w:t>
      </w:r>
      <w:r w:rsidRPr="002C5292">
        <w:t xml:space="preserve">out in </w:t>
      </w:r>
      <w:r w:rsidR="008F21A4" w:rsidRPr="002C5292">
        <w:t>Chapter 2</w:t>
      </w:r>
      <w:r w:rsidRPr="002C5292">
        <w:t xml:space="preserve"> above.</w:t>
      </w:r>
    </w:p>
    <w:p w14:paraId="408102D3" w14:textId="2C27320B" w:rsidR="008F21A4" w:rsidRPr="002C5292" w:rsidRDefault="008F21A4" w:rsidP="00175AB7">
      <w:pPr>
        <w:pStyle w:val="DPCbody"/>
      </w:pPr>
      <w:r w:rsidRPr="002C5292">
        <w:t>The Base Case and Option 2 are not preferred for the following reasons.</w:t>
      </w:r>
    </w:p>
    <w:p w14:paraId="76AAD421" w14:textId="77777777" w:rsidR="008F21A4" w:rsidRPr="002C5292" w:rsidRDefault="008F21A4" w:rsidP="001313D1">
      <w:pPr>
        <w:pStyle w:val="Heading3"/>
        <w:rPr>
          <w:sz w:val="22"/>
          <w:szCs w:val="22"/>
        </w:rPr>
      </w:pPr>
      <w:bookmarkStart w:id="81" w:name="_Toc70082383"/>
      <w:r w:rsidRPr="002C5292">
        <w:rPr>
          <w:sz w:val="22"/>
          <w:szCs w:val="22"/>
        </w:rPr>
        <w:t>Base Case</w:t>
      </w:r>
      <w:bookmarkEnd w:id="81"/>
    </w:p>
    <w:p w14:paraId="79377C24" w14:textId="07F4F4D1" w:rsidR="00EB732D" w:rsidRPr="002C5292" w:rsidRDefault="009040D4" w:rsidP="00845784">
      <w:pPr>
        <w:pStyle w:val="DPCbody"/>
      </w:pPr>
      <w:r w:rsidRPr="002C5292">
        <w:t>T</w:t>
      </w:r>
      <w:r w:rsidR="008F21A4" w:rsidRPr="002C5292">
        <w:t xml:space="preserve">he Base Case would lead to the imposition of exemption certificate costs or RIS and associated consultation process costs on instrument-makers. </w:t>
      </w:r>
      <w:r w:rsidR="00866C61" w:rsidRPr="002C5292">
        <w:rPr>
          <w:rFonts w:eastAsia="Times New Roman"/>
        </w:rPr>
        <w:t>Therefore</w:t>
      </w:r>
      <w:r w:rsidR="00780265" w:rsidRPr="002C5292">
        <w:rPr>
          <w:rFonts w:eastAsia="Times New Roman"/>
        </w:rPr>
        <w:t>,</w:t>
      </w:r>
      <w:r w:rsidR="00866C61" w:rsidRPr="002C5292">
        <w:rPr>
          <w:rFonts w:eastAsia="Times New Roman"/>
        </w:rPr>
        <w:t xml:space="preserve"> </w:t>
      </w:r>
      <w:r w:rsidR="00780265" w:rsidRPr="002C5292">
        <w:rPr>
          <w:rFonts w:eastAsia="Times New Roman"/>
        </w:rPr>
        <w:t>for</w:t>
      </w:r>
      <w:r w:rsidR="00866C61" w:rsidRPr="002C5292">
        <w:rPr>
          <w:rFonts w:eastAsia="Times New Roman"/>
        </w:rPr>
        <w:t xml:space="preserve"> the Base Case</w:t>
      </w:r>
      <w:r w:rsidR="00780265" w:rsidRPr="002C5292">
        <w:rPr>
          <w:rFonts w:eastAsia="Times New Roman"/>
        </w:rPr>
        <w:t>,</w:t>
      </w:r>
      <w:r w:rsidR="00866C61" w:rsidRPr="002C5292">
        <w:rPr>
          <w:rFonts w:eastAsia="Times New Roman"/>
        </w:rPr>
        <w:t xml:space="preserve"> the problem is the additional resources and delays that these processes cause for departments, agencies, Parliament and SARC. </w:t>
      </w:r>
    </w:p>
    <w:p w14:paraId="1298FFEF" w14:textId="285FAA89" w:rsidR="008F21A4" w:rsidRPr="002C5292" w:rsidRDefault="008F21A4" w:rsidP="00845784">
      <w:pPr>
        <w:pStyle w:val="DPCbody"/>
      </w:pPr>
      <w:r w:rsidRPr="002C5292">
        <w:t xml:space="preserve">The estimated total cost of seeking exemption certificates </w:t>
      </w:r>
      <w:r w:rsidR="00F666CC" w:rsidRPr="002C5292">
        <w:t xml:space="preserve">in relation to the exempt legislative instruments </w:t>
      </w:r>
      <w:r w:rsidR="00945981" w:rsidRPr="002C5292">
        <w:t>over 10 year</w:t>
      </w:r>
      <w:r w:rsidR="0038475A" w:rsidRPr="002C5292">
        <w:t>s</w:t>
      </w:r>
      <w:r w:rsidR="00945981" w:rsidRPr="002C5292">
        <w:t xml:space="preserve"> </w:t>
      </w:r>
      <w:r w:rsidRPr="002C5292">
        <w:t xml:space="preserve">is </w:t>
      </w:r>
      <w:r w:rsidR="00945981" w:rsidRPr="002C5292">
        <w:t>difficult to estimate</w:t>
      </w:r>
      <w:r w:rsidRPr="002C5292">
        <w:t xml:space="preserve">. Fully developed cost estimates are not able to be made for RIS and associated consultation processes that would occur without the </w:t>
      </w:r>
      <w:r w:rsidR="009E34C5" w:rsidRPr="002C5292">
        <w:t>P</w:t>
      </w:r>
      <w:r w:rsidRPr="002C5292">
        <w:t xml:space="preserve">roposed Regulations; however, the </w:t>
      </w:r>
      <w:r w:rsidR="00584394" w:rsidRPr="002C5292">
        <w:t>average cost of preparing a RIS for a department of agency is estimated to be about $200,000 (including staff costs and consultant costs). Some of the staff costs would have been incurred if a RIS was not prepared</w:t>
      </w:r>
      <w:r w:rsidR="004066C6" w:rsidRPr="002C5292">
        <w:t>,</w:t>
      </w:r>
      <w:r w:rsidR="00584394" w:rsidRPr="002C5292">
        <w:t xml:space="preserve"> as </w:t>
      </w:r>
      <w:r w:rsidR="004066C6" w:rsidRPr="002C5292">
        <w:t xml:space="preserve">some of the </w:t>
      </w:r>
      <w:r w:rsidR="00584394" w:rsidRPr="002C5292">
        <w:t xml:space="preserve">analysis in a RIS draws on analysis that would be undertaken as part of the normal policy process. </w:t>
      </w:r>
      <w:r w:rsidR="00845784" w:rsidRPr="002C5292">
        <w:t xml:space="preserve">The additional work required is estimated by BRV to be between 25 and 75 per cent of the cost of RISs, so the average additional work is in the range of $50,000 to $150,000 </w:t>
      </w:r>
      <w:r w:rsidR="00DA2939" w:rsidRPr="002C5292">
        <w:t>for the average</w:t>
      </w:r>
      <w:r w:rsidR="00845784" w:rsidRPr="002C5292">
        <w:t xml:space="preserve"> RIS. </w:t>
      </w:r>
      <w:r w:rsidR="00584394" w:rsidRPr="002C5292">
        <w:t>It is estimated that the costs of BRV reviewing a RIS is between $10,000 and $20,000</w:t>
      </w:r>
      <w:r w:rsidRPr="002C5292">
        <w:t>.</w:t>
      </w:r>
    </w:p>
    <w:p w14:paraId="129F36BD" w14:textId="6C2C5744" w:rsidR="008F21A4" w:rsidRPr="002C5292" w:rsidRDefault="008F21A4" w:rsidP="00D71C00">
      <w:pPr>
        <w:pStyle w:val="DPCbody"/>
      </w:pPr>
      <w:r w:rsidRPr="002C5292">
        <w:t xml:space="preserve">The Base Case would also </w:t>
      </w:r>
      <w:r w:rsidR="003F47E4" w:rsidRPr="002C5292">
        <w:t xml:space="preserve">result in </w:t>
      </w:r>
      <w:r w:rsidRPr="002C5292">
        <w:t xml:space="preserve">SARC </w:t>
      </w:r>
      <w:r w:rsidR="003F47E4" w:rsidRPr="002C5292">
        <w:t xml:space="preserve">reviewing </w:t>
      </w:r>
      <w:r w:rsidR="00845784" w:rsidRPr="002C5292">
        <w:t xml:space="preserve">up to </w:t>
      </w:r>
      <w:r w:rsidR="00287790" w:rsidRPr="002C5292">
        <w:t xml:space="preserve">300-500 additional </w:t>
      </w:r>
      <w:r w:rsidR="003F47E4" w:rsidRPr="002C5292">
        <w:t xml:space="preserve">instruments </w:t>
      </w:r>
      <w:r w:rsidRPr="002C5292">
        <w:t>each yea</w:t>
      </w:r>
      <w:r w:rsidR="003F47E4" w:rsidRPr="002C5292">
        <w:t>r, a</w:t>
      </w:r>
      <w:r w:rsidR="00287790" w:rsidRPr="002C5292">
        <w:t>n eight- to thirteen-fold</w:t>
      </w:r>
      <w:r w:rsidR="003F47E4" w:rsidRPr="002C5292">
        <w:t xml:space="preserve"> increase on their legislative instrument workload</w:t>
      </w:r>
      <w:r w:rsidRPr="002C5292">
        <w:t xml:space="preserve">. While this would be to ensure greater Parliamentary scrutiny of all legislative instruments being made by delegates authorised under the relevant Acts, it could also be detrimental. SARC’s ability to focus on those legislative instruments that have significant impacts may be compromised by the </w:t>
      </w:r>
      <w:r w:rsidR="004A4708" w:rsidRPr="002C5292">
        <w:t xml:space="preserve">additional </w:t>
      </w:r>
      <w:r w:rsidRPr="002C5292">
        <w:t>volume of legislative instruments that would be submitted</w:t>
      </w:r>
      <w:r w:rsidR="004A4708" w:rsidRPr="002C5292">
        <w:t xml:space="preserve"> (</w:t>
      </w:r>
      <w:r w:rsidR="00B778E3" w:rsidRPr="002C5292">
        <w:t>given</w:t>
      </w:r>
      <w:r w:rsidR="004A4708" w:rsidRPr="002C5292">
        <w:t xml:space="preserve"> its role also in relation to statutory rules)</w:t>
      </w:r>
      <w:r w:rsidRPr="002C5292">
        <w:t>.</w:t>
      </w:r>
    </w:p>
    <w:p w14:paraId="776CCC0D" w14:textId="03B0B3BD" w:rsidR="000C4A15" w:rsidRPr="002C5292" w:rsidRDefault="000C4A15" w:rsidP="000C4A15">
      <w:pPr>
        <w:pStyle w:val="Heading3"/>
        <w:rPr>
          <w:sz w:val="22"/>
          <w:szCs w:val="22"/>
        </w:rPr>
      </w:pPr>
      <w:bookmarkStart w:id="82" w:name="_Toc70082384"/>
      <w:r w:rsidRPr="002C5292">
        <w:rPr>
          <w:sz w:val="22"/>
          <w:szCs w:val="22"/>
        </w:rPr>
        <w:t>Option 1</w:t>
      </w:r>
      <w:bookmarkEnd w:id="82"/>
    </w:p>
    <w:p w14:paraId="3FE9FB92" w14:textId="496FD86B" w:rsidR="00FB6576" w:rsidRPr="002C5292" w:rsidRDefault="00FB6576" w:rsidP="000C4A15">
      <w:pPr>
        <w:pStyle w:val="DPCbodytext"/>
      </w:pPr>
      <w:r w:rsidRPr="002C5292">
        <w:t xml:space="preserve">Both </w:t>
      </w:r>
      <w:r w:rsidR="00F26844" w:rsidRPr="002C5292">
        <w:t>o</w:t>
      </w:r>
      <w:r w:rsidRPr="002C5292">
        <w:t xml:space="preserve">ptions are similar to the Current Regulations (the status quo). The benefits for each </w:t>
      </w:r>
      <w:r w:rsidR="00F26844" w:rsidRPr="002C5292">
        <w:t>o</w:t>
      </w:r>
      <w:r w:rsidRPr="002C5292">
        <w:t xml:space="preserve">ption is to decrease for departments, agencies, Parliament and SARC the administrative burden (ministerial exemption certificate or undertake a RIS) and delays to put in place measures. However the cost that is incurred with both </w:t>
      </w:r>
      <w:r w:rsidR="00F26844" w:rsidRPr="002C5292">
        <w:t>o</w:t>
      </w:r>
      <w:r w:rsidRPr="002C5292">
        <w:t>ptions is the loss of scrutiny, transparency and consultation from exempting legislative instruments from certain requirements in the SLA.</w:t>
      </w:r>
    </w:p>
    <w:p w14:paraId="6F00460B" w14:textId="1868DFA6" w:rsidR="009D7C01" w:rsidRPr="002C5292" w:rsidRDefault="009040D4" w:rsidP="009040D4">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 Proposed Regulations </w:t>
      </w:r>
      <w:r w:rsidR="00FB52DE" w:rsidRPr="002C5292">
        <w:rPr>
          <w:rFonts w:asciiTheme="minorHAnsi" w:hAnsiTheme="minorHAnsi" w:cstheme="minorHAnsi"/>
          <w:sz w:val="22"/>
          <w:szCs w:val="22"/>
        </w:rPr>
        <w:t xml:space="preserve">(Option 1) </w:t>
      </w:r>
      <w:r w:rsidRPr="002C5292">
        <w:rPr>
          <w:rFonts w:asciiTheme="minorHAnsi" w:hAnsiTheme="minorHAnsi" w:cstheme="minorHAnsi"/>
          <w:sz w:val="22"/>
          <w:szCs w:val="22"/>
        </w:rPr>
        <w:t xml:space="preserve">will provide clarity and certainty to those responsible for the authorising Acts’ administration (Ministers and relevant departments or agencies) as to which </w:t>
      </w:r>
      <w:r w:rsidR="00ED3A81" w:rsidRPr="002C5292">
        <w:rPr>
          <w:rFonts w:asciiTheme="minorHAnsi" w:hAnsiTheme="minorHAnsi" w:cstheme="minorHAnsi"/>
          <w:sz w:val="22"/>
          <w:szCs w:val="22"/>
        </w:rPr>
        <w:t xml:space="preserve">requirements of the SLA apply to the </w:t>
      </w:r>
      <w:r w:rsidRPr="002C5292">
        <w:rPr>
          <w:rFonts w:asciiTheme="minorHAnsi" w:hAnsiTheme="minorHAnsi" w:cstheme="minorHAnsi"/>
          <w:sz w:val="22"/>
          <w:szCs w:val="22"/>
        </w:rPr>
        <w:t>legislative instruments.</w:t>
      </w:r>
      <w:r w:rsidR="00FB52DE"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There will also be some opportunity cost savings to instrument-makers, as the exemption process outlined in the Base Case will not need to be followed each time any of the exempt legislative instruments </w:t>
      </w:r>
      <w:r w:rsidR="00F71E0D" w:rsidRPr="002C5292">
        <w:rPr>
          <w:rFonts w:asciiTheme="minorHAnsi" w:hAnsiTheme="minorHAnsi" w:cstheme="minorHAnsi"/>
          <w:sz w:val="22"/>
          <w:szCs w:val="22"/>
        </w:rPr>
        <w:t>are being made</w:t>
      </w:r>
      <w:r w:rsidRPr="002C5292">
        <w:rPr>
          <w:rFonts w:asciiTheme="minorHAnsi" w:hAnsiTheme="minorHAnsi" w:cstheme="minorHAnsi"/>
          <w:sz w:val="22"/>
          <w:szCs w:val="22"/>
        </w:rPr>
        <w:t xml:space="preserve">. The estimated </w:t>
      </w:r>
      <w:r w:rsidR="0028481B" w:rsidRPr="002C5292">
        <w:rPr>
          <w:rFonts w:asciiTheme="minorHAnsi" w:hAnsiTheme="minorHAnsi" w:cstheme="minorHAnsi"/>
          <w:sz w:val="22"/>
          <w:szCs w:val="22"/>
        </w:rPr>
        <w:t xml:space="preserve">avoided costs </w:t>
      </w:r>
      <w:r w:rsidRPr="002C5292">
        <w:rPr>
          <w:rFonts w:asciiTheme="minorHAnsi" w:hAnsiTheme="minorHAnsi" w:cstheme="minorHAnsi"/>
          <w:sz w:val="22"/>
          <w:szCs w:val="22"/>
        </w:rPr>
        <w:t xml:space="preserve">under this option are expected to be </w:t>
      </w:r>
      <w:r w:rsidR="0028481B" w:rsidRPr="002C5292">
        <w:rPr>
          <w:rFonts w:asciiTheme="minorHAnsi" w:hAnsiTheme="minorHAnsi" w:cstheme="minorHAnsi"/>
          <w:sz w:val="22"/>
          <w:szCs w:val="22"/>
        </w:rPr>
        <w:t>around $</w:t>
      </w:r>
      <w:r w:rsidR="000C4A15" w:rsidRPr="002C5292">
        <w:rPr>
          <w:rFonts w:asciiTheme="minorHAnsi" w:hAnsiTheme="minorHAnsi" w:cstheme="minorHAnsi"/>
          <w:sz w:val="22"/>
          <w:szCs w:val="22"/>
        </w:rPr>
        <w:t>7</w:t>
      </w:r>
      <w:r w:rsidR="00DF46F3" w:rsidRPr="002C5292">
        <w:rPr>
          <w:rFonts w:asciiTheme="minorHAnsi" w:hAnsiTheme="minorHAnsi" w:cstheme="minorHAnsi"/>
          <w:sz w:val="22"/>
          <w:szCs w:val="22"/>
        </w:rPr>
        <w:t>97</w:t>
      </w:r>
      <w:r w:rsidR="0028481B" w:rsidRPr="002C5292">
        <w:rPr>
          <w:rFonts w:asciiTheme="minorHAnsi" w:hAnsiTheme="minorHAnsi" w:cstheme="minorHAnsi"/>
          <w:sz w:val="22"/>
          <w:szCs w:val="22"/>
        </w:rPr>
        <w:t>,</w:t>
      </w:r>
      <w:r w:rsidR="000C4A15" w:rsidRPr="002C5292">
        <w:rPr>
          <w:rFonts w:asciiTheme="minorHAnsi" w:hAnsiTheme="minorHAnsi" w:cstheme="minorHAnsi"/>
          <w:sz w:val="22"/>
          <w:szCs w:val="22"/>
        </w:rPr>
        <w:t>000</w:t>
      </w:r>
      <w:r w:rsidR="0028481B" w:rsidRPr="002C5292">
        <w:rPr>
          <w:rFonts w:asciiTheme="minorHAnsi" w:hAnsiTheme="minorHAnsi" w:cstheme="minorHAnsi"/>
          <w:sz w:val="22"/>
          <w:szCs w:val="22"/>
        </w:rPr>
        <w:t xml:space="preserve"> annually</w:t>
      </w:r>
      <w:r w:rsidR="00ED3A81" w:rsidRPr="002C5292">
        <w:rPr>
          <w:rFonts w:asciiTheme="minorHAnsi" w:hAnsiTheme="minorHAnsi" w:cstheme="minorHAnsi"/>
          <w:sz w:val="22"/>
          <w:szCs w:val="22"/>
        </w:rPr>
        <w:t xml:space="preserve"> (see Table 7</w:t>
      </w:r>
      <w:r w:rsidR="000C4A15" w:rsidRPr="002C5292">
        <w:rPr>
          <w:rFonts w:asciiTheme="minorHAnsi" w:hAnsiTheme="minorHAnsi" w:cstheme="minorHAnsi"/>
          <w:sz w:val="22"/>
          <w:szCs w:val="22"/>
        </w:rPr>
        <w:t>A</w:t>
      </w:r>
      <w:r w:rsidR="00ED3A81" w:rsidRPr="002C5292">
        <w:rPr>
          <w:rFonts w:asciiTheme="minorHAnsi" w:hAnsiTheme="minorHAnsi" w:cstheme="minorHAnsi"/>
          <w:sz w:val="22"/>
          <w:szCs w:val="22"/>
        </w:rPr>
        <w:t>)</w:t>
      </w:r>
      <w:r w:rsidRPr="002C5292">
        <w:rPr>
          <w:rFonts w:asciiTheme="minorHAnsi" w:hAnsiTheme="minorHAnsi" w:cstheme="minorHAnsi"/>
          <w:sz w:val="22"/>
          <w:szCs w:val="22"/>
        </w:rPr>
        <w:t xml:space="preserve">. </w:t>
      </w:r>
    </w:p>
    <w:p w14:paraId="45494B51" w14:textId="1F5F84DD" w:rsidR="009040D4" w:rsidRPr="002C5292" w:rsidRDefault="009040D4" w:rsidP="009040D4">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 Proposed Regulations will also allow for legislative instruments to be introduced without unnecessary delays. As discussed above, the reasons </w:t>
      </w:r>
      <w:r w:rsidR="00EC406A" w:rsidRPr="002C5292">
        <w:rPr>
          <w:rFonts w:asciiTheme="minorHAnsi" w:hAnsiTheme="minorHAnsi" w:cstheme="minorHAnsi"/>
          <w:sz w:val="22"/>
          <w:szCs w:val="22"/>
        </w:rPr>
        <w:t xml:space="preserve">to support inclusion of provisions in </w:t>
      </w:r>
      <w:r w:rsidR="008366C1" w:rsidRPr="002C5292">
        <w:rPr>
          <w:rFonts w:asciiTheme="minorHAnsi" w:hAnsiTheme="minorHAnsi" w:cstheme="minorHAnsi"/>
          <w:sz w:val="22"/>
          <w:szCs w:val="22"/>
        </w:rPr>
        <w:t>Schedule </w:t>
      </w:r>
      <w:r w:rsidR="00EC406A" w:rsidRPr="002C5292">
        <w:rPr>
          <w:rFonts w:asciiTheme="minorHAnsi" w:hAnsiTheme="minorHAnsi" w:cstheme="minorHAnsi"/>
          <w:sz w:val="22"/>
          <w:szCs w:val="22"/>
        </w:rPr>
        <w:t>3</w:t>
      </w:r>
      <w:r w:rsidRPr="002C5292">
        <w:rPr>
          <w:rFonts w:asciiTheme="minorHAnsi" w:hAnsiTheme="minorHAnsi" w:cstheme="minorHAnsi"/>
          <w:sz w:val="22"/>
          <w:szCs w:val="22"/>
        </w:rPr>
        <w:t xml:space="preserve"> are of a nature that means requiring a RIS and consultation would be wasteful of limited resources, or would in some way impede the effective application of a legislative instrument (for example, some regulations are required to be introduced quickly, as a response to an urgent situation). Making the Proposed Regulations will ensure that limited government resources are instead targeted towards those initiatives causing, or that may cause, a significant level of burden on some or all of the population and that, therefore, need to be properly scrutinised before their application.</w:t>
      </w:r>
    </w:p>
    <w:p w14:paraId="35A9B964" w14:textId="53D6DC3C" w:rsidR="00866C61" w:rsidRPr="002C5292" w:rsidRDefault="00EC406A" w:rsidP="00866C61">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Option 1 is the least costly in terms of application of the SLA. It is intended to reduce the cost to agencies in preparing advice in order to seek an exemption each time a legislative instrument that should be exempted is made.</w:t>
      </w:r>
      <w:r w:rsidR="00E41D10"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There are some small costs in preparing the Proposed Regulations. </w:t>
      </w:r>
      <w:r w:rsidR="00831A38" w:rsidRPr="002C5292">
        <w:rPr>
          <w:rFonts w:asciiTheme="minorHAnsi" w:hAnsiTheme="minorHAnsi" w:cstheme="minorHAnsi"/>
          <w:sz w:val="22"/>
          <w:szCs w:val="22"/>
        </w:rPr>
        <w:t>T</w:t>
      </w:r>
      <w:r w:rsidRPr="002C5292">
        <w:rPr>
          <w:rFonts w:asciiTheme="minorHAnsi" w:hAnsiTheme="minorHAnsi" w:cstheme="minorHAnsi"/>
          <w:sz w:val="22"/>
          <w:szCs w:val="22"/>
        </w:rPr>
        <w:t xml:space="preserve">hese </w:t>
      </w:r>
      <w:r w:rsidR="00831A38" w:rsidRPr="002C5292">
        <w:rPr>
          <w:rFonts w:asciiTheme="minorHAnsi" w:hAnsiTheme="minorHAnsi" w:cstheme="minorHAnsi"/>
          <w:sz w:val="22"/>
          <w:szCs w:val="22"/>
        </w:rPr>
        <w:t xml:space="preserve">costs </w:t>
      </w:r>
      <w:r w:rsidR="000C4A15" w:rsidRPr="002C5292">
        <w:rPr>
          <w:rFonts w:asciiTheme="minorHAnsi" w:hAnsiTheme="minorHAnsi" w:cstheme="minorHAnsi"/>
          <w:sz w:val="22"/>
          <w:szCs w:val="22"/>
        </w:rPr>
        <w:t>are outweighed by the avoided costs and delays</w:t>
      </w:r>
      <w:r w:rsidR="00831A38" w:rsidRPr="002C5292">
        <w:rPr>
          <w:rFonts w:asciiTheme="minorHAnsi" w:hAnsiTheme="minorHAnsi" w:cstheme="minorHAnsi"/>
          <w:sz w:val="22"/>
          <w:szCs w:val="22"/>
        </w:rPr>
        <w:t>. T</w:t>
      </w:r>
      <w:r w:rsidRPr="002C5292">
        <w:rPr>
          <w:rFonts w:asciiTheme="minorHAnsi" w:hAnsiTheme="minorHAnsi" w:cstheme="minorHAnsi"/>
          <w:sz w:val="22"/>
          <w:szCs w:val="22"/>
        </w:rPr>
        <w:t>he total cost to prepare the Proposed Regulations upfront will be much less than th</w:t>
      </w:r>
      <w:r w:rsidR="00831A38" w:rsidRPr="002C5292">
        <w:rPr>
          <w:rFonts w:asciiTheme="minorHAnsi" w:hAnsiTheme="minorHAnsi" w:cstheme="minorHAnsi"/>
          <w:sz w:val="22"/>
          <w:szCs w:val="22"/>
        </w:rPr>
        <w:t>e costs</w:t>
      </w:r>
      <w:r w:rsidRPr="002C5292">
        <w:rPr>
          <w:rFonts w:asciiTheme="minorHAnsi" w:hAnsiTheme="minorHAnsi" w:cstheme="minorHAnsi"/>
          <w:sz w:val="22"/>
          <w:szCs w:val="22"/>
        </w:rPr>
        <w:t xml:space="preserve"> that would be faced where assessment of legislative instruments are made on a case-by-case basis and more RISs would be prepared and consulted on (as described in the Base Case above).</w:t>
      </w:r>
    </w:p>
    <w:p w14:paraId="745089DE" w14:textId="7E7ADF75" w:rsidR="008F21A4" w:rsidRPr="002C5292" w:rsidRDefault="008F21A4" w:rsidP="00F82ACC">
      <w:pPr>
        <w:pStyle w:val="Heading3"/>
        <w:rPr>
          <w:sz w:val="22"/>
          <w:szCs w:val="22"/>
        </w:rPr>
      </w:pPr>
      <w:bookmarkStart w:id="83" w:name="_Toc70082385"/>
      <w:r w:rsidRPr="002C5292">
        <w:rPr>
          <w:sz w:val="22"/>
          <w:szCs w:val="22"/>
        </w:rPr>
        <w:t>Option</w:t>
      </w:r>
      <w:r w:rsidR="00175AB7" w:rsidRPr="002C5292">
        <w:rPr>
          <w:sz w:val="22"/>
          <w:szCs w:val="22"/>
        </w:rPr>
        <w:t xml:space="preserve"> 2</w:t>
      </w:r>
      <w:bookmarkEnd w:id="83"/>
    </w:p>
    <w:p w14:paraId="328C7152" w14:textId="6BD898CB" w:rsidR="009E34C5" w:rsidRPr="002C5292" w:rsidRDefault="008F21A4" w:rsidP="00DC636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Under Option 2</w:t>
      </w:r>
      <w:r w:rsidR="006A0860" w:rsidRPr="002C5292">
        <w:rPr>
          <w:rFonts w:asciiTheme="minorHAnsi" w:hAnsiTheme="minorHAnsi" w:cstheme="minorHAnsi"/>
          <w:sz w:val="22"/>
          <w:szCs w:val="22"/>
        </w:rPr>
        <w:t>,</w:t>
      </w:r>
      <w:r w:rsidRPr="002C5292">
        <w:rPr>
          <w:rFonts w:asciiTheme="minorHAnsi" w:hAnsiTheme="minorHAnsi" w:cstheme="minorHAnsi"/>
          <w:sz w:val="22"/>
          <w:szCs w:val="22"/>
        </w:rPr>
        <w:t xml:space="preserve"> </w:t>
      </w:r>
      <w:r w:rsidR="009E34C5" w:rsidRPr="002C5292">
        <w:rPr>
          <w:rFonts w:asciiTheme="minorHAnsi" w:hAnsiTheme="minorHAnsi" w:cstheme="minorHAnsi"/>
          <w:sz w:val="22"/>
          <w:szCs w:val="22"/>
        </w:rPr>
        <w:t xml:space="preserve">legislative </w:t>
      </w:r>
      <w:r w:rsidRPr="002C5292">
        <w:rPr>
          <w:rFonts w:asciiTheme="minorHAnsi" w:hAnsiTheme="minorHAnsi" w:cstheme="minorHAnsi"/>
          <w:sz w:val="22"/>
          <w:szCs w:val="22"/>
        </w:rPr>
        <w:t>instruments that face a RIS-equivalent process or are part of a national uniform legislation scheme would not be exempt</w:t>
      </w:r>
      <w:r w:rsidR="002C29C3" w:rsidRPr="002C5292">
        <w:rPr>
          <w:rFonts w:asciiTheme="minorHAnsi" w:hAnsiTheme="minorHAnsi" w:cstheme="minorHAnsi"/>
          <w:sz w:val="22"/>
          <w:szCs w:val="22"/>
        </w:rPr>
        <w:t xml:space="preserve"> legislative instruments and included in Schedule 3 of the Proposed Regulations</w:t>
      </w:r>
      <w:r w:rsidRPr="002C5292">
        <w:rPr>
          <w:rFonts w:asciiTheme="minorHAnsi" w:hAnsiTheme="minorHAnsi" w:cstheme="minorHAnsi"/>
          <w:sz w:val="22"/>
          <w:szCs w:val="22"/>
        </w:rPr>
        <w:t xml:space="preserve">. </w:t>
      </w:r>
      <w:r w:rsidR="002C29C3" w:rsidRPr="002C5292">
        <w:rPr>
          <w:rFonts w:asciiTheme="minorHAnsi" w:hAnsiTheme="minorHAnsi" w:cstheme="minorHAnsi"/>
          <w:sz w:val="22"/>
          <w:szCs w:val="22"/>
        </w:rPr>
        <w:t>As</w:t>
      </w:r>
      <w:r w:rsidRPr="002C5292">
        <w:rPr>
          <w:rFonts w:asciiTheme="minorHAnsi" w:hAnsiTheme="minorHAnsi" w:cstheme="minorHAnsi"/>
          <w:sz w:val="22"/>
          <w:szCs w:val="22"/>
        </w:rPr>
        <w:t xml:space="preserve"> these </w:t>
      </w:r>
      <w:r w:rsidR="009E34C5" w:rsidRPr="002C5292">
        <w:rPr>
          <w:rFonts w:asciiTheme="minorHAnsi" w:hAnsiTheme="minorHAnsi" w:cstheme="minorHAnsi"/>
          <w:sz w:val="22"/>
          <w:szCs w:val="22"/>
        </w:rPr>
        <w:t xml:space="preserve">legislative </w:t>
      </w:r>
      <w:r w:rsidRPr="002C5292">
        <w:rPr>
          <w:rFonts w:asciiTheme="minorHAnsi" w:hAnsiTheme="minorHAnsi" w:cstheme="minorHAnsi"/>
          <w:sz w:val="22"/>
          <w:szCs w:val="22"/>
        </w:rPr>
        <w:t xml:space="preserve">instruments would always or almost always be granted a case-by-case exemption from the responsible Minister under section 12F, </w:t>
      </w:r>
      <w:r w:rsidR="009E34C5" w:rsidRPr="002C5292">
        <w:rPr>
          <w:rFonts w:asciiTheme="minorHAnsi" w:hAnsiTheme="minorHAnsi" w:cstheme="minorHAnsi"/>
          <w:sz w:val="22"/>
          <w:szCs w:val="22"/>
        </w:rPr>
        <w:t>DPC</w:t>
      </w:r>
      <w:r w:rsidRPr="002C5292">
        <w:rPr>
          <w:rFonts w:asciiTheme="minorHAnsi" w:hAnsiTheme="minorHAnsi" w:cstheme="minorHAnsi"/>
          <w:sz w:val="22"/>
          <w:szCs w:val="22"/>
        </w:rPr>
        <w:t xml:space="preserve"> considers that not </w:t>
      </w:r>
      <w:r w:rsidR="009E34C5" w:rsidRPr="002C5292">
        <w:rPr>
          <w:rFonts w:asciiTheme="minorHAnsi" w:hAnsiTheme="minorHAnsi" w:cstheme="minorHAnsi"/>
          <w:sz w:val="22"/>
          <w:szCs w:val="22"/>
        </w:rPr>
        <w:t xml:space="preserve">including them as exempt legislative instruments </w:t>
      </w:r>
      <w:r w:rsidRPr="002C5292">
        <w:rPr>
          <w:rFonts w:asciiTheme="minorHAnsi" w:hAnsiTheme="minorHAnsi" w:cstheme="minorHAnsi"/>
          <w:sz w:val="22"/>
          <w:szCs w:val="22"/>
        </w:rPr>
        <w:t xml:space="preserve">under the </w:t>
      </w:r>
      <w:r w:rsidR="009E34C5" w:rsidRPr="002C5292">
        <w:rPr>
          <w:rFonts w:asciiTheme="minorHAnsi" w:hAnsiTheme="minorHAnsi" w:cstheme="minorHAnsi"/>
          <w:sz w:val="22"/>
          <w:szCs w:val="22"/>
        </w:rPr>
        <w:t>P</w:t>
      </w:r>
      <w:r w:rsidRPr="002C5292">
        <w:rPr>
          <w:rFonts w:asciiTheme="minorHAnsi" w:hAnsiTheme="minorHAnsi" w:cstheme="minorHAnsi"/>
          <w:sz w:val="22"/>
          <w:szCs w:val="22"/>
        </w:rPr>
        <w:t>roposed Regulations will bring little additional benefit.</w:t>
      </w:r>
      <w:r w:rsidR="009E34C5" w:rsidRPr="002C5292">
        <w:rPr>
          <w:rFonts w:asciiTheme="minorHAnsi" w:hAnsiTheme="minorHAnsi" w:cstheme="minorHAnsi"/>
          <w:sz w:val="22"/>
          <w:szCs w:val="22"/>
        </w:rPr>
        <w:t xml:space="preserve"> </w:t>
      </w:r>
      <w:r w:rsidRPr="002C5292">
        <w:rPr>
          <w:rFonts w:asciiTheme="minorHAnsi" w:hAnsiTheme="minorHAnsi" w:cstheme="minorHAnsi"/>
          <w:sz w:val="22"/>
          <w:szCs w:val="22"/>
        </w:rPr>
        <w:t xml:space="preserve">These </w:t>
      </w:r>
      <w:r w:rsidR="009E34C5" w:rsidRPr="002C5292">
        <w:rPr>
          <w:rFonts w:asciiTheme="minorHAnsi" w:hAnsiTheme="minorHAnsi" w:cstheme="minorHAnsi"/>
          <w:sz w:val="22"/>
          <w:szCs w:val="22"/>
        </w:rPr>
        <w:t xml:space="preserve">legislative </w:t>
      </w:r>
      <w:r w:rsidRPr="002C5292">
        <w:rPr>
          <w:rFonts w:asciiTheme="minorHAnsi" w:hAnsiTheme="minorHAnsi" w:cstheme="minorHAnsi"/>
          <w:sz w:val="22"/>
          <w:szCs w:val="22"/>
        </w:rPr>
        <w:t xml:space="preserve">instruments are more likely to impose a significant burden; however, </w:t>
      </w:r>
      <w:r w:rsidR="00584394" w:rsidRPr="002C5292">
        <w:rPr>
          <w:rFonts w:asciiTheme="minorHAnsi" w:hAnsiTheme="minorHAnsi" w:cstheme="minorHAnsi"/>
          <w:sz w:val="22"/>
          <w:szCs w:val="22"/>
        </w:rPr>
        <w:t>they have alternative scrutiny processes that are likely to sufficiently analyse the impacts on Victorians.</w:t>
      </w:r>
      <w:r w:rsidRPr="002C5292">
        <w:rPr>
          <w:rFonts w:asciiTheme="minorHAnsi" w:hAnsiTheme="minorHAnsi" w:cstheme="minorHAnsi"/>
          <w:sz w:val="22"/>
          <w:szCs w:val="22"/>
        </w:rPr>
        <w:t xml:space="preserve"> </w:t>
      </w:r>
    </w:p>
    <w:p w14:paraId="6F6A99C1" w14:textId="25B7165C" w:rsidR="00ED3A81" w:rsidRPr="002C5292" w:rsidRDefault="00ED3A81" w:rsidP="000C4A15">
      <w:pPr>
        <w:pStyle w:val="DPCbodytext"/>
      </w:pPr>
      <w:r w:rsidRPr="002C5292">
        <w:t>The estimated avoided costs under this option are expected to be around $</w:t>
      </w:r>
      <w:r w:rsidR="00235A91" w:rsidRPr="002C5292">
        <w:t>7</w:t>
      </w:r>
      <w:r w:rsidR="00DF46F3" w:rsidRPr="002C5292">
        <w:t>91</w:t>
      </w:r>
      <w:r w:rsidRPr="002C5292">
        <w:t>,</w:t>
      </w:r>
      <w:r w:rsidR="00235A91" w:rsidRPr="002C5292">
        <w:t>000</w:t>
      </w:r>
      <w:r w:rsidRPr="002C5292">
        <w:t xml:space="preserve"> annually (see Table 7</w:t>
      </w:r>
      <w:r w:rsidR="00235A91" w:rsidRPr="002C5292">
        <w:t>A</w:t>
      </w:r>
      <w:r w:rsidRPr="002C5292">
        <w:t>).</w:t>
      </w:r>
    </w:p>
    <w:p w14:paraId="57A2EB75" w14:textId="10F47507" w:rsidR="008F21A4" w:rsidRPr="002C5292" w:rsidRDefault="008F21A4" w:rsidP="008366C1">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In the case of RIS equivalency, three criteria </w:t>
      </w:r>
      <w:r w:rsidR="002C29C3" w:rsidRPr="002C5292">
        <w:rPr>
          <w:rFonts w:asciiTheme="minorHAnsi" w:hAnsiTheme="minorHAnsi" w:cstheme="minorHAnsi"/>
          <w:sz w:val="22"/>
          <w:szCs w:val="22"/>
        </w:rPr>
        <w:t>were identified and</w:t>
      </w:r>
      <w:r w:rsidRPr="002C5292">
        <w:rPr>
          <w:rFonts w:asciiTheme="minorHAnsi" w:hAnsiTheme="minorHAnsi" w:cstheme="minorHAnsi"/>
          <w:sz w:val="22"/>
          <w:szCs w:val="22"/>
        </w:rPr>
        <w:t xml:space="preserve"> applied</w:t>
      </w:r>
      <w:r w:rsidR="002C29C3" w:rsidRPr="002C5292">
        <w:rPr>
          <w:rFonts w:asciiTheme="minorHAnsi" w:hAnsiTheme="minorHAnsi" w:cstheme="minorHAnsi"/>
          <w:sz w:val="22"/>
          <w:szCs w:val="22"/>
        </w:rPr>
        <w:t xml:space="preserve"> - </w:t>
      </w:r>
      <w:r w:rsidR="006A0860" w:rsidRPr="002C5292">
        <w:rPr>
          <w:rFonts w:asciiTheme="minorHAnsi" w:hAnsiTheme="minorHAnsi" w:cstheme="minorHAnsi"/>
          <w:sz w:val="22"/>
          <w:szCs w:val="22"/>
        </w:rPr>
        <w:t>t</w:t>
      </w:r>
      <w:r w:rsidRPr="002C5292">
        <w:rPr>
          <w:rFonts w:asciiTheme="minorHAnsi" w:hAnsiTheme="minorHAnsi" w:cstheme="minorHAnsi"/>
          <w:sz w:val="22"/>
          <w:szCs w:val="22"/>
        </w:rPr>
        <w:t>he alternative process must have required the preparation of a policy assessment, independent analysis on that policy assessment and formal public consultation for at least 28 days. For national uniform legislation, an assessment of the costs and benefits</w:t>
      </w:r>
      <w:r w:rsidR="007924EA" w:rsidRPr="002C5292">
        <w:rPr>
          <w:rFonts w:asciiTheme="minorHAnsi" w:hAnsiTheme="minorHAnsi" w:cstheme="minorHAnsi"/>
          <w:sz w:val="22"/>
          <w:szCs w:val="22"/>
        </w:rPr>
        <w:t xml:space="preserve"> has been</w:t>
      </w:r>
      <w:r w:rsidRPr="002C5292">
        <w:rPr>
          <w:rFonts w:asciiTheme="minorHAnsi" w:hAnsiTheme="minorHAnsi" w:cstheme="minorHAnsi"/>
          <w:sz w:val="22"/>
          <w:szCs w:val="22"/>
        </w:rPr>
        <w:t xml:space="preserve"> made.</w:t>
      </w:r>
    </w:p>
    <w:p w14:paraId="202FC8C3" w14:textId="3B80B47D" w:rsidR="008F21A4" w:rsidRPr="002C5292" w:rsidRDefault="008F21A4" w:rsidP="008366C1">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There is a risk it could be more confusing for instrument-makers to have some legislative instruments not exempt</w:t>
      </w:r>
      <w:r w:rsidR="009E34C5" w:rsidRPr="002C5292">
        <w:rPr>
          <w:rFonts w:asciiTheme="minorHAnsi" w:hAnsiTheme="minorHAnsi" w:cstheme="minorHAnsi"/>
          <w:sz w:val="22"/>
          <w:szCs w:val="22"/>
        </w:rPr>
        <w:t xml:space="preserve"> under the Proposed</w:t>
      </w:r>
      <w:r w:rsidRPr="002C5292">
        <w:rPr>
          <w:rFonts w:asciiTheme="minorHAnsi" w:hAnsiTheme="minorHAnsi" w:cstheme="minorHAnsi"/>
          <w:sz w:val="22"/>
          <w:szCs w:val="22"/>
        </w:rPr>
        <w:t xml:space="preserve"> Regulations, but where an exemption certificate could be sought each time </w:t>
      </w:r>
      <w:r w:rsidR="007924EA" w:rsidRPr="002C5292">
        <w:rPr>
          <w:rFonts w:asciiTheme="minorHAnsi" w:hAnsiTheme="minorHAnsi" w:cstheme="minorHAnsi"/>
          <w:sz w:val="22"/>
          <w:szCs w:val="22"/>
        </w:rPr>
        <w:t xml:space="preserve">(or almost every time) </w:t>
      </w:r>
      <w:r w:rsidRPr="002C5292">
        <w:rPr>
          <w:rFonts w:asciiTheme="minorHAnsi" w:hAnsiTheme="minorHAnsi" w:cstheme="minorHAnsi"/>
          <w:sz w:val="22"/>
          <w:szCs w:val="22"/>
        </w:rPr>
        <w:t xml:space="preserve">from the responsible Minister instead. It would also require </w:t>
      </w:r>
      <w:r w:rsidR="006A0860" w:rsidRPr="002C5292">
        <w:rPr>
          <w:rFonts w:asciiTheme="minorHAnsi" w:hAnsiTheme="minorHAnsi" w:cstheme="minorHAnsi"/>
          <w:sz w:val="22"/>
          <w:szCs w:val="22"/>
        </w:rPr>
        <w:t xml:space="preserve">the allocation of </w:t>
      </w:r>
      <w:r w:rsidRPr="002C5292">
        <w:rPr>
          <w:rFonts w:asciiTheme="minorHAnsi" w:hAnsiTheme="minorHAnsi" w:cstheme="minorHAnsi"/>
          <w:sz w:val="22"/>
          <w:szCs w:val="22"/>
        </w:rPr>
        <w:t xml:space="preserve">additional resources to preparing and seeking an exemption. Alternatively, in some </w:t>
      </w:r>
      <w:r w:rsidR="00235A91" w:rsidRPr="002C5292">
        <w:rPr>
          <w:rFonts w:asciiTheme="minorHAnsi" w:hAnsiTheme="minorHAnsi" w:cstheme="minorHAnsi"/>
          <w:sz w:val="22"/>
          <w:szCs w:val="22"/>
        </w:rPr>
        <w:t xml:space="preserve">rare </w:t>
      </w:r>
      <w:r w:rsidRPr="002C5292">
        <w:rPr>
          <w:rFonts w:asciiTheme="minorHAnsi" w:hAnsiTheme="minorHAnsi" w:cstheme="minorHAnsi"/>
          <w:sz w:val="22"/>
          <w:szCs w:val="22"/>
        </w:rPr>
        <w:t xml:space="preserve">cases, </w:t>
      </w:r>
      <w:r w:rsidR="00235A91" w:rsidRPr="002C5292">
        <w:rPr>
          <w:rFonts w:asciiTheme="minorHAnsi" w:hAnsiTheme="minorHAnsi" w:cstheme="minorHAnsi"/>
          <w:sz w:val="22"/>
          <w:szCs w:val="22"/>
        </w:rPr>
        <w:t>a</w:t>
      </w:r>
      <w:r w:rsidRPr="002C5292">
        <w:rPr>
          <w:rFonts w:asciiTheme="minorHAnsi" w:hAnsiTheme="minorHAnsi" w:cstheme="minorHAnsi"/>
          <w:sz w:val="22"/>
          <w:szCs w:val="22"/>
        </w:rPr>
        <w:t xml:space="preserve"> RIS and associated consultation process </w:t>
      </w:r>
      <w:r w:rsidR="00235A91" w:rsidRPr="002C5292">
        <w:rPr>
          <w:rFonts w:asciiTheme="minorHAnsi" w:hAnsiTheme="minorHAnsi" w:cstheme="minorHAnsi"/>
          <w:sz w:val="22"/>
          <w:szCs w:val="22"/>
        </w:rPr>
        <w:t>will need to be prepared</w:t>
      </w:r>
      <w:r w:rsidRPr="002C5292">
        <w:rPr>
          <w:rFonts w:asciiTheme="minorHAnsi" w:hAnsiTheme="minorHAnsi" w:cstheme="minorHAnsi"/>
          <w:sz w:val="22"/>
          <w:szCs w:val="22"/>
        </w:rPr>
        <w:t xml:space="preserve">, which further increases the resources required. This would be unnecessarily duplicative, and could confuse stakeholders during consultation. </w:t>
      </w:r>
    </w:p>
    <w:p w14:paraId="6F5C3C45" w14:textId="6FAFCA15" w:rsidR="008F21A4" w:rsidRPr="002C5292" w:rsidRDefault="008F21A4" w:rsidP="000C4A15">
      <w:pPr>
        <w:pStyle w:val="DPCbodytext"/>
      </w:pPr>
      <w:r w:rsidRPr="002C5292">
        <w:t>For any legislative instruments being prepared to implement national uniform legislation, any delays in implementing the instrument at a State level could have a detrimental impact on the agreed timeframes for implementation, which would delay the benefits of the proposed policy, and on State-Commonwealth relations generally.</w:t>
      </w:r>
    </w:p>
    <w:p w14:paraId="465C4CDA" w14:textId="4ECF3EF0" w:rsidR="00EC406A" w:rsidRPr="002C5292" w:rsidRDefault="00EC406A" w:rsidP="00EC406A">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There may be some additional benefit in Option 2 realised (over Option 1) through ensuring that these legislative instruments are subject to the SLA requirements. Instruments made under these provisions are likely to impose a more significant burden on sectors of the public. However, given that the instrument will face scrutiny through alternative </w:t>
      </w:r>
      <w:r w:rsidR="00E7020F" w:rsidRPr="002C5292">
        <w:rPr>
          <w:rFonts w:asciiTheme="minorHAnsi" w:hAnsiTheme="minorHAnsi" w:cstheme="minorHAnsi"/>
          <w:sz w:val="22"/>
          <w:szCs w:val="22"/>
        </w:rPr>
        <w:t xml:space="preserve">consultation and </w:t>
      </w:r>
      <w:r w:rsidR="007D3402" w:rsidRPr="002C5292">
        <w:rPr>
          <w:rFonts w:asciiTheme="minorHAnsi" w:hAnsiTheme="minorHAnsi" w:cstheme="minorHAnsi"/>
          <w:sz w:val="22"/>
          <w:szCs w:val="22"/>
        </w:rPr>
        <w:t>impact</w:t>
      </w:r>
      <w:r w:rsidR="00E7020F" w:rsidRPr="002C5292">
        <w:rPr>
          <w:rFonts w:asciiTheme="minorHAnsi" w:hAnsiTheme="minorHAnsi" w:cstheme="minorHAnsi"/>
          <w:sz w:val="22"/>
          <w:szCs w:val="22"/>
        </w:rPr>
        <w:t xml:space="preserve"> assessment </w:t>
      </w:r>
      <w:r w:rsidRPr="002C5292">
        <w:rPr>
          <w:rFonts w:asciiTheme="minorHAnsi" w:hAnsiTheme="minorHAnsi" w:cstheme="minorHAnsi"/>
          <w:sz w:val="22"/>
          <w:szCs w:val="22"/>
        </w:rPr>
        <w:t>processes which are seen to be as stringent as the RIS process, and more appropriate for the legislative instrument concerned, the likelihood of any relevant additional information coming to light through the RIS process</w:t>
      </w:r>
      <w:r w:rsidR="00E7020F" w:rsidRPr="002C5292">
        <w:rPr>
          <w:rFonts w:asciiTheme="minorHAnsi" w:hAnsiTheme="minorHAnsi" w:cstheme="minorHAnsi"/>
          <w:sz w:val="22"/>
          <w:szCs w:val="22"/>
        </w:rPr>
        <w:t xml:space="preserve"> under the SLA</w:t>
      </w:r>
      <w:r w:rsidRPr="002C5292">
        <w:rPr>
          <w:rFonts w:asciiTheme="minorHAnsi" w:hAnsiTheme="minorHAnsi" w:cstheme="minorHAnsi"/>
          <w:sz w:val="22"/>
          <w:szCs w:val="22"/>
        </w:rPr>
        <w:t xml:space="preserve"> that affects the final legislative instrument is low. In practice, a section 12F exemption </w:t>
      </w:r>
      <w:r w:rsidR="007D3402" w:rsidRPr="002C5292">
        <w:rPr>
          <w:rFonts w:asciiTheme="minorHAnsi" w:hAnsiTheme="minorHAnsi" w:cstheme="minorHAnsi"/>
          <w:sz w:val="22"/>
          <w:szCs w:val="22"/>
        </w:rPr>
        <w:t xml:space="preserve">certificate </w:t>
      </w:r>
      <w:r w:rsidRPr="002C5292">
        <w:rPr>
          <w:rFonts w:asciiTheme="minorHAnsi" w:hAnsiTheme="minorHAnsi" w:cstheme="minorHAnsi"/>
          <w:sz w:val="22"/>
          <w:szCs w:val="22"/>
        </w:rPr>
        <w:t xml:space="preserve">would likely be issued by the responsible Minister on a case-by-case basis or a RIS </w:t>
      </w:r>
      <w:r w:rsidR="007924EA" w:rsidRPr="002C5292">
        <w:rPr>
          <w:rFonts w:asciiTheme="minorHAnsi" w:hAnsiTheme="minorHAnsi" w:cstheme="minorHAnsi"/>
          <w:sz w:val="22"/>
          <w:szCs w:val="22"/>
        </w:rPr>
        <w:t>would be prepared.</w:t>
      </w:r>
      <w:r w:rsidRPr="002C5292">
        <w:rPr>
          <w:rFonts w:asciiTheme="minorHAnsi" w:hAnsiTheme="minorHAnsi" w:cstheme="minorHAnsi"/>
          <w:sz w:val="22"/>
          <w:szCs w:val="22"/>
        </w:rPr>
        <w:t xml:space="preserve"> Nonetheless, being subject to this scrutiny on a case-by-case basis may provide greater confidence that only those instruments where comprehensive and independently assessed analysis and consultation takes place, or where there is an equivalent process that takes account of the impact on Victoria specifically will be exempted. If the impact to Victoria specifically has not been adequately taken </w:t>
      </w:r>
      <w:r w:rsidR="006A0860" w:rsidRPr="002C5292">
        <w:rPr>
          <w:rFonts w:asciiTheme="minorHAnsi" w:hAnsiTheme="minorHAnsi" w:cstheme="minorHAnsi"/>
          <w:sz w:val="22"/>
          <w:szCs w:val="22"/>
        </w:rPr>
        <w:t xml:space="preserve">into </w:t>
      </w:r>
      <w:r w:rsidRPr="002C5292">
        <w:rPr>
          <w:rFonts w:asciiTheme="minorHAnsi" w:hAnsiTheme="minorHAnsi" w:cstheme="minorHAnsi"/>
          <w:sz w:val="22"/>
          <w:szCs w:val="22"/>
        </w:rPr>
        <w:t>account in the alternative impact analysis, then an exemption should not be granted and a separate RIS that meets the SLA analysis requirements should be prepared.</w:t>
      </w:r>
    </w:p>
    <w:p w14:paraId="0427F7D4" w14:textId="7DAA4105" w:rsidR="00E41D10" w:rsidRPr="002C5292" w:rsidRDefault="00E41D10" w:rsidP="00E41D10">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If the two categories of provisions </w:t>
      </w:r>
      <w:r w:rsidR="00917268" w:rsidRPr="002C5292">
        <w:rPr>
          <w:rFonts w:asciiTheme="minorHAnsi" w:hAnsiTheme="minorHAnsi" w:cstheme="minorHAnsi"/>
          <w:sz w:val="22"/>
          <w:szCs w:val="22"/>
        </w:rPr>
        <w:t>to make</w:t>
      </w:r>
      <w:r w:rsidRPr="002C5292">
        <w:rPr>
          <w:rFonts w:asciiTheme="minorHAnsi" w:hAnsiTheme="minorHAnsi" w:cstheme="minorHAnsi"/>
          <w:sz w:val="22"/>
          <w:szCs w:val="22"/>
        </w:rPr>
        <w:t xml:space="preserve"> legislative instruments that face alternative scrutiny processes are not exempt legislative instruments under the Proposed Regulations (</w:t>
      </w:r>
      <w:r w:rsidR="00E7020F" w:rsidRPr="002C5292">
        <w:rPr>
          <w:rFonts w:asciiTheme="minorHAnsi" w:hAnsiTheme="minorHAnsi" w:cstheme="minorHAnsi"/>
          <w:sz w:val="22"/>
          <w:szCs w:val="22"/>
        </w:rPr>
        <w:t>O</w:t>
      </w:r>
      <w:r w:rsidRPr="002C5292">
        <w:rPr>
          <w:rFonts w:asciiTheme="minorHAnsi" w:hAnsiTheme="minorHAnsi" w:cstheme="minorHAnsi"/>
          <w:sz w:val="22"/>
          <w:szCs w:val="22"/>
        </w:rPr>
        <w:t xml:space="preserve">ption 2), the instrument-maker will need to either prepare and issue an exemption certificate </w:t>
      </w:r>
      <w:r w:rsidR="007D3402" w:rsidRPr="002C5292">
        <w:rPr>
          <w:rFonts w:asciiTheme="minorHAnsi" w:hAnsiTheme="minorHAnsi" w:cstheme="minorHAnsi"/>
          <w:sz w:val="22"/>
          <w:szCs w:val="22"/>
        </w:rPr>
        <w:t xml:space="preserve">under section 12F </w:t>
      </w:r>
      <w:r w:rsidRPr="002C5292">
        <w:rPr>
          <w:rFonts w:asciiTheme="minorHAnsi" w:hAnsiTheme="minorHAnsi" w:cstheme="minorHAnsi"/>
          <w:sz w:val="22"/>
          <w:szCs w:val="22"/>
        </w:rPr>
        <w:t xml:space="preserve">or </w:t>
      </w:r>
      <w:r w:rsidR="00235A91" w:rsidRPr="002C5292">
        <w:rPr>
          <w:rFonts w:asciiTheme="minorHAnsi" w:hAnsiTheme="minorHAnsi" w:cstheme="minorHAnsi"/>
          <w:sz w:val="22"/>
          <w:szCs w:val="22"/>
        </w:rPr>
        <w:t xml:space="preserve">prepare a </w:t>
      </w:r>
      <w:r w:rsidRPr="002C5292">
        <w:rPr>
          <w:rFonts w:asciiTheme="minorHAnsi" w:hAnsiTheme="minorHAnsi" w:cstheme="minorHAnsi"/>
          <w:sz w:val="22"/>
          <w:szCs w:val="22"/>
        </w:rPr>
        <w:t xml:space="preserve">RIS each time an instrument under that provision needs to be made. </w:t>
      </w:r>
    </w:p>
    <w:p w14:paraId="0C5B31B2" w14:textId="29233519" w:rsidR="00E41D10" w:rsidRPr="002C5292" w:rsidRDefault="00E41D10" w:rsidP="00E41D10">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If an exemption is made, this process may be straight forward in some cases, and, indeed, those proposed for exemption are those where the equivalent or national processes have been deemed as likely to adequately assess the cost and benefits for Victoria in future use. However, in order to adequately document this for each instrument, it is likely that more in</w:t>
      </w:r>
      <w:r w:rsidR="00F71E0D" w:rsidRPr="002C5292">
        <w:rPr>
          <w:rFonts w:asciiTheme="minorHAnsi" w:hAnsiTheme="minorHAnsi" w:cstheme="minorHAnsi"/>
          <w:sz w:val="22"/>
          <w:szCs w:val="22"/>
        </w:rPr>
        <w:t>-</w:t>
      </w:r>
      <w:r w:rsidRPr="002C5292">
        <w:rPr>
          <w:rFonts w:asciiTheme="minorHAnsi" w:hAnsiTheme="minorHAnsi" w:cstheme="minorHAnsi"/>
          <w:sz w:val="22"/>
          <w:szCs w:val="22"/>
        </w:rPr>
        <w:t>depth assessment (compared with other, more straightforward exemption criteria) of the instrument being proposed will be required each time to explain and justify this. This is due to the risk that instruments may impose significant costs on Victorian communities or businesses, even where that cost has been justified at a national level or as part of an equivalent process. An exemption certificate would have to be prepared to outline and explain this in each case. The explanation would need to be sufficient to satisfy SARC, which would be provided with the exemption certificate as part of its scrutiny process. This creates a burden for agencies, and takes away resources from other priorities, where the ultimate outcome is likely to be the same whether the exemption is made under regulations or sought on a case-by-case basis.</w:t>
      </w:r>
    </w:p>
    <w:p w14:paraId="45E8874F" w14:textId="18FD204B" w:rsidR="00EC406A" w:rsidRPr="002C5292" w:rsidRDefault="00E41D10" w:rsidP="00E41D10">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The cost of preparing a RIS could be particularly high if the issue is complex. It could also create confusion during consultation, for example, if two separate </w:t>
      </w:r>
      <w:r w:rsidR="007D3402" w:rsidRPr="002C5292">
        <w:rPr>
          <w:rFonts w:asciiTheme="minorHAnsi" w:hAnsiTheme="minorHAnsi" w:cstheme="minorHAnsi"/>
          <w:sz w:val="22"/>
          <w:szCs w:val="22"/>
        </w:rPr>
        <w:t xml:space="preserve">or one combined </w:t>
      </w:r>
      <w:r w:rsidRPr="002C5292">
        <w:rPr>
          <w:rFonts w:asciiTheme="minorHAnsi" w:hAnsiTheme="minorHAnsi" w:cstheme="minorHAnsi"/>
          <w:sz w:val="22"/>
          <w:szCs w:val="22"/>
        </w:rPr>
        <w:t xml:space="preserve">consultation process </w:t>
      </w:r>
      <w:r w:rsidR="007D3402" w:rsidRPr="002C5292">
        <w:rPr>
          <w:rFonts w:asciiTheme="minorHAnsi" w:hAnsiTheme="minorHAnsi" w:cstheme="minorHAnsi"/>
          <w:sz w:val="22"/>
          <w:szCs w:val="22"/>
        </w:rPr>
        <w:t>was</w:t>
      </w:r>
      <w:r w:rsidRPr="002C5292">
        <w:rPr>
          <w:rFonts w:asciiTheme="minorHAnsi" w:hAnsiTheme="minorHAnsi" w:cstheme="minorHAnsi"/>
          <w:sz w:val="22"/>
          <w:szCs w:val="22"/>
        </w:rPr>
        <w:t xml:space="preserve"> </w:t>
      </w:r>
      <w:r w:rsidR="007D3402" w:rsidRPr="002C5292">
        <w:rPr>
          <w:rFonts w:asciiTheme="minorHAnsi" w:hAnsiTheme="minorHAnsi" w:cstheme="minorHAnsi"/>
          <w:sz w:val="22"/>
          <w:szCs w:val="22"/>
        </w:rPr>
        <w:t>adopted</w:t>
      </w:r>
      <w:r w:rsidRPr="002C5292">
        <w:rPr>
          <w:rFonts w:asciiTheme="minorHAnsi" w:hAnsiTheme="minorHAnsi" w:cstheme="minorHAnsi"/>
          <w:sz w:val="22"/>
          <w:szCs w:val="22"/>
        </w:rPr>
        <w:t>, or different consultation materials were made available during a combined consultation process. Even where the processes broadly align, and much of the information is transferable, there will still be an additional cost in presenting the information in the RIS format</w:t>
      </w:r>
      <w:r w:rsidR="007D3402" w:rsidRPr="002C5292">
        <w:rPr>
          <w:rFonts w:asciiTheme="minorHAnsi" w:hAnsiTheme="minorHAnsi" w:cstheme="minorHAnsi"/>
          <w:sz w:val="22"/>
          <w:szCs w:val="22"/>
        </w:rPr>
        <w:t xml:space="preserve"> and the format under the authorising Act or part of a national scheme</w:t>
      </w:r>
      <w:r w:rsidRPr="002C5292">
        <w:rPr>
          <w:rFonts w:asciiTheme="minorHAnsi" w:hAnsiTheme="minorHAnsi" w:cstheme="minorHAnsi"/>
          <w:sz w:val="22"/>
          <w:szCs w:val="22"/>
        </w:rPr>
        <w:t>.</w:t>
      </w:r>
    </w:p>
    <w:p w14:paraId="3EC82CF1" w14:textId="6B59DC82" w:rsidR="00B53980" w:rsidRPr="002C5292" w:rsidRDefault="00B53980" w:rsidP="00B53980">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Given the wider demands on legal branches within departments and agencies in taking part in a challenging legislative program, any changes that can make the </w:t>
      </w:r>
      <w:r w:rsidR="007D3402" w:rsidRPr="002C5292">
        <w:rPr>
          <w:rFonts w:asciiTheme="minorHAnsi" w:hAnsiTheme="minorHAnsi" w:cstheme="minorHAnsi"/>
          <w:sz w:val="22"/>
          <w:szCs w:val="22"/>
        </w:rPr>
        <w:t xml:space="preserve">SLA </w:t>
      </w:r>
      <w:r w:rsidRPr="002C5292">
        <w:rPr>
          <w:rFonts w:asciiTheme="minorHAnsi" w:hAnsiTheme="minorHAnsi" w:cstheme="minorHAnsi"/>
          <w:sz w:val="22"/>
          <w:szCs w:val="22"/>
        </w:rPr>
        <w:t>process more efficient, without unjustifiably detracting from other important themes such as accountability and transparency, should be viewed positively.</w:t>
      </w:r>
    </w:p>
    <w:p w14:paraId="1A761281" w14:textId="1FB4451E" w:rsidR="00C72EB3" w:rsidRPr="002C5292" w:rsidRDefault="00C72EB3" w:rsidP="00C72EB3">
      <w:pPr>
        <w:pStyle w:val="Heading2"/>
      </w:pPr>
      <w:bookmarkStart w:id="84" w:name="_Toc70082386"/>
      <w:r w:rsidRPr="002C5292">
        <w:t>Part 3 Competition Assessment</w:t>
      </w:r>
      <w:bookmarkEnd w:id="84"/>
    </w:p>
    <w:p w14:paraId="3EB0A106" w14:textId="77777777" w:rsidR="00C72EB3" w:rsidRPr="002C5292" w:rsidRDefault="00C72EB3" w:rsidP="00C72EB3">
      <w:pPr>
        <w:pStyle w:val="DPCbody"/>
      </w:pPr>
      <w:r w:rsidRPr="002C5292">
        <w:t xml:space="preserve">The </w:t>
      </w:r>
      <w:r w:rsidRPr="002C5292">
        <w:rPr>
          <w:i/>
          <w:iCs/>
        </w:rPr>
        <w:t xml:space="preserve">Victorian Guide to Regulation </w:t>
      </w:r>
      <w:r w:rsidRPr="002C5292">
        <w:t>states that as a matter of good public policy, it is a fundamental principle that new regulations do not restrict competition, unless it can be demonstrated that:</w:t>
      </w:r>
    </w:p>
    <w:p w14:paraId="191E4BEF" w14:textId="77777777" w:rsidR="00C72EB3" w:rsidRPr="002C5292" w:rsidRDefault="00C72EB3" w:rsidP="000C4A15">
      <w:pPr>
        <w:pStyle w:val="DPCbodytext"/>
        <w:numPr>
          <w:ilvl w:val="0"/>
          <w:numId w:val="75"/>
        </w:numPr>
      </w:pPr>
      <w:r w:rsidRPr="002C5292">
        <w:t xml:space="preserve">the benefits of the restriction, as a whole, outweigh the costs; and </w:t>
      </w:r>
    </w:p>
    <w:p w14:paraId="3A53C0C1" w14:textId="77777777" w:rsidR="00C72EB3" w:rsidRPr="002C5292" w:rsidRDefault="00C72EB3" w:rsidP="000C4A15">
      <w:pPr>
        <w:pStyle w:val="DPCbodytext"/>
        <w:numPr>
          <w:ilvl w:val="0"/>
          <w:numId w:val="75"/>
        </w:numPr>
      </w:pPr>
      <w:r w:rsidRPr="002C5292">
        <w:t>the objectives of the legislation can only be achieved by restricting competition.</w:t>
      </w:r>
    </w:p>
    <w:p w14:paraId="3A16770B" w14:textId="77777777" w:rsidR="00C72EB3" w:rsidRPr="002C5292" w:rsidRDefault="00C72EB3" w:rsidP="00C72EB3">
      <w:pPr>
        <w:pStyle w:val="DPCbody"/>
      </w:pPr>
      <w:r w:rsidRPr="002C5292">
        <w:rPr>
          <w:lang w:eastAsia="en-AU"/>
        </w:rPr>
        <w:t xml:space="preserve">The </w:t>
      </w:r>
      <w:r w:rsidRPr="002C5292">
        <w:rPr>
          <w:i/>
          <w:iCs/>
          <w:lang w:eastAsia="en-AU"/>
        </w:rPr>
        <w:t>National Competition Principles Agreement</w:t>
      </w:r>
      <w:r w:rsidRPr="002C5292">
        <w:rPr>
          <w:lang w:eastAsia="en-AU"/>
        </w:rPr>
        <w:t xml:space="preserve"> requires an assessment of whether any new primary or subordinate legislation will have an effect on competition. The analysis must demonstrate that the objectives of the legislation can only be achieved by restricting competition and the benefits outweigh the costs of the preferred option. </w:t>
      </w:r>
    </w:p>
    <w:p w14:paraId="0AE1AD0D" w14:textId="77777777" w:rsidR="00C72EB3" w:rsidRPr="002C5292" w:rsidRDefault="00C72EB3" w:rsidP="00C72EB3">
      <w:pPr>
        <w:pStyle w:val="Heading3"/>
      </w:pPr>
      <w:bookmarkStart w:id="85" w:name="_Toc70082387"/>
      <w:r w:rsidRPr="002C5292">
        <w:t>Will the preferred option restrict competition?</w:t>
      </w:r>
      <w:bookmarkEnd w:id="85"/>
    </w:p>
    <w:p w14:paraId="0EB88D37" w14:textId="77777777"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As the proposal relates to the assessment of legislative instruments before introduction/being made, which is largely undertaken by public sector entities, it is unlikely the proposal will have any impact on competition. Individual legislative instruments may impact competition as they are introduced/ made. The legislative instruments in the Proposed Regulations have been assessed as:</w:t>
      </w:r>
    </w:p>
    <w:p w14:paraId="590E2104" w14:textId="77777777" w:rsidR="00C72EB3" w:rsidRPr="002C5292" w:rsidRDefault="00C72EB3" w:rsidP="000C4A15">
      <w:pPr>
        <w:pStyle w:val="DPCbodytext"/>
        <w:numPr>
          <w:ilvl w:val="0"/>
          <w:numId w:val="75"/>
        </w:numPr>
      </w:pPr>
      <w:r w:rsidRPr="002C5292">
        <w:t>unlikely to impact competition;</w:t>
      </w:r>
    </w:p>
    <w:p w14:paraId="0E156C79" w14:textId="77777777" w:rsidR="00C72EB3" w:rsidRPr="002C5292" w:rsidRDefault="00C72EB3" w:rsidP="000C4A15">
      <w:pPr>
        <w:pStyle w:val="DPCbodytext"/>
        <w:numPr>
          <w:ilvl w:val="0"/>
          <w:numId w:val="75"/>
        </w:numPr>
      </w:pPr>
      <w:r w:rsidRPr="002C5292">
        <w:t>may have an impact on competition, but this will be considered through a RIS-equivalent or national legislative process;</w:t>
      </w:r>
    </w:p>
    <w:p w14:paraId="66EF2583" w14:textId="77777777" w:rsidR="00C72EB3" w:rsidRPr="002C5292" w:rsidRDefault="00C72EB3" w:rsidP="000C4A15">
      <w:pPr>
        <w:pStyle w:val="DPCbodytext"/>
        <w:numPr>
          <w:ilvl w:val="0"/>
          <w:numId w:val="75"/>
        </w:numPr>
      </w:pPr>
      <w:r w:rsidRPr="002C5292">
        <w:t>may have an impact on competition, but are proposed for exemption on public interest grounds, due to other overriding factors.</w:t>
      </w:r>
    </w:p>
    <w:p w14:paraId="7F7EFE55" w14:textId="68C351AD"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Most of the instruments in the Proposed Regulations are unlikely to have a competition impact. For example, Orders constituting school councils have a low chance of impacting competition. In contrast, some exempt legislative instruments could restrict competition, but are subject to analysis through RIS-equivalent processes; a number of the instruments analysed by the Essential Services Commission fall into this category.</w:t>
      </w:r>
    </w:p>
    <w:p w14:paraId="45F00AB9" w14:textId="1F46DBE7"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 xml:space="preserve">In addition, some instruments may have a competition impact, but are proposed for exemption because they meet criteria under section 12F or there is an overriding public interest. For example, some instruments regulating use and sale under the </w:t>
      </w:r>
      <w:r w:rsidRPr="002C5292">
        <w:rPr>
          <w:rFonts w:asciiTheme="minorHAnsi" w:hAnsiTheme="minorHAnsi" w:cstheme="minorHAnsi"/>
          <w:i/>
          <w:sz w:val="22"/>
          <w:szCs w:val="22"/>
        </w:rPr>
        <w:t>Agricultural and Veterinary Chemicals (Control of Use) Act 1992</w:t>
      </w:r>
      <w:r w:rsidRPr="002C5292">
        <w:rPr>
          <w:rFonts w:asciiTheme="minorHAnsi" w:hAnsiTheme="minorHAnsi" w:cstheme="minorHAnsi"/>
          <w:sz w:val="22"/>
          <w:szCs w:val="22"/>
        </w:rPr>
        <w:t xml:space="preserve"> could impact on competition</w:t>
      </w:r>
      <w:r w:rsidR="004402B7" w:rsidRPr="002C5292">
        <w:rPr>
          <w:rFonts w:asciiTheme="minorHAnsi" w:hAnsiTheme="minorHAnsi" w:cstheme="minorHAnsi"/>
          <w:sz w:val="22"/>
          <w:szCs w:val="22"/>
        </w:rPr>
        <w:t xml:space="preserve"> (e.g. an order under section 25(2))</w:t>
      </w:r>
      <w:r w:rsidRPr="002C5292">
        <w:rPr>
          <w:rFonts w:asciiTheme="minorHAnsi" w:hAnsiTheme="minorHAnsi" w:cstheme="minorHAnsi"/>
          <w:sz w:val="22"/>
          <w:szCs w:val="22"/>
        </w:rPr>
        <w:t xml:space="preserve">, but are proposed for exemption under the urgent public safety or environmental issue </w:t>
      </w:r>
      <w:r w:rsidR="004402B7" w:rsidRPr="002C5292">
        <w:rPr>
          <w:rFonts w:asciiTheme="minorHAnsi" w:hAnsiTheme="minorHAnsi" w:cstheme="minorHAnsi"/>
          <w:sz w:val="22"/>
          <w:szCs w:val="22"/>
        </w:rPr>
        <w:t xml:space="preserve">criteria </w:t>
      </w:r>
      <w:r w:rsidRPr="002C5292">
        <w:rPr>
          <w:rFonts w:asciiTheme="minorHAnsi" w:hAnsiTheme="minorHAnsi" w:cstheme="minorHAnsi"/>
          <w:sz w:val="22"/>
          <w:szCs w:val="22"/>
        </w:rPr>
        <w:t xml:space="preserve">under section 12F because the instruments are used to respond to urgent situations. </w:t>
      </w:r>
    </w:p>
    <w:p w14:paraId="24D84130" w14:textId="7C6EE5C9"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In another example, the Order regarding builder’s insurance cover (and similar instruments for other industries) is proposed for exemption on public interest grounds (</w:t>
      </w:r>
      <w:r w:rsidRPr="002C5292">
        <w:rPr>
          <w:rFonts w:asciiTheme="minorHAnsi" w:hAnsiTheme="minorHAnsi" w:cstheme="minorHAnsi"/>
          <w:i/>
          <w:iCs/>
          <w:sz w:val="22"/>
          <w:szCs w:val="22"/>
        </w:rPr>
        <w:t xml:space="preserve">Building Act 1993 </w:t>
      </w:r>
      <w:r w:rsidRPr="002C5292">
        <w:rPr>
          <w:rFonts w:asciiTheme="minorHAnsi" w:hAnsiTheme="minorHAnsi" w:cstheme="minorHAnsi"/>
          <w:sz w:val="22"/>
          <w:szCs w:val="22"/>
        </w:rPr>
        <w:t xml:space="preserve">s135(1) or (4)). While there could be a competition impact from the order, DPC considers that there is a net benefit from having closed and flexible commercial negotiations that seek to guarantee the availability of insurance products that meet industry requirements, including affordability for the industry's members. </w:t>
      </w:r>
    </w:p>
    <w:p w14:paraId="17498A15" w14:textId="77777777"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A RIS is a service provided by government. For those legislative instruments that are not exempt legislative instruments (including those in Schedule 2 of the Proposed Regulations), and may lead to an impact on competition, assessment of this impact will be made during the preparation of each RIS for those instruments. The public, including affected businesses, will then have an opportunity to comment through consultation.</w:t>
      </w:r>
    </w:p>
    <w:p w14:paraId="570665AE" w14:textId="7451B654" w:rsidR="00C72EB3" w:rsidRPr="002C5292" w:rsidRDefault="00845784" w:rsidP="00C72EB3">
      <w:pPr>
        <w:pStyle w:val="DPCbody"/>
      </w:pPr>
      <w:r w:rsidRPr="002C5292">
        <w:rPr>
          <w:rFonts w:cstheme="minorHAnsi"/>
        </w:rPr>
        <w:t>The Proposed Regulations will not have any direct adverse impact on competition. Legislative instruments exempted from scrutiny under the Proposed Regulations may have impacts on competition, however adverse impacts are mitigated because the instruments either do not impose a significant burden on the public, are subject to a separate process of consultation and scrutiny or the benefits of exempting them from scrutiny are greater than the costs of exempting them from scrutiny.</w:t>
      </w:r>
    </w:p>
    <w:p w14:paraId="2B77BB6C" w14:textId="77777777" w:rsidR="00C72EB3" w:rsidRPr="002C5292" w:rsidRDefault="00C72EB3" w:rsidP="00831A38">
      <w:pPr>
        <w:spacing w:before="120" w:after="120" w:line="280" w:lineRule="exact"/>
        <w:rPr>
          <w:rFonts w:asciiTheme="minorHAnsi" w:hAnsiTheme="minorHAnsi" w:cstheme="minorHAnsi"/>
          <w:sz w:val="22"/>
          <w:szCs w:val="22"/>
        </w:rPr>
      </w:pPr>
      <w:r w:rsidRPr="002C5292">
        <w:rPr>
          <w:rFonts w:asciiTheme="minorHAnsi" w:hAnsiTheme="minorHAnsi" w:cstheme="minorHAnsi"/>
          <w:sz w:val="22"/>
          <w:szCs w:val="22"/>
        </w:rPr>
        <w:t>The preferred option is shown in the multi-criteria analysis above to be the best option to meet the objectives set out in this RIS for the Proposed Regulations. Namely, the Proposed Regulations will:</w:t>
      </w:r>
    </w:p>
    <w:p w14:paraId="2B5DF7B3" w14:textId="77777777" w:rsidR="00C72EB3" w:rsidRPr="002C5292" w:rsidRDefault="00C72EB3" w:rsidP="00831A38">
      <w:pPr>
        <w:pStyle w:val="ListParagraph"/>
        <w:numPr>
          <w:ilvl w:val="0"/>
          <w:numId w:val="106"/>
        </w:numPr>
        <w:spacing w:before="120" w:after="120" w:line="280" w:lineRule="exact"/>
        <w:rPr>
          <w:rFonts w:cstheme="minorHAnsi"/>
        </w:rPr>
      </w:pPr>
      <w:r w:rsidRPr="002C5292">
        <w:rPr>
          <w:rFonts w:cstheme="minorHAnsi"/>
        </w:rPr>
        <w:t>Assist instrument-makers in allocating limited government resources efficiently, and ensuring they are not faced with an excessive burden in the monitoring and making of legislative instruments;</w:t>
      </w:r>
    </w:p>
    <w:p w14:paraId="4EF46338" w14:textId="77777777" w:rsidR="00C72EB3" w:rsidRPr="002C5292" w:rsidRDefault="00C72EB3" w:rsidP="00831A38">
      <w:pPr>
        <w:pStyle w:val="ListParagraph"/>
        <w:numPr>
          <w:ilvl w:val="0"/>
          <w:numId w:val="106"/>
        </w:numPr>
        <w:spacing w:before="120" w:after="120" w:line="280" w:lineRule="exact"/>
        <w:rPr>
          <w:rFonts w:cstheme="minorHAnsi"/>
        </w:rPr>
      </w:pPr>
      <w:r w:rsidRPr="002C5292">
        <w:rPr>
          <w:rFonts w:cstheme="minorHAnsi"/>
        </w:rPr>
        <w:t>Minimise unnecessary delays in making or amending legislative instruments; and</w:t>
      </w:r>
    </w:p>
    <w:p w14:paraId="108F4957" w14:textId="77777777" w:rsidR="00C72EB3" w:rsidRPr="002C5292" w:rsidRDefault="00C72EB3" w:rsidP="00831A38">
      <w:pPr>
        <w:pStyle w:val="ListParagraph"/>
        <w:numPr>
          <w:ilvl w:val="0"/>
          <w:numId w:val="106"/>
        </w:numPr>
        <w:spacing w:before="120" w:after="120" w:line="280" w:lineRule="exact"/>
        <w:rPr>
          <w:rFonts w:cstheme="minorHAnsi"/>
        </w:rPr>
      </w:pPr>
      <w:r w:rsidRPr="002C5292">
        <w:rPr>
          <w:rFonts w:cstheme="minorHAnsi"/>
        </w:rPr>
        <w:t>Ensure that each legislative instrument faces an appropriate level of scrutiny by Parliament and SARC, based on the expected impact it will have.</w:t>
      </w:r>
    </w:p>
    <w:p w14:paraId="63FD5AF5" w14:textId="77777777" w:rsidR="00C72EB3" w:rsidRPr="002C5292" w:rsidRDefault="00C72EB3" w:rsidP="00845784">
      <w:pPr>
        <w:spacing w:before="120" w:after="120" w:line="280" w:lineRule="exact"/>
        <w:rPr>
          <w:rFonts w:asciiTheme="minorHAnsi" w:hAnsiTheme="minorHAnsi" w:cstheme="minorHAnsi"/>
        </w:rPr>
      </w:pPr>
      <w:r w:rsidRPr="002C5292">
        <w:rPr>
          <w:rFonts w:asciiTheme="minorHAnsi" w:hAnsiTheme="minorHAnsi" w:cstheme="minorHAnsi"/>
          <w:sz w:val="22"/>
          <w:szCs w:val="22"/>
        </w:rPr>
        <w:t>The Proposed Regulations will ensure that legislative instruments that have an impact are analysed by a RIS and face public consultation.</w:t>
      </w:r>
    </w:p>
    <w:p w14:paraId="0997465E" w14:textId="5D8234FE" w:rsidR="00C72EB3" w:rsidRPr="002C5292" w:rsidRDefault="00C72EB3" w:rsidP="000C4A15">
      <w:pPr>
        <w:pStyle w:val="DPCbodytext"/>
      </w:pPr>
      <w:r w:rsidRPr="002C5292">
        <w:t xml:space="preserve">By </w:t>
      </w:r>
      <w:r w:rsidR="006716C7" w:rsidRPr="002C5292">
        <w:t xml:space="preserve">automatically </w:t>
      </w:r>
      <w:r w:rsidRPr="002C5292">
        <w:t xml:space="preserve">exempting legislative instruments </w:t>
      </w:r>
      <w:r w:rsidR="00F3570D" w:rsidRPr="002C5292">
        <w:t xml:space="preserve">in the Proposed Regulations </w:t>
      </w:r>
      <w:r w:rsidRPr="002C5292">
        <w:t>from the RIS process and consultation, the opportunity for public comment or consultation on these instruments may be restricted. However, the exempt legislative instruments are largely limited to those not imposing a significant burden on the public or that have their own public consultation process. Further, the costs of undertaking analysis and consultation would likely outweigh the benefits of such exercises.</w:t>
      </w:r>
    </w:p>
    <w:p w14:paraId="57611E08" w14:textId="0FCC580F" w:rsidR="000E38E2" w:rsidRPr="002C5292" w:rsidRDefault="00845784" w:rsidP="00015E0B">
      <w:pPr>
        <w:pStyle w:val="Heading1"/>
        <w:numPr>
          <w:ilvl w:val="0"/>
          <w:numId w:val="46"/>
        </w:numPr>
        <w:ind w:left="709"/>
        <w:rPr>
          <w:lang w:eastAsia="en-AU"/>
        </w:rPr>
      </w:pPr>
      <w:bookmarkStart w:id="86" w:name="_Toc67510781"/>
      <w:bookmarkStart w:id="87" w:name="_Toc67510896"/>
      <w:bookmarkStart w:id="88" w:name="_Toc67567058"/>
      <w:bookmarkStart w:id="89" w:name="_Toc67567288"/>
      <w:bookmarkStart w:id="90" w:name="_Toc67568972"/>
      <w:bookmarkStart w:id="91" w:name="_Toc67588203"/>
      <w:bookmarkStart w:id="92" w:name="_Toc67589692"/>
      <w:bookmarkStart w:id="93" w:name="_Toc67590273"/>
      <w:bookmarkStart w:id="94" w:name="_Toc67916653"/>
      <w:bookmarkStart w:id="95" w:name="_Toc68206068"/>
      <w:bookmarkStart w:id="96" w:name="_Toc59612290"/>
      <w:bookmarkStart w:id="97" w:name="_Toc70082388"/>
      <w:bookmarkEnd w:id="86"/>
      <w:bookmarkEnd w:id="87"/>
      <w:bookmarkEnd w:id="88"/>
      <w:bookmarkEnd w:id="89"/>
      <w:bookmarkEnd w:id="90"/>
      <w:bookmarkEnd w:id="91"/>
      <w:bookmarkEnd w:id="92"/>
      <w:bookmarkEnd w:id="93"/>
      <w:bookmarkEnd w:id="94"/>
      <w:bookmarkEnd w:id="95"/>
      <w:r w:rsidRPr="002C5292">
        <w:rPr>
          <w:lang w:eastAsia="en-AU"/>
        </w:rPr>
        <w:t>Implementation plan</w:t>
      </w:r>
      <w:bookmarkEnd w:id="96"/>
      <w:bookmarkEnd w:id="97"/>
    </w:p>
    <w:p w14:paraId="7726E559" w14:textId="078D6198" w:rsidR="00095532" w:rsidRPr="002C5292" w:rsidRDefault="00095532" w:rsidP="00095532">
      <w:pPr>
        <w:spacing w:after="120"/>
        <w:rPr>
          <w:rFonts w:asciiTheme="minorHAnsi" w:hAnsiTheme="minorHAnsi" w:cs="Segoe UI Light"/>
          <w:sz w:val="22"/>
          <w:szCs w:val="22"/>
        </w:rPr>
      </w:pPr>
      <w:r w:rsidRPr="002C5292">
        <w:rPr>
          <w:rFonts w:asciiTheme="minorHAnsi" w:hAnsiTheme="minorHAnsi" w:cs="Segoe UI Light"/>
          <w:sz w:val="22"/>
          <w:szCs w:val="22"/>
        </w:rPr>
        <w:t>Compliance issues are expected to be minimal, given that the Proposed Regulations will exempt a large number of</w:t>
      </w:r>
      <w:r w:rsidR="00015E0B" w:rsidRPr="002C5292">
        <w:rPr>
          <w:rFonts w:asciiTheme="minorHAnsi" w:hAnsiTheme="minorHAnsi" w:cs="Segoe UI Light"/>
          <w:sz w:val="22"/>
          <w:szCs w:val="22"/>
        </w:rPr>
        <w:t xml:space="preserve"> provisions </w:t>
      </w:r>
      <w:r w:rsidR="00917268" w:rsidRPr="002C5292">
        <w:rPr>
          <w:rFonts w:asciiTheme="minorHAnsi" w:hAnsiTheme="minorHAnsi" w:cs="Segoe UI Light"/>
          <w:sz w:val="22"/>
          <w:szCs w:val="22"/>
        </w:rPr>
        <w:t>to make</w:t>
      </w:r>
      <w:r w:rsidRPr="002C5292">
        <w:rPr>
          <w:rFonts w:asciiTheme="minorHAnsi" w:hAnsiTheme="minorHAnsi" w:cs="Segoe UI Light"/>
          <w:sz w:val="22"/>
          <w:szCs w:val="22"/>
        </w:rPr>
        <w:t xml:space="preserve"> legislative instruments from </w:t>
      </w:r>
      <w:r w:rsidR="00015E0B" w:rsidRPr="002C5292">
        <w:rPr>
          <w:rFonts w:asciiTheme="minorHAnsi" w:hAnsiTheme="minorHAnsi" w:cs="Segoe UI Light"/>
          <w:sz w:val="22"/>
          <w:szCs w:val="22"/>
        </w:rPr>
        <w:t>certain</w:t>
      </w:r>
      <w:r w:rsidRPr="002C5292">
        <w:rPr>
          <w:rFonts w:asciiTheme="minorHAnsi" w:hAnsiTheme="minorHAnsi" w:cs="Segoe UI Light"/>
          <w:sz w:val="22"/>
          <w:szCs w:val="22"/>
        </w:rPr>
        <w:t xml:space="preserve"> requirements of the SLA. </w:t>
      </w:r>
    </w:p>
    <w:p w14:paraId="716ABA1B" w14:textId="31423132" w:rsidR="009E34C5" w:rsidRPr="002C5292" w:rsidRDefault="00095532" w:rsidP="00015E0B">
      <w:pPr>
        <w:spacing w:after="120"/>
        <w:rPr>
          <w:rFonts w:asciiTheme="minorHAnsi" w:hAnsiTheme="minorHAnsi" w:cs="Segoe UI Light"/>
          <w:sz w:val="22"/>
          <w:szCs w:val="22"/>
        </w:rPr>
      </w:pPr>
      <w:r w:rsidRPr="002C5292">
        <w:rPr>
          <w:rFonts w:asciiTheme="minorHAnsi" w:hAnsiTheme="minorHAnsi" w:cs="Segoe UI Light"/>
          <w:sz w:val="22"/>
          <w:szCs w:val="22"/>
        </w:rPr>
        <w:t>Where the requirements continue to apply, Ministers will have responsibility for instruments made within their portfolios and SARC will have responsibility for reviewing legislative instruments. As part of its responsibility, SARC will ensure that legislative instruments do not exceed the power conferred by an Act, do not unduly trespass on rights and freedoms, and that the requirements of the SLA have been met.</w:t>
      </w:r>
    </w:p>
    <w:p w14:paraId="24D953B2" w14:textId="44BE476C" w:rsidR="0027105E" w:rsidRPr="002C5292" w:rsidRDefault="00800E46" w:rsidP="00800E46">
      <w:pPr>
        <w:spacing w:after="120"/>
        <w:rPr>
          <w:rFonts w:asciiTheme="minorHAnsi" w:hAnsiTheme="minorHAnsi" w:cs="Segoe UI Light"/>
          <w:sz w:val="22"/>
          <w:szCs w:val="22"/>
        </w:rPr>
      </w:pPr>
      <w:r w:rsidRPr="002C5292">
        <w:rPr>
          <w:rFonts w:asciiTheme="minorHAnsi" w:hAnsiTheme="minorHAnsi" w:cs="Segoe UI Light"/>
          <w:sz w:val="22"/>
          <w:szCs w:val="22"/>
        </w:rPr>
        <w:t>The</w:t>
      </w:r>
      <w:r w:rsidRPr="002C5292" w:rsidDel="006716C7">
        <w:rPr>
          <w:rFonts w:asciiTheme="minorHAnsi" w:hAnsiTheme="minorHAnsi" w:cs="Segoe UI Light"/>
          <w:sz w:val="22"/>
          <w:szCs w:val="22"/>
        </w:rPr>
        <w:t xml:space="preserve"> </w:t>
      </w:r>
      <w:r w:rsidRPr="002C5292">
        <w:rPr>
          <w:rFonts w:asciiTheme="minorHAnsi" w:hAnsiTheme="minorHAnsi" w:cs="Segoe UI Light"/>
          <w:sz w:val="22"/>
          <w:szCs w:val="22"/>
        </w:rPr>
        <w:t xml:space="preserve">arrangements for monitoring the </w:t>
      </w:r>
      <w:r w:rsidR="006716C7" w:rsidRPr="002C5292">
        <w:rPr>
          <w:rFonts w:asciiTheme="minorHAnsi" w:hAnsiTheme="minorHAnsi" w:cs="Segoe UI Light"/>
          <w:sz w:val="22"/>
          <w:szCs w:val="22"/>
        </w:rPr>
        <w:t xml:space="preserve">Current </w:t>
      </w:r>
      <w:r w:rsidR="0027105E" w:rsidRPr="002C5292">
        <w:rPr>
          <w:rFonts w:asciiTheme="minorHAnsi" w:hAnsiTheme="minorHAnsi" w:cs="Segoe UI Light"/>
          <w:sz w:val="22"/>
          <w:szCs w:val="22"/>
        </w:rPr>
        <w:t>R</w:t>
      </w:r>
      <w:r w:rsidRPr="002C5292">
        <w:rPr>
          <w:rFonts w:asciiTheme="minorHAnsi" w:hAnsiTheme="minorHAnsi" w:cs="Segoe UI Light"/>
          <w:sz w:val="22"/>
          <w:szCs w:val="22"/>
        </w:rPr>
        <w:t>egulations will continue, with DPC undertaking</w:t>
      </w:r>
      <w:r w:rsidR="00873277" w:rsidRPr="002C5292">
        <w:rPr>
          <w:rFonts w:asciiTheme="minorHAnsi" w:hAnsiTheme="minorHAnsi" w:cs="Segoe UI Light"/>
          <w:sz w:val="22"/>
          <w:szCs w:val="22"/>
        </w:rPr>
        <w:t xml:space="preserve"> annual and </w:t>
      </w:r>
      <w:r w:rsidRPr="002C5292">
        <w:rPr>
          <w:rFonts w:asciiTheme="minorHAnsi" w:hAnsiTheme="minorHAnsi" w:cs="Segoe UI Light"/>
          <w:sz w:val="22"/>
          <w:szCs w:val="22"/>
        </w:rPr>
        <w:t xml:space="preserve">ongoing monitoring and evaluation of the </w:t>
      </w:r>
      <w:r w:rsidR="006716C7" w:rsidRPr="002C5292">
        <w:rPr>
          <w:rFonts w:asciiTheme="minorHAnsi" w:hAnsiTheme="minorHAnsi" w:cs="Segoe UI Light"/>
          <w:sz w:val="22"/>
          <w:szCs w:val="22"/>
        </w:rPr>
        <w:t xml:space="preserve">Proposed </w:t>
      </w:r>
      <w:r w:rsidRPr="002C5292">
        <w:rPr>
          <w:rFonts w:asciiTheme="minorHAnsi" w:hAnsiTheme="minorHAnsi" w:cs="Segoe UI Light"/>
          <w:sz w:val="22"/>
          <w:szCs w:val="22"/>
        </w:rPr>
        <w:t>Regulations.</w:t>
      </w:r>
      <w:r w:rsidR="00873277" w:rsidRPr="002C5292">
        <w:rPr>
          <w:rFonts w:asciiTheme="minorHAnsi" w:hAnsiTheme="minorHAnsi" w:cs="Segoe UI Light"/>
          <w:sz w:val="22"/>
          <w:szCs w:val="22"/>
        </w:rPr>
        <w:t xml:space="preserve"> </w:t>
      </w:r>
      <w:r w:rsidRPr="002C5292">
        <w:rPr>
          <w:rFonts w:asciiTheme="minorHAnsi" w:hAnsiTheme="minorHAnsi" w:cs="Segoe UI Light"/>
          <w:sz w:val="22"/>
          <w:szCs w:val="22"/>
        </w:rPr>
        <w:t>DPC will also review and update the SLA Guidelines during the operation of the Proposed Regulations.</w:t>
      </w:r>
      <w:r w:rsidR="00873277" w:rsidRPr="002C5292">
        <w:rPr>
          <w:rFonts w:asciiTheme="minorHAnsi" w:hAnsiTheme="minorHAnsi" w:cs="Segoe UI Light"/>
          <w:sz w:val="22"/>
          <w:szCs w:val="22"/>
        </w:rPr>
        <w:t xml:space="preserve"> </w:t>
      </w:r>
    </w:p>
    <w:p w14:paraId="70E90B26" w14:textId="25576563" w:rsidR="00873277" w:rsidRPr="002C5292" w:rsidRDefault="00873277" w:rsidP="00800E46">
      <w:pPr>
        <w:spacing w:after="120"/>
        <w:rPr>
          <w:rFonts w:asciiTheme="minorHAnsi" w:hAnsiTheme="minorHAnsi" w:cs="Segoe UI Light"/>
          <w:sz w:val="22"/>
          <w:szCs w:val="22"/>
        </w:rPr>
      </w:pPr>
      <w:r w:rsidRPr="002C5292">
        <w:rPr>
          <w:rFonts w:asciiTheme="minorHAnsi" w:hAnsiTheme="minorHAnsi" w:cs="Segoe UI Light"/>
          <w:sz w:val="22"/>
          <w:szCs w:val="22"/>
        </w:rPr>
        <w:t xml:space="preserve">Generally, DPC will start </w:t>
      </w:r>
      <w:r w:rsidR="00EB6BFA" w:rsidRPr="002C5292">
        <w:rPr>
          <w:rFonts w:asciiTheme="minorHAnsi" w:hAnsiTheme="minorHAnsi" w:cs="Segoe UI Light"/>
          <w:sz w:val="22"/>
          <w:szCs w:val="22"/>
        </w:rPr>
        <w:t>an annual</w:t>
      </w:r>
      <w:r w:rsidRPr="002C5292">
        <w:rPr>
          <w:rFonts w:asciiTheme="minorHAnsi" w:hAnsiTheme="minorHAnsi" w:cs="Segoe UI Light"/>
          <w:sz w:val="22"/>
          <w:szCs w:val="22"/>
        </w:rPr>
        <w:t xml:space="preserve"> review in the second quarter of the year and finish by the end of the year and assess requests</w:t>
      </w:r>
      <w:r w:rsidR="00EB6BFA" w:rsidRPr="002C5292">
        <w:rPr>
          <w:rFonts w:asciiTheme="minorHAnsi" w:hAnsiTheme="minorHAnsi" w:cs="Segoe UI Light"/>
          <w:sz w:val="22"/>
          <w:szCs w:val="22"/>
        </w:rPr>
        <w:t xml:space="preserve"> received throughout the year</w:t>
      </w:r>
      <w:r w:rsidRPr="002C5292">
        <w:rPr>
          <w:rFonts w:asciiTheme="minorHAnsi" w:hAnsiTheme="minorHAnsi" w:cs="Segoe UI Light"/>
          <w:sz w:val="22"/>
          <w:szCs w:val="22"/>
        </w:rPr>
        <w:t xml:space="preserve"> as part of that annual cycle. </w:t>
      </w:r>
    </w:p>
    <w:p w14:paraId="386F9E80" w14:textId="32CAF72B" w:rsidR="00873277" w:rsidRPr="002C5292" w:rsidRDefault="00D122E6" w:rsidP="00800E46">
      <w:pPr>
        <w:spacing w:after="120"/>
        <w:rPr>
          <w:rFonts w:asciiTheme="minorHAnsi" w:hAnsiTheme="minorHAnsi" w:cs="Segoe UI Light"/>
          <w:sz w:val="22"/>
          <w:szCs w:val="22"/>
        </w:rPr>
      </w:pPr>
      <w:r w:rsidRPr="002C5292">
        <w:rPr>
          <w:rFonts w:asciiTheme="minorHAnsi" w:hAnsiTheme="minorHAnsi" w:cs="Segoe UI Light"/>
          <w:sz w:val="22"/>
          <w:szCs w:val="22"/>
        </w:rPr>
        <w:t>Departments and agencies</w:t>
      </w:r>
      <w:r w:rsidR="00873277" w:rsidRPr="002C5292">
        <w:rPr>
          <w:rFonts w:asciiTheme="minorHAnsi" w:hAnsiTheme="minorHAnsi" w:cs="Segoe UI Light"/>
          <w:sz w:val="22"/>
          <w:szCs w:val="22"/>
        </w:rPr>
        <w:t xml:space="preserve"> may identify new provisions in future</w:t>
      </w:r>
      <w:r w:rsidR="006716C7" w:rsidRPr="002C5292">
        <w:rPr>
          <w:rFonts w:asciiTheme="minorHAnsi" w:hAnsiTheme="minorHAnsi" w:cs="Segoe UI Light"/>
          <w:sz w:val="22"/>
          <w:szCs w:val="22"/>
        </w:rPr>
        <w:t xml:space="preserve"> Principal</w:t>
      </w:r>
      <w:r w:rsidR="00873277" w:rsidRPr="002C5292">
        <w:rPr>
          <w:rFonts w:asciiTheme="minorHAnsi" w:hAnsiTheme="minorHAnsi" w:cs="Segoe UI Light"/>
          <w:sz w:val="22"/>
          <w:szCs w:val="22"/>
        </w:rPr>
        <w:t xml:space="preserve"> Acts or amendments to </w:t>
      </w:r>
      <w:r w:rsidR="006716C7" w:rsidRPr="002C5292">
        <w:rPr>
          <w:rFonts w:asciiTheme="minorHAnsi" w:hAnsiTheme="minorHAnsi" w:cs="Segoe UI Light"/>
          <w:sz w:val="22"/>
          <w:szCs w:val="22"/>
        </w:rPr>
        <w:t xml:space="preserve">existing </w:t>
      </w:r>
      <w:r w:rsidR="00873277" w:rsidRPr="002C5292">
        <w:rPr>
          <w:rFonts w:asciiTheme="minorHAnsi" w:hAnsiTheme="minorHAnsi" w:cs="Segoe UI Light"/>
          <w:sz w:val="22"/>
          <w:szCs w:val="22"/>
        </w:rPr>
        <w:t xml:space="preserve">Acts </w:t>
      </w:r>
      <w:r w:rsidR="00EB6BFA" w:rsidRPr="002C5292">
        <w:rPr>
          <w:rFonts w:asciiTheme="minorHAnsi" w:hAnsiTheme="minorHAnsi" w:cs="Segoe UI Light"/>
          <w:sz w:val="22"/>
          <w:szCs w:val="22"/>
        </w:rPr>
        <w:t>that need to be</w:t>
      </w:r>
      <w:r w:rsidR="00873277" w:rsidRPr="002C5292">
        <w:rPr>
          <w:rFonts w:asciiTheme="minorHAnsi" w:hAnsiTheme="minorHAnsi" w:cs="Segoe UI Light"/>
          <w:sz w:val="22"/>
          <w:szCs w:val="22"/>
        </w:rPr>
        <w:t xml:space="preserve"> </w:t>
      </w:r>
      <w:r w:rsidR="006716C7" w:rsidRPr="002C5292">
        <w:rPr>
          <w:rFonts w:asciiTheme="minorHAnsi" w:hAnsiTheme="minorHAnsi" w:cs="Segoe UI Light"/>
          <w:sz w:val="22"/>
          <w:szCs w:val="22"/>
        </w:rPr>
        <w:t>considered for inclusion in the Proposed Regulations</w:t>
      </w:r>
      <w:r w:rsidR="00873277" w:rsidRPr="002C5292">
        <w:rPr>
          <w:rFonts w:asciiTheme="minorHAnsi" w:hAnsiTheme="minorHAnsi" w:cs="Segoe UI Light"/>
          <w:sz w:val="22"/>
          <w:szCs w:val="22"/>
        </w:rPr>
        <w:t xml:space="preserve"> and obsolete provisions </w:t>
      </w:r>
      <w:r w:rsidR="00EB6BFA" w:rsidRPr="002C5292">
        <w:rPr>
          <w:rFonts w:asciiTheme="minorHAnsi" w:hAnsiTheme="minorHAnsi" w:cs="Segoe UI Light"/>
          <w:sz w:val="22"/>
          <w:szCs w:val="22"/>
        </w:rPr>
        <w:t>that need to be</w:t>
      </w:r>
      <w:r w:rsidR="00873277" w:rsidRPr="002C5292">
        <w:rPr>
          <w:rFonts w:asciiTheme="minorHAnsi" w:hAnsiTheme="minorHAnsi" w:cs="Segoe UI Light"/>
          <w:sz w:val="22"/>
          <w:szCs w:val="22"/>
        </w:rPr>
        <w:t xml:space="preserve"> removed</w:t>
      </w:r>
      <w:r w:rsidR="006716C7" w:rsidRPr="002C5292">
        <w:rPr>
          <w:rFonts w:asciiTheme="minorHAnsi" w:hAnsiTheme="minorHAnsi" w:cs="Segoe UI Light"/>
          <w:sz w:val="22"/>
          <w:szCs w:val="22"/>
        </w:rPr>
        <w:t xml:space="preserve"> from the Proposed Regulations</w:t>
      </w:r>
      <w:r w:rsidR="00873277" w:rsidRPr="002C5292">
        <w:rPr>
          <w:rFonts w:asciiTheme="minorHAnsi" w:hAnsiTheme="minorHAnsi" w:cs="Segoe UI Light"/>
          <w:sz w:val="22"/>
          <w:szCs w:val="22"/>
        </w:rPr>
        <w:t xml:space="preserve">. </w:t>
      </w:r>
      <w:r w:rsidR="00EB6BFA" w:rsidRPr="002C5292">
        <w:rPr>
          <w:rFonts w:asciiTheme="minorHAnsi" w:hAnsiTheme="minorHAnsi" w:cs="Segoe UI Light"/>
          <w:sz w:val="22"/>
          <w:szCs w:val="22"/>
        </w:rPr>
        <w:t>Provisions can also be</w:t>
      </w:r>
      <w:r w:rsidR="00873277" w:rsidRPr="002C5292">
        <w:rPr>
          <w:rFonts w:asciiTheme="minorHAnsi" w:hAnsiTheme="minorHAnsi" w:cs="Segoe UI Light"/>
          <w:sz w:val="22"/>
          <w:szCs w:val="22"/>
        </w:rPr>
        <w:t xml:space="preserve"> reassess</w:t>
      </w:r>
      <w:r w:rsidR="00EB6BFA" w:rsidRPr="002C5292">
        <w:rPr>
          <w:rFonts w:asciiTheme="minorHAnsi" w:hAnsiTheme="minorHAnsi" w:cs="Segoe UI Light"/>
          <w:sz w:val="22"/>
          <w:szCs w:val="22"/>
        </w:rPr>
        <w:t>ed</w:t>
      </w:r>
      <w:r w:rsidR="00873277" w:rsidRPr="002C5292">
        <w:rPr>
          <w:rFonts w:asciiTheme="minorHAnsi" w:hAnsiTheme="minorHAnsi" w:cs="Segoe UI Light"/>
          <w:sz w:val="22"/>
          <w:szCs w:val="22"/>
        </w:rPr>
        <w:t xml:space="preserve"> where their nature or use may have </w:t>
      </w:r>
      <w:r w:rsidR="00EB6BFA" w:rsidRPr="002C5292">
        <w:rPr>
          <w:rFonts w:asciiTheme="minorHAnsi" w:hAnsiTheme="minorHAnsi" w:cs="Segoe UI Light"/>
          <w:sz w:val="22"/>
          <w:szCs w:val="22"/>
        </w:rPr>
        <w:t>changed,</w:t>
      </w:r>
      <w:r w:rsidR="00873277" w:rsidRPr="002C5292">
        <w:rPr>
          <w:rFonts w:asciiTheme="minorHAnsi" w:hAnsiTheme="minorHAnsi" w:cs="Segoe UI Light"/>
          <w:sz w:val="22"/>
          <w:szCs w:val="22"/>
        </w:rPr>
        <w:t xml:space="preserve"> and the provision may need to move between the Schedules</w:t>
      </w:r>
      <w:r w:rsidR="00EB6BFA" w:rsidRPr="002C5292">
        <w:rPr>
          <w:rFonts w:asciiTheme="minorHAnsi" w:hAnsiTheme="minorHAnsi" w:cs="Segoe UI Light"/>
          <w:sz w:val="22"/>
          <w:szCs w:val="22"/>
        </w:rPr>
        <w:t>.</w:t>
      </w:r>
    </w:p>
    <w:p w14:paraId="4A73547E" w14:textId="4E5BECAC" w:rsidR="00201060" w:rsidRPr="002C5292" w:rsidRDefault="00201060" w:rsidP="00201060">
      <w:pPr>
        <w:spacing w:after="120"/>
        <w:rPr>
          <w:rFonts w:asciiTheme="minorHAnsi" w:hAnsiTheme="minorHAnsi" w:cs="Segoe UI Light"/>
          <w:sz w:val="22"/>
          <w:szCs w:val="22"/>
        </w:rPr>
      </w:pPr>
      <w:r w:rsidRPr="002C5292">
        <w:rPr>
          <w:rFonts w:asciiTheme="minorHAnsi" w:hAnsiTheme="minorHAnsi" w:cs="Segoe UI Light"/>
          <w:sz w:val="22"/>
          <w:szCs w:val="22"/>
        </w:rPr>
        <w:t xml:space="preserve">DPC </w:t>
      </w:r>
      <w:r w:rsidR="006716C7" w:rsidRPr="002C5292">
        <w:rPr>
          <w:rFonts w:asciiTheme="minorHAnsi" w:hAnsiTheme="minorHAnsi" w:cs="Segoe UI Light"/>
          <w:sz w:val="22"/>
          <w:szCs w:val="22"/>
        </w:rPr>
        <w:t>will</w:t>
      </w:r>
      <w:r w:rsidRPr="002C5292">
        <w:rPr>
          <w:rFonts w:asciiTheme="minorHAnsi" w:hAnsiTheme="minorHAnsi" w:cs="Segoe UI Light"/>
          <w:sz w:val="22"/>
          <w:szCs w:val="22"/>
        </w:rPr>
        <w:t xml:space="preserve"> work with </w:t>
      </w:r>
      <w:r w:rsidR="006716C7" w:rsidRPr="002C5292">
        <w:rPr>
          <w:rFonts w:asciiTheme="minorHAnsi" w:hAnsiTheme="minorHAnsi" w:cs="Segoe UI Light"/>
          <w:sz w:val="22"/>
          <w:szCs w:val="22"/>
        </w:rPr>
        <w:t xml:space="preserve">the office of the Chief </w:t>
      </w:r>
      <w:r w:rsidRPr="002C5292">
        <w:rPr>
          <w:rFonts w:asciiTheme="minorHAnsi" w:hAnsiTheme="minorHAnsi" w:cs="Segoe UI Light"/>
          <w:sz w:val="22"/>
          <w:szCs w:val="22"/>
        </w:rPr>
        <w:t>Parliamentary Counsel to assess changes requested from departments and agencies.</w:t>
      </w:r>
    </w:p>
    <w:p w14:paraId="0B2AE8D5" w14:textId="6E0EF5FF" w:rsidR="00873277" w:rsidRPr="002C5292" w:rsidRDefault="00873277" w:rsidP="00800E46">
      <w:pPr>
        <w:spacing w:after="120"/>
        <w:rPr>
          <w:rFonts w:asciiTheme="minorHAnsi" w:hAnsiTheme="minorHAnsi" w:cs="Segoe UI Light"/>
          <w:sz w:val="22"/>
          <w:szCs w:val="22"/>
        </w:rPr>
      </w:pPr>
      <w:r w:rsidRPr="002C5292">
        <w:rPr>
          <w:rFonts w:asciiTheme="minorHAnsi" w:hAnsiTheme="minorHAnsi" w:cs="Segoe UI Light"/>
          <w:sz w:val="22"/>
          <w:szCs w:val="22"/>
        </w:rPr>
        <w:t xml:space="preserve">As part of </w:t>
      </w:r>
      <w:r w:rsidR="0027105E" w:rsidRPr="002C5292">
        <w:rPr>
          <w:rFonts w:asciiTheme="minorHAnsi" w:hAnsiTheme="minorHAnsi" w:cs="Segoe UI Light"/>
          <w:sz w:val="22"/>
          <w:szCs w:val="22"/>
        </w:rPr>
        <w:t>this ongoing monitoring</w:t>
      </w:r>
      <w:r w:rsidRPr="002C5292">
        <w:rPr>
          <w:rFonts w:asciiTheme="minorHAnsi" w:hAnsiTheme="minorHAnsi" w:cs="Segoe UI Light"/>
          <w:sz w:val="22"/>
          <w:szCs w:val="22"/>
        </w:rPr>
        <w:t>, the Proposed Regulations may need to be amended on an ad-hoc basis</w:t>
      </w:r>
      <w:r w:rsidR="003318EC" w:rsidRPr="002C5292">
        <w:rPr>
          <w:rFonts w:asciiTheme="minorHAnsi" w:hAnsiTheme="minorHAnsi" w:cs="Segoe UI Light"/>
          <w:sz w:val="22"/>
          <w:szCs w:val="22"/>
        </w:rPr>
        <w:t xml:space="preserve">, usually due to </w:t>
      </w:r>
      <w:r w:rsidR="0027105E" w:rsidRPr="002C5292">
        <w:rPr>
          <w:rFonts w:asciiTheme="minorHAnsi" w:hAnsiTheme="minorHAnsi" w:cs="Segoe UI Light"/>
          <w:sz w:val="22"/>
          <w:szCs w:val="22"/>
        </w:rPr>
        <w:t>some</w:t>
      </w:r>
      <w:r w:rsidR="00EB6BFA" w:rsidRPr="002C5292">
        <w:rPr>
          <w:rFonts w:asciiTheme="minorHAnsi" w:hAnsiTheme="minorHAnsi" w:cs="Segoe UI Light"/>
          <w:sz w:val="22"/>
          <w:szCs w:val="22"/>
        </w:rPr>
        <w:t xml:space="preserve"> specific urgency. </w:t>
      </w:r>
      <w:r w:rsidR="00D122E6" w:rsidRPr="002C5292">
        <w:rPr>
          <w:rFonts w:asciiTheme="minorHAnsi" w:hAnsiTheme="minorHAnsi" w:cs="Segoe UI Light"/>
          <w:sz w:val="22"/>
          <w:szCs w:val="22"/>
        </w:rPr>
        <w:t>Departments and agencies</w:t>
      </w:r>
      <w:r w:rsidR="00EB6BFA" w:rsidRPr="002C5292">
        <w:rPr>
          <w:rFonts w:asciiTheme="minorHAnsi" w:hAnsiTheme="minorHAnsi" w:cs="Segoe UI Light"/>
          <w:sz w:val="22"/>
          <w:szCs w:val="22"/>
        </w:rPr>
        <w:t xml:space="preserve"> can provide the reasons for </w:t>
      </w:r>
      <w:r w:rsidR="0027105E" w:rsidRPr="002C5292">
        <w:rPr>
          <w:rFonts w:asciiTheme="minorHAnsi" w:hAnsiTheme="minorHAnsi" w:cs="Segoe UI Light"/>
          <w:sz w:val="22"/>
          <w:szCs w:val="22"/>
        </w:rPr>
        <w:t xml:space="preserve">such </w:t>
      </w:r>
      <w:r w:rsidR="00EB6BFA" w:rsidRPr="002C5292">
        <w:rPr>
          <w:rFonts w:asciiTheme="minorHAnsi" w:hAnsiTheme="minorHAnsi" w:cs="Segoe UI Light"/>
          <w:sz w:val="22"/>
          <w:szCs w:val="22"/>
        </w:rPr>
        <w:t>urgency</w:t>
      </w:r>
      <w:r w:rsidR="0027105E" w:rsidRPr="002C5292">
        <w:rPr>
          <w:rFonts w:asciiTheme="minorHAnsi" w:hAnsiTheme="minorHAnsi" w:cs="Segoe UI Light"/>
          <w:sz w:val="22"/>
          <w:szCs w:val="22"/>
        </w:rPr>
        <w:t xml:space="preserve">. </w:t>
      </w:r>
      <w:r w:rsidR="00EB6BFA" w:rsidRPr="002C5292">
        <w:rPr>
          <w:rFonts w:asciiTheme="minorHAnsi" w:hAnsiTheme="minorHAnsi" w:cs="Segoe UI Light"/>
          <w:sz w:val="22"/>
          <w:szCs w:val="22"/>
        </w:rPr>
        <w:t>DPC will consider the request and</w:t>
      </w:r>
      <w:r w:rsidR="0027105E" w:rsidRPr="002C5292">
        <w:rPr>
          <w:rFonts w:asciiTheme="minorHAnsi" w:hAnsiTheme="minorHAnsi" w:cs="Segoe UI Light"/>
          <w:sz w:val="22"/>
          <w:szCs w:val="22"/>
        </w:rPr>
        <w:t>,</w:t>
      </w:r>
      <w:r w:rsidR="00EB6BFA" w:rsidRPr="002C5292">
        <w:rPr>
          <w:rFonts w:asciiTheme="minorHAnsi" w:hAnsiTheme="minorHAnsi" w:cs="Segoe UI Light"/>
          <w:sz w:val="22"/>
          <w:szCs w:val="22"/>
        </w:rPr>
        <w:t xml:space="preserve"> if the required</w:t>
      </w:r>
      <w:r w:rsidR="0027105E" w:rsidRPr="002C5292">
        <w:rPr>
          <w:rFonts w:asciiTheme="minorHAnsi" w:hAnsiTheme="minorHAnsi" w:cs="Segoe UI Light"/>
          <w:sz w:val="22"/>
          <w:szCs w:val="22"/>
        </w:rPr>
        <w:t>,</w:t>
      </w:r>
      <w:r w:rsidR="00EB6BFA" w:rsidRPr="002C5292">
        <w:rPr>
          <w:rFonts w:asciiTheme="minorHAnsi" w:hAnsiTheme="minorHAnsi" w:cs="Segoe UI Light"/>
          <w:sz w:val="22"/>
          <w:szCs w:val="22"/>
        </w:rPr>
        <w:t xml:space="preserve"> the Proposed Regulations can be amended outside of the annual cycle. </w:t>
      </w:r>
    </w:p>
    <w:p w14:paraId="589EDFAC" w14:textId="77777777" w:rsidR="00C13F92" w:rsidRPr="002C5292" w:rsidRDefault="00873277">
      <w:pPr>
        <w:rPr>
          <w:rFonts w:asciiTheme="minorHAnsi" w:hAnsiTheme="minorHAnsi" w:cs="Segoe UI Light"/>
          <w:sz w:val="22"/>
          <w:szCs w:val="22"/>
        </w:rPr>
      </w:pPr>
      <w:r w:rsidRPr="002C5292">
        <w:rPr>
          <w:rFonts w:asciiTheme="minorHAnsi" w:hAnsiTheme="minorHAnsi" w:cs="Segoe UI Light"/>
          <w:sz w:val="22"/>
          <w:szCs w:val="22"/>
        </w:rPr>
        <w:t xml:space="preserve">DPC maintains a public facing website available at </w:t>
      </w:r>
      <w:hyperlink r:id="rId16" w:history="1">
        <w:r w:rsidRPr="002C5292">
          <w:rPr>
            <w:rStyle w:val="Hyperlink"/>
            <w:rFonts w:asciiTheme="minorHAnsi" w:hAnsiTheme="minorHAnsi" w:cs="Segoe UI Light"/>
            <w:sz w:val="22"/>
            <w:szCs w:val="22"/>
          </w:rPr>
          <w:t>www.vic.gov.au/requirements-updating-subordinate-legislation-legislative</w:t>
        </w:r>
      </w:hyperlink>
      <w:r w:rsidRPr="002C5292">
        <w:rPr>
          <w:rFonts w:asciiTheme="minorHAnsi" w:hAnsiTheme="minorHAnsi" w:cs="Segoe UI Light"/>
          <w:sz w:val="22"/>
          <w:szCs w:val="22"/>
        </w:rPr>
        <w:t xml:space="preserve"> instruments-regulations. This website contains the SLA Guidelines and training material </w:t>
      </w:r>
      <w:r w:rsidR="00EB6BFA" w:rsidRPr="002C5292">
        <w:rPr>
          <w:rFonts w:asciiTheme="minorHAnsi" w:hAnsiTheme="minorHAnsi" w:cs="Segoe UI Light"/>
          <w:sz w:val="22"/>
          <w:szCs w:val="22"/>
        </w:rPr>
        <w:t xml:space="preserve">on the SLA Guidelines and the operation of </w:t>
      </w:r>
      <w:r w:rsidR="006716C7" w:rsidRPr="002C5292">
        <w:rPr>
          <w:rFonts w:asciiTheme="minorHAnsi" w:hAnsiTheme="minorHAnsi" w:cs="Segoe UI Light"/>
          <w:sz w:val="22"/>
          <w:szCs w:val="22"/>
        </w:rPr>
        <w:t xml:space="preserve">the </w:t>
      </w:r>
      <w:r w:rsidR="00EB6BFA" w:rsidRPr="002C5292">
        <w:rPr>
          <w:rFonts w:asciiTheme="minorHAnsi" w:hAnsiTheme="minorHAnsi" w:cs="Segoe UI Light"/>
          <w:sz w:val="22"/>
          <w:szCs w:val="22"/>
        </w:rPr>
        <w:t xml:space="preserve">SLA. The </w:t>
      </w:r>
      <w:r w:rsidRPr="002C5292">
        <w:rPr>
          <w:rFonts w:asciiTheme="minorHAnsi" w:hAnsiTheme="minorHAnsi" w:cs="Segoe UI Light"/>
          <w:sz w:val="22"/>
          <w:szCs w:val="22"/>
        </w:rPr>
        <w:t xml:space="preserve">process for departments to seek to amend the </w:t>
      </w:r>
      <w:r w:rsidR="006716C7" w:rsidRPr="002C5292">
        <w:rPr>
          <w:rFonts w:asciiTheme="minorHAnsi" w:hAnsiTheme="minorHAnsi" w:cs="Segoe UI Light"/>
          <w:sz w:val="22"/>
          <w:szCs w:val="22"/>
        </w:rPr>
        <w:t xml:space="preserve">Proposed </w:t>
      </w:r>
      <w:r w:rsidRPr="002C5292">
        <w:rPr>
          <w:rFonts w:asciiTheme="minorHAnsi" w:hAnsiTheme="minorHAnsi" w:cs="Segoe UI Light"/>
          <w:sz w:val="22"/>
          <w:szCs w:val="22"/>
        </w:rPr>
        <w:t xml:space="preserve">Regulations, </w:t>
      </w:r>
      <w:r w:rsidR="00EB6BFA" w:rsidRPr="002C5292">
        <w:rPr>
          <w:rFonts w:asciiTheme="minorHAnsi" w:hAnsiTheme="minorHAnsi" w:cs="Segoe UI Light"/>
          <w:sz w:val="22"/>
          <w:szCs w:val="22"/>
        </w:rPr>
        <w:t xml:space="preserve">is also detailed </w:t>
      </w:r>
      <w:r w:rsidRPr="002C5292">
        <w:rPr>
          <w:rFonts w:asciiTheme="minorHAnsi" w:hAnsiTheme="minorHAnsi" w:cs="Segoe UI Light"/>
          <w:sz w:val="22"/>
          <w:szCs w:val="22"/>
        </w:rPr>
        <w:t>with a dedicated</w:t>
      </w:r>
      <w:r w:rsidR="00EB6BFA" w:rsidRPr="002C5292">
        <w:rPr>
          <w:rFonts w:asciiTheme="minorHAnsi" w:hAnsiTheme="minorHAnsi" w:cs="Segoe UI Light"/>
          <w:sz w:val="22"/>
          <w:szCs w:val="22"/>
        </w:rPr>
        <w:t xml:space="preserve"> DPC</w:t>
      </w:r>
      <w:r w:rsidRPr="002C5292">
        <w:rPr>
          <w:rFonts w:asciiTheme="minorHAnsi" w:hAnsiTheme="minorHAnsi" w:cs="Segoe UI Light"/>
          <w:sz w:val="22"/>
          <w:szCs w:val="22"/>
        </w:rPr>
        <w:t xml:space="preserve"> email address for departmental queries.   </w:t>
      </w:r>
    </w:p>
    <w:p w14:paraId="09F6D439" w14:textId="61F7C0EB" w:rsidR="001D2767" w:rsidRPr="002C5292" w:rsidRDefault="001D2767">
      <w:pPr>
        <w:rPr>
          <w:rFonts w:asciiTheme="minorHAnsi" w:hAnsiTheme="minorHAnsi" w:cs="Segoe UI Light"/>
          <w:sz w:val="22"/>
          <w:szCs w:val="22"/>
        </w:rPr>
      </w:pPr>
    </w:p>
    <w:p w14:paraId="48395346" w14:textId="537C1ECF" w:rsidR="00920E29" w:rsidRPr="002C5292" w:rsidRDefault="00920E29" w:rsidP="00920E29">
      <w:pPr>
        <w:pStyle w:val="Heading1"/>
        <w:ind w:left="794" w:hanging="794"/>
        <w:rPr>
          <w:rFonts w:asciiTheme="minorHAnsi" w:hAnsiTheme="minorHAnsi"/>
        </w:rPr>
      </w:pPr>
      <w:bookmarkStart w:id="98" w:name="_Toc70082389"/>
      <w:r w:rsidRPr="002C5292">
        <w:rPr>
          <w:lang w:eastAsia="en-AU"/>
        </w:rPr>
        <w:t>6.</w:t>
      </w:r>
      <w:r w:rsidR="00B16DB8" w:rsidRPr="002C5292">
        <w:rPr>
          <w:lang w:eastAsia="en-AU"/>
        </w:rPr>
        <w:t xml:space="preserve"> </w:t>
      </w:r>
      <w:bookmarkStart w:id="99" w:name="_Toc42159452"/>
      <w:bookmarkStart w:id="100" w:name="_Toc43146918"/>
      <w:bookmarkStart w:id="101" w:name="_Toc59612291"/>
      <w:r w:rsidRPr="002C5292">
        <w:rPr>
          <w:rFonts w:asciiTheme="minorHAnsi" w:hAnsiTheme="minorHAnsi"/>
        </w:rPr>
        <w:t>Evaluation strategy</w:t>
      </w:r>
      <w:bookmarkEnd w:id="99"/>
      <w:bookmarkEnd w:id="100"/>
      <w:bookmarkEnd w:id="101"/>
      <w:bookmarkEnd w:id="98"/>
    </w:p>
    <w:p w14:paraId="5A3C860F" w14:textId="77777777" w:rsidR="00920E29" w:rsidRPr="002C5292" w:rsidRDefault="00920E29" w:rsidP="00920E29">
      <w:pPr>
        <w:pStyle w:val="Heading2"/>
      </w:pPr>
      <w:bookmarkStart w:id="102" w:name="_Toc70082390"/>
      <w:r w:rsidRPr="002C5292">
        <w:t>Purpose</w:t>
      </w:r>
      <w:bookmarkEnd w:id="102"/>
    </w:p>
    <w:p w14:paraId="5EEFE149" w14:textId="20B5411D" w:rsidR="00920E29" w:rsidRPr="002C5292" w:rsidRDefault="00920E29" w:rsidP="00920E29">
      <w:pPr>
        <w:spacing w:after="120"/>
        <w:rPr>
          <w:rFonts w:asciiTheme="minorHAnsi" w:hAnsiTheme="minorHAnsi" w:cs="Segoe UI Light"/>
          <w:sz w:val="22"/>
          <w:szCs w:val="22"/>
        </w:rPr>
      </w:pPr>
      <w:r w:rsidRPr="002C5292">
        <w:rPr>
          <w:rFonts w:asciiTheme="minorHAnsi" w:hAnsiTheme="minorHAnsi" w:cs="Segoe UI Light"/>
          <w:sz w:val="22"/>
          <w:szCs w:val="22"/>
        </w:rPr>
        <w:t>This evaluation strategy has been developed to evaluate the effectiveness and efficiency of the preferred option</w:t>
      </w:r>
      <w:r w:rsidR="007D3402" w:rsidRPr="002C5292">
        <w:rPr>
          <w:rFonts w:asciiTheme="minorHAnsi" w:hAnsiTheme="minorHAnsi" w:cs="Segoe UI Light"/>
          <w:sz w:val="22"/>
          <w:szCs w:val="22"/>
        </w:rPr>
        <w:t xml:space="preserve"> (Option 1)</w:t>
      </w:r>
      <w:r w:rsidRPr="002C5292">
        <w:rPr>
          <w:rFonts w:asciiTheme="minorHAnsi" w:hAnsiTheme="minorHAnsi" w:cs="Segoe UI Light"/>
          <w:sz w:val="22"/>
          <w:szCs w:val="22"/>
        </w:rPr>
        <w:t>.</w:t>
      </w:r>
    </w:p>
    <w:p w14:paraId="33A2A6AE" w14:textId="249CD440" w:rsidR="00920E29" w:rsidRPr="002C5292" w:rsidRDefault="00920E29" w:rsidP="00920E29">
      <w:pPr>
        <w:pStyle w:val="BodyText"/>
        <w:rPr>
          <w:rFonts w:asciiTheme="minorHAnsi" w:hAnsiTheme="minorHAnsi" w:cs="Segoe UI Light"/>
          <w:sz w:val="22"/>
          <w:szCs w:val="22"/>
        </w:rPr>
      </w:pPr>
      <w:r w:rsidRPr="002C5292">
        <w:rPr>
          <w:rFonts w:asciiTheme="minorHAnsi" w:eastAsia="Times New Roman" w:hAnsiTheme="minorHAnsi" w:cs="Segoe UI Light"/>
          <w:sz w:val="22"/>
          <w:szCs w:val="22"/>
          <w:lang w:val="en-AU"/>
        </w:rPr>
        <w:t xml:space="preserve">Evaluation </w:t>
      </w:r>
      <w:bookmarkStart w:id="103" w:name="start"/>
      <w:bookmarkEnd w:id="103"/>
      <w:r w:rsidRPr="002C5292">
        <w:rPr>
          <w:rFonts w:asciiTheme="minorHAnsi" w:eastAsia="Times New Roman" w:hAnsiTheme="minorHAnsi" w:cs="Segoe UI Light"/>
          <w:sz w:val="22"/>
          <w:szCs w:val="22"/>
          <w:lang w:val="en-AU"/>
        </w:rPr>
        <w:t xml:space="preserve">is critical to measuring, and supporting, the success of regulations. </w:t>
      </w:r>
      <w:r w:rsidRPr="002C5292">
        <w:rPr>
          <w:rFonts w:asciiTheme="minorHAnsi" w:hAnsiTheme="minorHAnsi" w:cs="Segoe UI Light"/>
          <w:sz w:val="22"/>
          <w:szCs w:val="22"/>
        </w:rPr>
        <w:t xml:space="preserve">As per the </w:t>
      </w:r>
      <w:r w:rsidRPr="002C5292">
        <w:rPr>
          <w:rFonts w:asciiTheme="minorHAnsi" w:hAnsiTheme="minorHAnsi" w:cs="Segoe UI Light"/>
          <w:i/>
          <w:sz w:val="22"/>
          <w:szCs w:val="22"/>
        </w:rPr>
        <w:t>Victorian Guide to Regulation</w:t>
      </w:r>
      <w:r w:rsidRPr="002C5292">
        <w:rPr>
          <w:rFonts w:asciiTheme="minorHAnsi" w:hAnsiTheme="minorHAnsi" w:cs="Segoe UI Light"/>
          <w:sz w:val="22"/>
          <w:szCs w:val="22"/>
          <w:vertAlign w:val="superscript"/>
        </w:rPr>
        <w:footnoteReference w:id="35"/>
      </w:r>
      <w:r w:rsidRPr="002C5292">
        <w:rPr>
          <w:rFonts w:asciiTheme="minorHAnsi" w:hAnsiTheme="minorHAnsi" w:cs="Segoe UI Light"/>
          <w:sz w:val="22"/>
          <w:szCs w:val="22"/>
        </w:rPr>
        <w:t xml:space="preserve"> the key elements of the evaluation strategy are as follows: </w:t>
      </w:r>
    </w:p>
    <w:p w14:paraId="01E1300A" w14:textId="77777777" w:rsidR="00920E29" w:rsidRPr="002C5292" w:rsidRDefault="00920E29" w:rsidP="00920E29">
      <w:pPr>
        <w:numPr>
          <w:ilvl w:val="0"/>
          <w:numId w:val="48"/>
        </w:numPr>
        <w:spacing w:line="240" w:lineRule="atLeast"/>
        <w:ind w:left="360"/>
        <w:contextualSpacing/>
        <w:textboxTightWrap w:val="allLines"/>
        <w:rPr>
          <w:rFonts w:asciiTheme="minorHAnsi" w:hAnsiTheme="minorHAnsi" w:cs="Segoe UI Light"/>
          <w:sz w:val="22"/>
          <w:szCs w:val="22"/>
        </w:rPr>
      </w:pPr>
      <w:r w:rsidRPr="002C5292">
        <w:rPr>
          <w:rFonts w:asciiTheme="minorHAnsi" w:hAnsiTheme="minorHAnsi" w:cs="Segoe UI Light"/>
          <w:sz w:val="22"/>
          <w:szCs w:val="22"/>
        </w:rPr>
        <w:t>What will be evaluated?</w:t>
      </w:r>
    </w:p>
    <w:p w14:paraId="36FCA668" w14:textId="77777777" w:rsidR="00920E29" w:rsidRPr="002C5292" w:rsidRDefault="00920E29" w:rsidP="00920E29">
      <w:pPr>
        <w:numPr>
          <w:ilvl w:val="0"/>
          <w:numId w:val="48"/>
        </w:numPr>
        <w:spacing w:line="240" w:lineRule="atLeast"/>
        <w:ind w:left="360"/>
        <w:contextualSpacing/>
        <w:textboxTightWrap w:val="allLines"/>
        <w:rPr>
          <w:rFonts w:asciiTheme="minorHAnsi" w:hAnsiTheme="minorHAnsi" w:cs="Segoe UI Light"/>
          <w:sz w:val="22"/>
          <w:szCs w:val="22"/>
        </w:rPr>
      </w:pPr>
      <w:r w:rsidRPr="002C5292">
        <w:rPr>
          <w:rFonts w:asciiTheme="minorHAnsi" w:hAnsiTheme="minorHAnsi" w:cs="Segoe UI Light"/>
          <w:sz w:val="22"/>
          <w:szCs w:val="22"/>
        </w:rPr>
        <w:t>How it will be done?</w:t>
      </w:r>
    </w:p>
    <w:p w14:paraId="1588B529" w14:textId="77777777" w:rsidR="00920E29" w:rsidRPr="002C5292" w:rsidRDefault="00920E29" w:rsidP="00920E29">
      <w:pPr>
        <w:numPr>
          <w:ilvl w:val="0"/>
          <w:numId w:val="48"/>
        </w:numPr>
        <w:spacing w:line="240" w:lineRule="atLeast"/>
        <w:ind w:left="360"/>
        <w:contextualSpacing/>
        <w:textboxTightWrap w:val="allLines"/>
        <w:rPr>
          <w:rFonts w:asciiTheme="minorHAnsi" w:hAnsiTheme="minorHAnsi" w:cs="Segoe UI Light"/>
          <w:sz w:val="22"/>
          <w:szCs w:val="22"/>
        </w:rPr>
      </w:pPr>
      <w:r w:rsidRPr="002C5292">
        <w:rPr>
          <w:rFonts w:asciiTheme="minorHAnsi" w:hAnsiTheme="minorHAnsi" w:cs="Segoe UI Light"/>
          <w:sz w:val="22"/>
          <w:szCs w:val="22"/>
        </w:rPr>
        <w:t>Who will do it?</w:t>
      </w:r>
    </w:p>
    <w:p w14:paraId="389A940D" w14:textId="77777777" w:rsidR="00920E29" w:rsidRPr="002C5292" w:rsidRDefault="00920E29" w:rsidP="00920E29">
      <w:pPr>
        <w:numPr>
          <w:ilvl w:val="0"/>
          <w:numId w:val="48"/>
        </w:numPr>
        <w:spacing w:after="120" w:line="240" w:lineRule="atLeast"/>
        <w:ind w:left="360"/>
        <w:contextualSpacing/>
        <w:textboxTightWrap w:val="allLines"/>
        <w:rPr>
          <w:rFonts w:asciiTheme="minorHAnsi" w:hAnsiTheme="minorHAnsi" w:cs="Segoe UI Light"/>
          <w:sz w:val="22"/>
          <w:szCs w:val="22"/>
        </w:rPr>
      </w:pPr>
      <w:r w:rsidRPr="002C5292">
        <w:rPr>
          <w:rFonts w:asciiTheme="minorHAnsi" w:hAnsiTheme="minorHAnsi" w:cs="Segoe UI Light"/>
          <w:sz w:val="22"/>
          <w:szCs w:val="22"/>
        </w:rPr>
        <w:t>When it will be done?</w:t>
      </w:r>
    </w:p>
    <w:p w14:paraId="1D2E8C5E" w14:textId="39291EE1" w:rsidR="00920E29" w:rsidRPr="002C5292" w:rsidRDefault="00315169" w:rsidP="00920E29">
      <w:pPr>
        <w:pStyle w:val="Heading2"/>
      </w:pPr>
      <w:bookmarkStart w:id="104" w:name="_Toc70082391"/>
      <w:r w:rsidRPr="002C5292">
        <w:t>E</w:t>
      </w:r>
      <w:r w:rsidR="00920E29" w:rsidRPr="002C5292">
        <w:t>valuat</w:t>
      </w:r>
      <w:r w:rsidRPr="002C5292">
        <w:t>ion Scope</w:t>
      </w:r>
      <w:bookmarkEnd w:id="104"/>
    </w:p>
    <w:p w14:paraId="4CF59C0E" w14:textId="2FB7D774" w:rsidR="00095532" w:rsidRPr="002C5292" w:rsidRDefault="00920E29" w:rsidP="00F82ACC">
      <w:pPr>
        <w:spacing w:after="120"/>
        <w:rPr>
          <w:rFonts w:cs="Segoe UI Light"/>
        </w:rPr>
      </w:pPr>
      <w:r w:rsidRPr="002C5292">
        <w:rPr>
          <w:rFonts w:asciiTheme="minorHAnsi" w:hAnsiTheme="minorHAnsi" w:cs="Segoe UI Light"/>
          <w:sz w:val="22"/>
          <w:szCs w:val="22"/>
        </w:rPr>
        <w:t xml:space="preserve">The evaluation will measure whether the preferred option meets its objectives and achieves their desired outcomes. </w:t>
      </w:r>
    </w:p>
    <w:p w14:paraId="51FBEF74" w14:textId="1E443F4A" w:rsidR="00F36398" w:rsidRPr="002C5292" w:rsidRDefault="00095532" w:rsidP="00F82ACC">
      <w:pPr>
        <w:spacing w:after="120"/>
        <w:rPr>
          <w:rFonts w:asciiTheme="minorHAnsi" w:hAnsiTheme="minorHAnsi" w:cs="Segoe UI Light"/>
          <w:sz w:val="22"/>
          <w:szCs w:val="22"/>
        </w:rPr>
      </w:pPr>
      <w:r w:rsidRPr="002C5292">
        <w:rPr>
          <w:rFonts w:asciiTheme="minorHAnsi" w:hAnsiTheme="minorHAnsi" w:cs="Segoe UI Light"/>
          <w:sz w:val="22"/>
          <w:szCs w:val="22"/>
        </w:rPr>
        <w:t xml:space="preserve">The Proposed Regulations will sunset in 10 years, as per the requirements of the SLA. </w:t>
      </w:r>
      <w:r w:rsidR="00F36398" w:rsidRPr="002C5292">
        <w:rPr>
          <w:rFonts w:asciiTheme="minorHAnsi" w:hAnsiTheme="minorHAnsi" w:cs="Segoe UI Light"/>
          <w:sz w:val="22"/>
          <w:szCs w:val="22"/>
        </w:rPr>
        <w:t>This provides an opportunity to reassess the stock of existing items in the Regulations, including those that are automatically exempt.</w:t>
      </w:r>
    </w:p>
    <w:p w14:paraId="027E0064" w14:textId="77A2F10C" w:rsidR="00315169" w:rsidRPr="002C5292" w:rsidRDefault="00095532" w:rsidP="00F82ACC">
      <w:pPr>
        <w:spacing w:after="120"/>
        <w:rPr>
          <w:rFonts w:asciiTheme="minorHAnsi" w:hAnsiTheme="minorHAnsi" w:cs="Segoe UI Light"/>
        </w:rPr>
      </w:pPr>
      <w:r w:rsidRPr="002C5292">
        <w:rPr>
          <w:rFonts w:asciiTheme="minorHAnsi" w:hAnsiTheme="minorHAnsi" w:cs="Segoe UI Light"/>
          <w:sz w:val="22"/>
          <w:szCs w:val="22"/>
        </w:rPr>
        <w:t>In addition, as a result of ongoing monitoring and evaluation and/or formal reviews, it may become apparent that the Regulations should be amended from time to time, to ensure new provisions in future Acts or amendments are captured appropriately and to remove any obsolete instruments or reassess instruments where their nature or use may have changed.</w:t>
      </w:r>
      <w:r w:rsidR="002C29C3" w:rsidRPr="002C5292">
        <w:rPr>
          <w:rFonts w:asciiTheme="minorHAnsi" w:hAnsiTheme="minorHAnsi" w:cs="Segoe UI Light"/>
          <w:sz w:val="22"/>
          <w:szCs w:val="22"/>
        </w:rPr>
        <w:t xml:space="preserve"> </w:t>
      </w:r>
    </w:p>
    <w:p w14:paraId="1DCBBD3B" w14:textId="24E9956B" w:rsidR="00920E29" w:rsidRPr="002C5292" w:rsidRDefault="002C29C3" w:rsidP="00F82ACC">
      <w:pPr>
        <w:spacing w:after="120"/>
        <w:rPr>
          <w:rFonts w:asciiTheme="minorHAnsi" w:hAnsiTheme="minorHAnsi" w:cs="Segoe UI Light"/>
        </w:rPr>
      </w:pPr>
      <w:r w:rsidRPr="002C5292">
        <w:rPr>
          <w:rFonts w:asciiTheme="minorHAnsi" w:hAnsiTheme="minorHAnsi" w:cs="Segoe UI Light"/>
          <w:sz w:val="22"/>
          <w:szCs w:val="22"/>
        </w:rPr>
        <w:t xml:space="preserve">DPC </w:t>
      </w:r>
      <w:r w:rsidR="003C55FD" w:rsidRPr="002C5292">
        <w:rPr>
          <w:rFonts w:asciiTheme="minorHAnsi" w:hAnsiTheme="minorHAnsi" w:cs="Segoe UI Light"/>
          <w:sz w:val="22"/>
          <w:szCs w:val="22"/>
        </w:rPr>
        <w:t xml:space="preserve">will </w:t>
      </w:r>
      <w:r w:rsidR="00EB6BFA" w:rsidRPr="002C5292">
        <w:rPr>
          <w:rFonts w:asciiTheme="minorHAnsi" w:hAnsiTheme="minorHAnsi" w:cs="Segoe UI Light"/>
          <w:sz w:val="22"/>
          <w:szCs w:val="22"/>
        </w:rPr>
        <w:t xml:space="preserve">generally </w:t>
      </w:r>
      <w:r w:rsidR="003C55FD" w:rsidRPr="002C5292">
        <w:rPr>
          <w:rFonts w:asciiTheme="minorHAnsi" w:hAnsiTheme="minorHAnsi" w:cs="Segoe UI Light"/>
          <w:sz w:val="22"/>
          <w:szCs w:val="22"/>
        </w:rPr>
        <w:t>evaluate</w:t>
      </w:r>
      <w:r w:rsidRPr="002C5292">
        <w:rPr>
          <w:rFonts w:asciiTheme="minorHAnsi" w:hAnsiTheme="minorHAnsi" w:cs="Segoe UI Light"/>
          <w:sz w:val="22"/>
          <w:szCs w:val="22"/>
        </w:rPr>
        <w:t xml:space="preserve"> </w:t>
      </w:r>
      <w:r w:rsidR="00F36398" w:rsidRPr="002C5292">
        <w:rPr>
          <w:rFonts w:asciiTheme="minorHAnsi" w:hAnsiTheme="minorHAnsi" w:cs="Segoe UI Light"/>
          <w:sz w:val="22"/>
          <w:szCs w:val="22"/>
        </w:rPr>
        <w:t>changes to</w:t>
      </w:r>
      <w:r w:rsidRPr="002C5292">
        <w:rPr>
          <w:rFonts w:asciiTheme="minorHAnsi" w:hAnsiTheme="minorHAnsi" w:cs="Segoe UI Light"/>
          <w:sz w:val="22"/>
          <w:szCs w:val="22"/>
        </w:rPr>
        <w:t xml:space="preserve"> the Proposed Regulations annually. DPC will also review and update the SLA Guidelines during the operation of the Proposed Regulations.</w:t>
      </w:r>
    </w:p>
    <w:p w14:paraId="5253DA55" w14:textId="51C01A03" w:rsidR="00315169" w:rsidRPr="002C5292" w:rsidRDefault="00315169" w:rsidP="00315169">
      <w:pPr>
        <w:pStyle w:val="Heading2"/>
      </w:pPr>
      <w:bookmarkStart w:id="105" w:name="_Toc70082392"/>
      <w:r w:rsidRPr="002C5292">
        <w:t xml:space="preserve">Updates to </w:t>
      </w:r>
      <w:r w:rsidR="00015E0B" w:rsidRPr="002C5292">
        <w:t xml:space="preserve">the </w:t>
      </w:r>
      <w:r w:rsidRPr="002C5292">
        <w:t>Proposed Regulations</w:t>
      </w:r>
      <w:bookmarkEnd w:id="105"/>
    </w:p>
    <w:p w14:paraId="11DC41F9" w14:textId="325EFDE3" w:rsidR="00315169" w:rsidRPr="002C5292" w:rsidRDefault="00315169" w:rsidP="00F82ACC">
      <w:pPr>
        <w:spacing w:after="120"/>
        <w:rPr>
          <w:rFonts w:asciiTheme="minorHAnsi" w:hAnsiTheme="minorHAnsi" w:cs="Segoe UI Light"/>
        </w:rPr>
      </w:pPr>
      <w:r w:rsidRPr="002C5292">
        <w:rPr>
          <w:rFonts w:asciiTheme="minorHAnsi" w:hAnsiTheme="minorHAnsi" w:cs="Segoe UI Light"/>
          <w:sz w:val="22"/>
          <w:szCs w:val="22"/>
        </w:rPr>
        <w:t xml:space="preserve">DPC will work with </w:t>
      </w:r>
      <w:r w:rsidR="006716C7" w:rsidRPr="002C5292">
        <w:rPr>
          <w:rFonts w:asciiTheme="minorHAnsi" w:hAnsiTheme="minorHAnsi" w:cs="Segoe UI Light"/>
          <w:sz w:val="22"/>
          <w:szCs w:val="22"/>
        </w:rPr>
        <w:t xml:space="preserve">the </w:t>
      </w:r>
      <w:r w:rsidR="00413585" w:rsidRPr="002C5292">
        <w:rPr>
          <w:rFonts w:asciiTheme="minorHAnsi" w:hAnsiTheme="minorHAnsi" w:cs="Segoe UI Light"/>
          <w:sz w:val="22"/>
          <w:szCs w:val="22"/>
        </w:rPr>
        <w:t>O</w:t>
      </w:r>
      <w:r w:rsidR="006716C7" w:rsidRPr="002C5292">
        <w:rPr>
          <w:rFonts w:asciiTheme="minorHAnsi" w:hAnsiTheme="minorHAnsi" w:cs="Segoe UI Light"/>
          <w:sz w:val="22"/>
          <w:szCs w:val="22"/>
        </w:rPr>
        <w:t xml:space="preserve">ffice of the Chief </w:t>
      </w:r>
      <w:r w:rsidRPr="002C5292">
        <w:rPr>
          <w:rFonts w:asciiTheme="minorHAnsi" w:hAnsiTheme="minorHAnsi" w:cs="Segoe UI Light"/>
          <w:sz w:val="22"/>
          <w:szCs w:val="22"/>
        </w:rPr>
        <w:t>Parliamentary Counsel to assess change</w:t>
      </w:r>
      <w:r w:rsidR="00F71E0D" w:rsidRPr="002C5292">
        <w:rPr>
          <w:rFonts w:asciiTheme="minorHAnsi" w:hAnsiTheme="minorHAnsi" w:cs="Segoe UI Light"/>
          <w:sz w:val="22"/>
          <w:szCs w:val="22"/>
        </w:rPr>
        <w:t>s</w:t>
      </w:r>
      <w:r w:rsidRPr="002C5292">
        <w:rPr>
          <w:rFonts w:asciiTheme="minorHAnsi" w:hAnsiTheme="minorHAnsi" w:cs="Segoe UI Light"/>
          <w:sz w:val="22"/>
          <w:szCs w:val="22"/>
        </w:rPr>
        <w:t xml:space="preserve"> request</w:t>
      </w:r>
      <w:r w:rsidR="00F71E0D" w:rsidRPr="002C5292">
        <w:rPr>
          <w:rFonts w:asciiTheme="minorHAnsi" w:hAnsiTheme="minorHAnsi" w:cs="Segoe UI Light"/>
          <w:sz w:val="22"/>
          <w:szCs w:val="22"/>
        </w:rPr>
        <w:t>ed</w:t>
      </w:r>
      <w:r w:rsidRPr="002C5292">
        <w:rPr>
          <w:rFonts w:asciiTheme="minorHAnsi" w:hAnsiTheme="minorHAnsi" w:cs="Segoe UI Light"/>
          <w:sz w:val="22"/>
          <w:szCs w:val="22"/>
        </w:rPr>
        <w:t xml:space="preserve"> to the Proposed Regulations</w:t>
      </w:r>
      <w:r w:rsidR="001313D1" w:rsidRPr="002C5292">
        <w:rPr>
          <w:rFonts w:asciiTheme="minorHAnsi" w:hAnsiTheme="minorHAnsi" w:cs="Segoe UI Light"/>
          <w:sz w:val="22"/>
          <w:szCs w:val="22"/>
        </w:rPr>
        <w:t xml:space="preserve"> from departments and agencies</w:t>
      </w:r>
      <w:r w:rsidRPr="002C5292">
        <w:rPr>
          <w:rFonts w:asciiTheme="minorHAnsi" w:hAnsiTheme="minorHAnsi" w:cs="Segoe UI Light"/>
          <w:sz w:val="22"/>
          <w:szCs w:val="22"/>
        </w:rPr>
        <w:t>. DPC will provide feedback on all requests.</w:t>
      </w:r>
      <w:r w:rsidR="001313D1" w:rsidRPr="002C5292">
        <w:rPr>
          <w:rFonts w:asciiTheme="minorHAnsi" w:hAnsiTheme="minorHAnsi" w:cs="Segoe UI Light"/>
          <w:sz w:val="22"/>
          <w:szCs w:val="22"/>
        </w:rPr>
        <w:t xml:space="preserve"> </w:t>
      </w:r>
      <w:r w:rsidRPr="002C5292">
        <w:rPr>
          <w:rFonts w:asciiTheme="minorHAnsi" w:hAnsiTheme="minorHAnsi" w:cs="Segoe UI Light"/>
          <w:sz w:val="22"/>
          <w:szCs w:val="22"/>
        </w:rPr>
        <w:t xml:space="preserve">DPC will administer the following changes to the </w:t>
      </w:r>
      <w:r w:rsidR="00E27BDF" w:rsidRPr="002C5292">
        <w:rPr>
          <w:rFonts w:asciiTheme="minorHAnsi" w:hAnsiTheme="minorHAnsi" w:cs="Segoe UI Light"/>
          <w:sz w:val="22"/>
          <w:szCs w:val="22"/>
        </w:rPr>
        <w:t xml:space="preserve">Proposed </w:t>
      </w:r>
      <w:r w:rsidRPr="002C5292">
        <w:rPr>
          <w:rFonts w:asciiTheme="minorHAnsi" w:hAnsiTheme="minorHAnsi" w:cs="Segoe UI Light"/>
          <w:sz w:val="22"/>
          <w:szCs w:val="22"/>
        </w:rPr>
        <w:t>Regulations:</w:t>
      </w:r>
    </w:p>
    <w:p w14:paraId="49DBA5F4" w14:textId="5FF0B8D6" w:rsidR="00315169" w:rsidRPr="002C5292" w:rsidRDefault="00315169" w:rsidP="00315169">
      <w:pPr>
        <w:numPr>
          <w:ilvl w:val="0"/>
          <w:numId w:val="89"/>
        </w:numPr>
        <w:spacing w:before="100" w:beforeAutospacing="1" w:after="100" w:afterAutospacing="1"/>
        <w:rPr>
          <w:rFonts w:ascii="Arial" w:hAnsi="Arial" w:cs="Arial"/>
          <w:color w:val="011A3C"/>
          <w:sz w:val="22"/>
          <w:szCs w:val="22"/>
        </w:rPr>
      </w:pPr>
      <w:r w:rsidRPr="002C5292">
        <w:rPr>
          <w:rFonts w:ascii="Arial" w:hAnsi="Arial" w:cs="Arial"/>
          <w:color w:val="011A3C"/>
          <w:sz w:val="22"/>
          <w:szCs w:val="22"/>
        </w:rPr>
        <w:t xml:space="preserve">adding a new instrument </w:t>
      </w:r>
      <w:r w:rsidR="00F76E49" w:rsidRPr="002C5292">
        <w:rPr>
          <w:rFonts w:ascii="Arial" w:hAnsi="Arial" w:cs="Arial"/>
          <w:color w:val="011A3C"/>
          <w:sz w:val="22"/>
          <w:szCs w:val="22"/>
        </w:rPr>
        <w:t xml:space="preserve">made under a </w:t>
      </w:r>
      <w:r w:rsidR="00536F85" w:rsidRPr="002C5292">
        <w:rPr>
          <w:rFonts w:ascii="Arial" w:hAnsi="Arial" w:cs="Arial"/>
          <w:color w:val="011A3C"/>
          <w:sz w:val="22"/>
          <w:szCs w:val="22"/>
        </w:rPr>
        <w:t xml:space="preserve">provision </w:t>
      </w:r>
      <w:r w:rsidRPr="002C5292">
        <w:rPr>
          <w:rFonts w:ascii="Arial" w:hAnsi="Arial" w:cs="Arial"/>
          <w:color w:val="011A3C"/>
          <w:sz w:val="22"/>
          <w:szCs w:val="22"/>
        </w:rPr>
        <w:t>to a schedule</w:t>
      </w:r>
      <w:r w:rsidR="001313D1" w:rsidRPr="002C5292">
        <w:rPr>
          <w:rFonts w:ascii="Arial" w:hAnsi="Arial" w:cs="Arial"/>
          <w:color w:val="011A3C"/>
          <w:sz w:val="22"/>
          <w:szCs w:val="22"/>
        </w:rPr>
        <w:t>;</w:t>
      </w:r>
    </w:p>
    <w:p w14:paraId="0A7A59D6" w14:textId="013EA8E3" w:rsidR="00315169" w:rsidRPr="002C5292" w:rsidRDefault="00315169" w:rsidP="00315169">
      <w:pPr>
        <w:numPr>
          <w:ilvl w:val="0"/>
          <w:numId w:val="89"/>
        </w:numPr>
        <w:spacing w:before="100" w:beforeAutospacing="1" w:after="100" w:afterAutospacing="1"/>
        <w:rPr>
          <w:rFonts w:ascii="Arial" w:hAnsi="Arial" w:cs="Arial"/>
          <w:color w:val="011A3C"/>
          <w:sz w:val="22"/>
          <w:szCs w:val="22"/>
        </w:rPr>
      </w:pPr>
      <w:r w:rsidRPr="002C5292">
        <w:rPr>
          <w:rFonts w:ascii="Arial" w:hAnsi="Arial" w:cs="Arial"/>
          <w:color w:val="011A3C"/>
          <w:sz w:val="22"/>
          <w:szCs w:val="22"/>
        </w:rPr>
        <w:t>moving an instrument from one schedule to another</w:t>
      </w:r>
      <w:r w:rsidR="001313D1" w:rsidRPr="002C5292">
        <w:rPr>
          <w:rFonts w:ascii="Arial" w:hAnsi="Arial" w:cs="Arial"/>
          <w:color w:val="011A3C"/>
          <w:sz w:val="22"/>
          <w:szCs w:val="22"/>
        </w:rPr>
        <w:t>;</w:t>
      </w:r>
    </w:p>
    <w:p w14:paraId="12D51234" w14:textId="0349480D" w:rsidR="00315169" w:rsidRPr="002C5292" w:rsidRDefault="00315169" w:rsidP="00315169">
      <w:pPr>
        <w:numPr>
          <w:ilvl w:val="0"/>
          <w:numId w:val="89"/>
        </w:numPr>
        <w:spacing w:before="100" w:beforeAutospacing="1" w:after="100" w:afterAutospacing="1"/>
        <w:rPr>
          <w:rFonts w:ascii="Arial" w:hAnsi="Arial" w:cs="Arial"/>
          <w:color w:val="011A3C"/>
          <w:sz w:val="22"/>
          <w:szCs w:val="22"/>
        </w:rPr>
      </w:pPr>
      <w:r w:rsidRPr="002C5292">
        <w:rPr>
          <w:rFonts w:ascii="Arial" w:hAnsi="Arial" w:cs="Arial"/>
          <w:color w:val="011A3C"/>
          <w:sz w:val="22"/>
          <w:szCs w:val="22"/>
        </w:rPr>
        <w:t xml:space="preserve">removing an instrument </w:t>
      </w:r>
      <w:r w:rsidR="00E27BDF" w:rsidRPr="002C5292">
        <w:rPr>
          <w:rFonts w:ascii="Arial" w:hAnsi="Arial" w:cs="Arial"/>
          <w:color w:val="011A3C"/>
          <w:sz w:val="22"/>
          <w:szCs w:val="22"/>
        </w:rPr>
        <w:t xml:space="preserve">provision </w:t>
      </w:r>
      <w:r w:rsidRPr="002C5292">
        <w:rPr>
          <w:rFonts w:ascii="Arial" w:hAnsi="Arial" w:cs="Arial"/>
          <w:color w:val="011A3C"/>
          <w:sz w:val="22"/>
          <w:szCs w:val="22"/>
        </w:rPr>
        <w:t>from a schedule</w:t>
      </w:r>
      <w:r w:rsidR="001313D1" w:rsidRPr="002C5292">
        <w:rPr>
          <w:rFonts w:ascii="Arial" w:hAnsi="Arial" w:cs="Arial"/>
          <w:color w:val="011A3C"/>
          <w:sz w:val="22"/>
          <w:szCs w:val="22"/>
        </w:rPr>
        <w:t>; or</w:t>
      </w:r>
    </w:p>
    <w:p w14:paraId="132815DB" w14:textId="5BE1CD04" w:rsidR="00315169" w:rsidRPr="002C5292" w:rsidRDefault="00315169" w:rsidP="00315169">
      <w:pPr>
        <w:numPr>
          <w:ilvl w:val="0"/>
          <w:numId w:val="89"/>
        </w:numPr>
        <w:spacing w:before="100" w:beforeAutospacing="1" w:after="100" w:afterAutospacing="1"/>
        <w:rPr>
          <w:rFonts w:ascii="Arial" w:hAnsi="Arial" w:cs="Arial"/>
          <w:color w:val="011A3C"/>
          <w:sz w:val="22"/>
          <w:szCs w:val="22"/>
        </w:rPr>
      </w:pPr>
      <w:r w:rsidRPr="002C5292">
        <w:rPr>
          <w:rFonts w:ascii="Arial" w:hAnsi="Arial" w:cs="Arial"/>
          <w:color w:val="011A3C"/>
          <w:sz w:val="22"/>
          <w:szCs w:val="22"/>
        </w:rPr>
        <w:t>amending the description of an instrument in a schedule</w:t>
      </w:r>
      <w:r w:rsidR="001313D1" w:rsidRPr="002C5292">
        <w:rPr>
          <w:rFonts w:ascii="Arial" w:hAnsi="Arial" w:cs="Arial"/>
          <w:color w:val="011A3C"/>
          <w:sz w:val="22"/>
          <w:szCs w:val="22"/>
        </w:rPr>
        <w:t>.</w:t>
      </w:r>
    </w:p>
    <w:p w14:paraId="1F658DBD" w14:textId="77777777" w:rsidR="00C029A5" w:rsidRPr="002C5292" w:rsidRDefault="00C029A5" w:rsidP="00315169">
      <w:pPr>
        <w:pStyle w:val="DPCbody"/>
      </w:pPr>
      <w:r w:rsidRPr="002C5292">
        <w:rPr>
          <w:rFonts w:ascii="Arial" w:hAnsi="Arial"/>
          <w:color w:val="011A3C"/>
        </w:rPr>
        <w:t>All change requests and supporting information should be emailed to </w:t>
      </w:r>
      <w:hyperlink r:id="rId17" w:history="1">
        <w:r w:rsidRPr="002C5292">
          <w:rPr>
            <w:rStyle w:val="rpl-text-label"/>
            <w:rFonts w:ascii="Arial" w:hAnsi="Arial"/>
            <w:color w:val="0052C2"/>
          </w:rPr>
          <w:t>GeneralOrdersLegislativeInstruments@dpc.vic.gov.au</w:t>
        </w:r>
      </w:hyperlink>
    </w:p>
    <w:p w14:paraId="0C14F900" w14:textId="66206A7A" w:rsidR="00315169" w:rsidRPr="002C5292" w:rsidRDefault="00315169" w:rsidP="001313D1">
      <w:pPr>
        <w:pStyle w:val="Heading3"/>
        <w:rPr>
          <w:color w:val="auto"/>
          <w:sz w:val="22"/>
          <w:szCs w:val="22"/>
        </w:rPr>
      </w:pPr>
      <w:bookmarkStart w:id="106" w:name="_Toc70082393"/>
      <w:r w:rsidRPr="002C5292">
        <w:rPr>
          <w:color w:val="auto"/>
          <w:sz w:val="22"/>
          <w:szCs w:val="22"/>
        </w:rPr>
        <w:t>Requesting changes</w:t>
      </w:r>
      <w:bookmarkEnd w:id="106"/>
      <w:r w:rsidRPr="002C5292">
        <w:rPr>
          <w:color w:val="auto"/>
          <w:sz w:val="22"/>
          <w:szCs w:val="22"/>
        </w:rPr>
        <w:t xml:space="preserve"> </w:t>
      </w:r>
    </w:p>
    <w:p w14:paraId="1BA139F0" w14:textId="6749BE1E" w:rsidR="00315169" w:rsidRPr="002C5292" w:rsidRDefault="001313D1" w:rsidP="00015E0B">
      <w:pPr>
        <w:spacing w:after="120"/>
        <w:rPr>
          <w:rFonts w:asciiTheme="minorHAnsi" w:hAnsiTheme="minorHAnsi" w:cs="Segoe UI Light"/>
          <w:sz w:val="22"/>
          <w:szCs w:val="22"/>
        </w:rPr>
      </w:pPr>
      <w:r w:rsidRPr="002C5292">
        <w:rPr>
          <w:rFonts w:asciiTheme="minorHAnsi" w:hAnsiTheme="minorHAnsi" w:cs="Segoe UI Light"/>
          <w:sz w:val="22"/>
          <w:szCs w:val="22"/>
        </w:rPr>
        <w:t>Departments and agencies must p</w:t>
      </w:r>
      <w:r w:rsidR="00315169" w:rsidRPr="002C5292">
        <w:rPr>
          <w:rFonts w:asciiTheme="minorHAnsi" w:hAnsiTheme="minorHAnsi" w:cs="Segoe UI Light"/>
          <w:sz w:val="22"/>
          <w:szCs w:val="22"/>
        </w:rPr>
        <w:t>rovide the following information:</w:t>
      </w:r>
    </w:p>
    <w:p w14:paraId="133863DD" w14:textId="28DAFB57" w:rsidR="00315169" w:rsidRPr="002C5292" w:rsidRDefault="00315169" w:rsidP="00315169">
      <w:pPr>
        <w:numPr>
          <w:ilvl w:val="0"/>
          <w:numId w:val="90"/>
        </w:numPr>
        <w:spacing w:before="100" w:beforeAutospacing="1" w:after="100" w:afterAutospacing="1"/>
        <w:rPr>
          <w:rFonts w:ascii="Arial" w:hAnsi="Arial" w:cs="Arial"/>
          <w:sz w:val="22"/>
          <w:szCs w:val="22"/>
        </w:rPr>
      </w:pPr>
      <w:r w:rsidRPr="002C5292">
        <w:rPr>
          <w:rFonts w:ascii="Arial" w:hAnsi="Arial" w:cs="Arial"/>
          <w:sz w:val="22"/>
          <w:szCs w:val="22"/>
        </w:rPr>
        <w:t>The title of the</w:t>
      </w:r>
      <w:r w:rsidR="00536F85" w:rsidRPr="002C5292">
        <w:rPr>
          <w:rFonts w:ascii="Arial" w:hAnsi="Arial" w:cs="Arial"/>
          <w:sz w:val="22"/>
          <w:szCs w:val="22"/>
        </w:rPr>
        <w:t xml:space="preserve"> </w:t>
      </w:r>
      <w:r w:rsidRPr="002C5292">
        <w:rPr>
          <w:rFonts w:ascii="Arial" w:hAnsi="Arial" w:cs="Arial"/>
          <w:sz w:val="22"/>
          <w:szCs w:val="22"/>
        </w:rPr>
        <w:t>instrument (including the clause number)</w:t>
      </w:r>
      <w:r w:rsidR="00C029A5" w:rsidRPr="002C5292">
        <w:rPr>
          <w:rFonts w:ascii="Arial" w:hAnsi="Arial" w:cs="Arial"/>
          <w:sz w:val="22"/>
          <w:szCs w:val="22"/>
        </w:rPr>
        <w:t>;</w:t>
      </w:r>
    </w:p>
    <w:p w14:paraId="755BC72F" w14:textId="7C6206F9" w:rsidR="00315169" w:rsidRPr="002C5292" w:rsidRDefault="00315169" w:rsidP="00315169">
      <w:pPr>
        <w:numPr>
          <w:ilvl w:val="0"/>
          <w:numId w:val="90"/>
        </w:numPr>
        <w:spacing w:before="100" w:beforeAutospacing="1" w:after="100" w:afterAutospacing="1"/>
        <w:rPr>
          <w:rFonts w:ascii="Arial" w:hAnsi="Arial" w:cs="Arial"/>
          <w:sz w:val="22"/>
          <w:szCs w:val="22"/>
        </w:rPr>
      </w:pPr>
      <w:r w:rsidRPr="002C5292">
        <w:rPr>
          <w:rFonts w:ascii="Arial" w:hAnsi="Arial" w:cs="Arial"/>
          <w:sz w:val="22"/>
          <w:szCs w:val="22"/>
        </w:rPr>
        <w:t xml:space="preserve">Whether </w:t>
      </w:r>
      <w:r w:rsidR="001313D1" w:rsidRPr="002C5292">
        <w:rPr>
          <w:rFonts w:ascii="Arial" w:hAnsi="Arial" w:cs="Arial"/>
          <w:sz w:val="22"/>
          <w:szCs w:val="22"/>
        </w:rPr>
        <w:t>they</w:t>
      </w:r>
      <w:r w:rsidRPr="002C5292">
        <w:rPr>
          <w:rFonts w:ascii="Arial" w:hAnsi="Arial" w:cs="Arial"/>
          <w:sz w:val="22"/>
          <w:szCs w:val="22"/>
        </w:rPr>
        <w:t xml:space="preserve"> want the instrument removed or amended</w:t>
      </w:r>
      <w:r w:rsidR="00C029A5" w:rsidRPr="002C5292">
        <w:rPr>
          <w:rFonts w:ascii="Arial" w:hAnsi="Arial" w:cs="Arial"/>
          <w:sz w:val="22"/>
          <w:szCs w:val="22"/>
        </w:rPr>
        <w:t>;</w:t>
      </w:r>
    </w:p>
    <w:p w14:paraId="5CF5553A" w14:textId="57B28241" w:rsidR="00315169" w:rsidRPr="002C5292" w:rsidRDefault="00315169" w:rsidP="00315169">
      <w:pPr>
        <w:numPr>
          <w:ilvl w:val="0"/>
          <w:numId w:val="90"/>
        </w:numPr>
        <w:spacing w:before="100" w:beforeAutospacing="1" w:after="100" w:afterAutospacing="1"/>
        <w:rPr>
          <w:rFonts w:ascii="Arial" w:hAnsi="Arial" w:cs="Arial"/>
          <w:sz w:val="22"/>
          <w:szCs w:val="22"/>
        </w:rPr>
      </w:pPr>
      <w:r w:rsidRPr="002C5292">
        <w:rPr>
          <w:rFonts w:ascii="Arial" w:hAnsi="Arial" w:cs="Arial"/>
          <w:sz w:val="22"/>
          <w:szCs w:val="22"/>
        </w:rPr>
        <w:t>The reason for the request</w:t>
      </w:r>
      <w:r w:rsidR="00C029A5" w:rsidRPr="002C5292">
        <w:rPr>
          <w:rFonts w:ascii="Arial" w:hAnsi="Arial" w:cs="Arial"/>
          <w:sz w:val="22"/>
          <w:szCs w:val="22"/>
        </w:rPr>
        <w:t>.</w:t>
      </w:r>
    </w:p>
    <w:p w14:paraId="4AD3755A" w14:textId="04A1B9AB" w:rsidR="00315169" w:rsidRPr="002C5292" w:rsidRDefault="00315169" w:rsidP="001313D1">
      <w:pPr>
        <w:pStyle w:val="Heading3"/>
        <w:rPr>
          <w:color w:val="auto"/>
          <w:sz w:val="22"/>
          <w:szCs w:val="22"/>
        </w:rPr>
      </w:pPr>
      <w:bookmarkStart w:id="107" w:name="_Toc70082394"/>
      <w:r w:rsidRPr="002C5292">
        <w:rPr>
          <w:color w:val="auto"/>
          <w:sz w:val="22"/>
          <w:szCs w:val="22"/>
        </w:rPr>
        <w:t>Requesting additions</w:t>
      </w:r>
      <w:bookmarkEnd w:id="107"/>
      <w:r w:rsidRPr="002C5292">
        <w:rPr>
          <w:color w:val="auto"/>
          <w:sz w:val="22"/>
          <w:szCs w:val="22"/>
        </w:rPr>
        <w:t xml:space="preserve"> </w:t>
      </w:r>
    </w:p>
    <w:p w14:paraId="2D49CB06" w14:textId="3A30AB42" w:rsidR="00315169" w:rsidRPr="002C5292" w:rsidRDefault="001313D1" w:rsidP="00015E0B">
      <w:pPr>
        <w:spacing w:after="120"/>
        <w:rPr>
          <w:rFonts w:asciiTheme="minorHAnsi" w:hAnsiTheme="minorHAnsi" w:cs="Segoe UI Light"/>
          <w:sz w:val="22"/>
          <w:szCs w:val="22"/>
        </w:rPr>
      </w:pPr>
      <w:r w:rsidRPr="002C5292">
        <w:rPr>
          <w:rFonts w:asciiTheme="minorHAnsi" w:hAnsiTheme="minorHAnsi" w:cs="Segoe UI Light"/>
          <w:sz w:val="22"/>
          <w:szCs w:val="22"/>
        </w:rPr>
        <w:t xml:space="preserve">Departments and agencies must provide </w:t>
      </w:r>
      <w:r w:rsidR="00315169" w:rsidRPr="002C5292">
        <w:rPr>
          <w:rFonts w:asciiTheme="minorHAnsi" w:hAnsiTheme="minorHAnsi" w:cs="Segoe UI Light"/>
          <w:sz w:val="22"/>
          <w:szCs w:val="22"/>
        </w:rPr>
        <w:t>the following information:</w:t>
      </w:r>
    </w:p>
    <w:p w14:paraId="02FE6A0B" w14:textId="6CC4D80C" w:rsidR="00315169" w:rsidRPr="002C5292" w:rsidRDefault="00315169" w:rsidP="00315169">
      <w:pPr>
        <w:numPr>
          <w:ilvl w:val="0"/>
          <w:numId w:val="91"/>
        </w:numPr>
        <w:spacing w:before="100" w:beforeAutospacing="1" w:after="100" w:afterAutospacing="1"/>
        <w:rPr>
          <w:rFonts w:ascii="Arial" w:hAnsi="Arial" w:cs="Arial"/>
          <w:sz w:val="22"/>
          <w:szCs w:val="22"/>
        </w:rPr>
      </w:pPr>
      <w:r w:rsidRPr="002C5292">
        <w:rPr>
          <w:rFonts w:ascii="Arial" w:hAnsi="Arial" w:cs="Arial"/>
          <w:sz w:val="22"/>
          <w:szCs w:val="22"/>
        </w:rPr>
        <w:t>The title of the instrument</w:t>
      </w:r>
      <w:r w:rsidR="003C5B03" w:rsidRPr="002C5292">
        <w:rPr>
          <w:rFonts w:ascii="Arial" w:hAnsi="Arial" w:cs="Arial"/>
          <w:sz w:val="22"/>
          <w:szCs w:val="22"/>
        </w:rPr>
        <w:t xml:space="preserve"> (usually paraphrased from the text of the provision it is made under)</w:t>
      </w:r>
      <w:r w:rsidR="001313D1" w:rsidRPr="002C5292">
        <w:rPr>
          <w:rFonts w:ascii="Arial" w:hAnsi="Arial" w:cs="Arial"/>
          <w:sz w:val="22"/>
          <w:szCs w:val="22"/>
        </w:rPr>
        <w:t>;</w:t>
      </w:r>
    </w:p>
    <w:p w14:paraId="7536D8B2" w14:textId="036E2C92" w:rsidR="00315169" w:rsidRPr="002C5292" w:rsidRDefault="00315169" w:rsidP="00315169">
      <w:pPr>
        <w:numPr>
          <w:ilvl w:val="0"/>
          <w:numId w:val="91"/>
        </w:numPr>
        <w:spacing w:before="100" w:beforeAutospacing="1" w:after="100" w:afterAutospacing="1"/>
        <w:rPr>
          <w:rFonts w:ascii="Arial" w:hAnsi="Arial" w:cs="Arial"/>
          <w:sz w:val="22"/>
          <w:szCs w:val="22"/>
        </w:rPr>
      </w:pPr>
      <w:r w:rsidRPr="002C5292">
        <w:rPr>
          <w:rFonts w:ascii="Arial" w:hAnsi="Arial" w:cs="Arial"/>
          <w:sz w:val="22"/>
          <w:szCs w:val="22"/>
        </w:rPr>
        <w:t>The principal Act and the provision under which it is made</w:t>
      </w:r>
      <w:r w:rsidR="001313D1" w:rsidRPr="002C5292">
        <w:rPr>
          <w:rFonts w:ascii="Arial" w:hAnsi="Arial" w:cs="Arial"/>
          <w:sz w:val="22"/>
          <w:szCs w:val="22"/>
        </w:rPr>
        <w:t>;</w:t>
      </w:r>
    </w:p>
    <w:p w14:paraId="5424276A" w14:textId="668DCC94" w:rsidR="00315169" w:rsidRPr="002C5292" w:rsidRDefault="00315169" w:rsidP="00315169">
      <w:pPr>
        <w:numPr>
          <w:ilvl w:val="0"/>
          <w:numId w:val="91"/>
        </w:numPr>
        <w:spacing w:before="100" w:beforeAutospacing="1" w:after="100" w:afterAutospacing="1"/>
        <w:rPr>
          <w:rFonts w:ascii="Arial" w:hAnsi="Arial" w:cs="Arial"/>
          <w:sz w:val="22"/>
          <w:szCs w:val="22"/>
        </w:rPr>
      </w:pPr>
      <w:r w:rsidRPr="002C5292">
        <w:rPr>
          <w:rFonts w:ascii="Arial" w:hAnsi="Arial" w:cs="Arial"/>
          <w:sz w:val="22"/>
          <w:szCs w:val="22"/>
        </w:rPr>
        <w:t xml:space="preserve">If relevant, in which schedule </w:t>
      </w:r>
      <w:r w:rsidR="001313D1" w:rsidRPr="002C5292">
        <w:rPr>
          <w:rFonts w:ascii="Arial" w:hAnsi="Arial" w:cs="Arial"/>
          <w:sz w:val="22"/>
          <w:szCs w:val="22"/>
        </w:rPr>
        <w:t>they</w:t>
      </w:r>
      <w:r w:rsidRPr="002C5292">
        <w:rPr>
          <w:rFonts w:ascii="Arial" w:hAnsi="Arial" w:cs="Arial"/>
          <w:sz w:val="22"/>
          <w:szCs w:val="22"/>
        </w:rPr>
        <w:t xml:space="preserve"> want the instrument included</w:t>
      </w:r>
      <w:r w:rsidR="001313D1" w:rsidRPr="002C5292">
        <w:rPr>
          <w:rFonts w:ascii="Arial" w:hAnsi="Arial" w:cs="Arial"/>
          <w:sz w:val="22"/>
          <w:szCs w:val="22"/>
        </w:rPr>
        <w:t>;</w:t>
      </w:r>
    </w:p>
    <w:p w14:paraId="0A08FCEE" w14:textId="22BBE0F2" w:rsidR="00315169" w:rsidRPr="002C5292" w:rsidRDefault="00315169" w:rsidP="00315169">
      <w:pPr>
        <w:numPr>
          <w:ilvl w:val="0"/>
          <w:numId w:val="91"/>
        </w:numPr>
        <w:spacing w:before="100" w:beforeAutospacing="1" w:after="100" w:afterAutospacing="1"/>
        <w:rPr>
          <w:rFonts w:ascii="Arial" w:hAnsi="Arial" w:cs="Arial"/>
          <w:sz w:val="22"/>
          <w:szCs w:val="22"/>
        </w:rPr>
      </w:pPr>
      <w:r w:rsidRPr="002C5292">
        <w:rPr>
          <w:rFonts w:ascii="Arial" w:hAnsi="Arial" w:cs="Arial"/>
          <w:sz w:val="22"/>
          <w:szCs w:val="22"/>
        </w:rPr>
        <w:t xml:space="preserve">A copy of </w:t>
      </w:r>
      <w:r w:rsidR="00536F85" w:rsidRPr="002C5292">
        <w:rPr>
          <w:rFonts w:ascii="Arial" w:hAnsi="Arial" w:cs="Arial"/>
          <w:sz w:val="22"/>
          <w:szCs w:val="22"/>
        </w:rPr>
        <w:t xml:space="preserve">an instrument made </w:t>
      </w:r>
      <w:r w:rsidR="003A67F2" w:rsidRPr="002C5292">
        <w:rPr>
          <w:rFonts w:ascii="Arial" w:hAnsi="Arial" w:cs="Arial"/>
          <w:sz w:val="22"/>
          <w:szCs w:val="22"/>
        </w:rPr>
        <w:t xml:space="preserve">(if any have been made) </w:t>
      </w:r>
      <w:r w:rsidR="00536F85" w:rsidRPr="002C5292">
        <w:rPr>
          <w:rFonts w:ascii="Arial" w:hAnsi="Arial" w:cs="Arial"/>
          <w:sz w:val="22"/>
          <w:szCs w:val="22"/>
        </w:rPr>
        <w:t xml:space="preserve">under the provision </w:t>
      </w:r>
      <w:r w:rsidRPr="002C5292">
        <w:rPr>
          <w:rFonts w:ascii="Arial" w:hAnsi="Arial" w:cs="Arial"/>
          <w:sz w:val="22"/>
          <w:szCs w:val="22"/>
        </w:rPr>
        <w:t>and a summary about the effect of the instrument</w:t>
      </w:r>
      <w:r w:rsidR="00536F85" w:rsidRPr="002C5292">
        <w:rPr>
          <w:rFonts w:ascii="Arial" w:hAnsi="Arial" w:cs="Arial"/>
          <w:sz w:val="22"/>
          <w:szCs w:val="22"/>
        </w:rPr>
        <w:t xml:space="preserve"> and provision</w:t>
      </w:r>
      <w:r w:rsidR="001313D1" w:rsidRPr="002C5292">
        <w:rPr>
          <w:rFonts w:ascii="Arial" w:hAnsi="Arial" w:cs="Arial"/>
          <w:sz w:val="22"/>
          <w:szCs w:val="22"/>
        </w:rPr>
        <w:t>;</w:t>
      </w:r>
    </w:p>
    <w:p w14:paraId="15DBEDC3" w14:textId="02D731EC" w:rsidR="00315169" w:rsidRPr="002C5292" w:rsidRDefault="00315169" w:rsidP="00315169">
      <w:pPr>
        <w:numPr>
          <w:ilvl w:val="0"/>
          <w:numId w:val="91"/>
        </w:numPr>
        <w:spacing w:before="100" w:beforeAutospacing="1" w:after="100" w:afterAutospacing="1"/>
        <w:rPr>
          <w:rFonts w:ascii="Arial" w:hAnsi="Arial" w:cs="Arial"/>
          <w:sz w:val="22"/>
          <w:szCs w:val="22"/>
        </w:rPr>
      </w:pPr>
      <w:r w:rsidRPr="002C5292">
        <w:rPr>
          <w:rFonts w:ascii="Arial" w:hAnsi="Arial" w:cs="Arial"/>
          <w:sz w:val="22"/>
          <w:szCs w:val="22"/>
        </w:rPr>
        <w:t>Evidence (such as legal advice) to support:</w:t>
      </w:r>
      <w:r w:rsidRPr="002C5292">
        <w:rPr>
          <w:rFonts w:ascii="Arial" w:hAnsi="Arial" w:cs="Arial"/>
          <w:sz w:val="22"/>
          <w:szCs w:val="22"/>
        </w:rPr>
        <w:br/>
      </w:r>
      <w:r w:rsidRPr="002C5292">
        <w:rPr>
          <w:rFonts w:ascii="Arial" w:hAnsi="Arial" w:cs="Arial"/>
          <w:color w:val="011A3C"/>
          <w:sz w:val="22"/>
          <w:szCs w:val="22"/>
        </w:rPr>
        <w:t xml:space="preserve">a. the inclusion of the instrument in the </w:t>
      </w:r>
      <w:r w:rsidR="001313D1" w:rsidRPr="002C5292">
        <w:rPr>
          <w:rFonts w:ascii="Arial" w:hAnsi="Arial" w:cs="Arial"/>
          <w:color w:val="011A3C"/>
          <w:sz w:val="22"/>
          <w:szCs w:val="22"/>
        </w:rPr>
        <w:t xml:space="preserve">Proposed </w:t>
      </w:r>
      <w:r w:rsidRPr="002C5292">
        <w:rPr>
          <w:rFonts w:ascii="Arial" w:hAnsi="Arial" w:cs="Arial"/>
          <w:color w:val="011A3C"/>
          <w:sz w:val="22"/>
          <w:szCs w:val="22"/>
        </w:rPr>
        <w:t>Regulations and identifying, if relevant, which provisions of the SLA should not apply to the instrument</w:t>
      </w:r>
      <w:r w:rsidRPr="002C5292">
        <w:rPr>
          <w:rFonts w:ascii="Arial" w:hAnsi="Arial" w:cs="Arial"/>
          <w:sz w:val="22"/>
          <w:szCs w:val="22"/>
        </w:rPr>
        <w:br/>
        <w:t>b. the characterisation of the instrument as either legislative or administrative in character.</w:t>
      </w:r>
    </w:p>
    <w:p w14:paraId="313D0744" w14:textId="77777777" w:rsidR="00315169" w:rsidRPr="002C5292" w:rsidRDefault="00315169" w:rsidP="001313D1">
      <w:pPr>
        <w:pStyle w:val="Heading3"/>
        <w:rPr>
          <w:color w:val="auto"/>
          <w:sz w:val="22"/>
          <w:szCs w:val="22"/>
        </w:rPr>
      </w:pPr>
      <w:bookmarkStart w:id="108" w:name="_Toc70082395"/>
      <w:r w:rsidRPr="002C5292">
        <w:rPr>
          <w:color w:val="auto"/>
          <w:sz w:val="22"/>
          <w:szCs w:val="22"/>
        </w:rPr>
        <w:t>Administrative additions to Schedule 1</w:t>
      </w:r>
      <w:bookmarkEnd w:id="108"/>
    </w:p>
    <w:p w14:paraId="0D4C82BD" w14:textId="658312D4" w:rsidR="00315169" w:rsidRPr="002C5292" w:rsidRDefault="00315169" w:rsidP="00F82ACC">
      <w:pPr>
        <w:spacing w:after="120"/>
        <w:rPr>
          <w:rFonts w:asciiTheme="minorHAnsi" w:hAnsiTheme="minorHAnsi" w:cs="Segoe UI Light"/>
          <w:sz w:val="22"/>
          <w:szCs w:val="22"/>
        </w:rPr>
      </w:pPr>
      <w:r w:rsidRPr="002C5292">
        <w:rPr>
          <w:rFonts w:asciiTheme="minorHAnsi" w:hAnsiTheme="minorHAnsi" w:cs="Segoe UI Light"/>
          <w:sz w:val="22"/>
          <w:szCs w:val="22"/>
        </w:rPr>
        <w:t xml:space="preserve">If </w:t>
      </w:r>
      <w:r w:rsidR="001313D1" w:rsidRPr="002C5292">
        <w:rPr>
          <w:rFonts w:asciiTheme="minorHAnsi" w:hAnsiTheme="minorHAnsi" w:cs="Segoe UI Light"/>
          <w:sz w:val="22"/>
          <w:szCs w:val="22"/>
        </w:rPr>
        <w:t>the</w:t>
      </w:r>
      <w:r w:rsidRPr="002C5292">
        <w:rPr>
          <w:rFonts w:asciiTheme="minorHAnsi" w:hAnsiTheme="minorHAnsi" w:cs="Segoe UI Light"/>
          <w:sz w:val="22"/>
          <w:szCs w:val="22"/>
        </w:rPr>
        <w:t xml:space="preserve"> addition is on the basis that it is administrative in character but there is room for doubt, </w:t>
      </w:r>
      <w:r w:rsidR="001313D1" w:rsidRPr="002C5292">
        <w:rPr>
          <w:rFonts w:asciiTheme="minorHAnsi" w:hAnsiTheme="minorHAnsi" w:cs="Segoe UI Light"/>
          <w:sz w:val="22"/>
          <w:szCs w:val="22"/>
        </w:rPr>
        <w:t>the requester</w:t>
      </w:r>
      <w:r w:rsidRPr="002C5292">
        <w:rPr>
          <w:rFonts w:asciiTheme="minorHAnsi" w:hAnsiTheme="minorHAnsi" w:cs="Segoe UI Light"/>
          <w:sz w:val="22"/>
          <w:szCs w:val="22"/>
        </w:rPr>
        <w:t xml:space="preserve"> should provide evidence (such as legal advice) to support this position of doubt and characterisation.</w:t>
      </w:r>
    </w:p>
    <w:p w14:paraId="4B4047A1" w14:textId="77777777" w:rsidR="00315169" w:rsidRPr="002C5292" w:rsidRDefault="00315169" w:rsidP="001313D1">
      <w:pPr>
        <w:pStyle w:val="Heading3"/>
        <w:rPr>
          <w:color w:val="auto"/>
          <w:sz w:val="22"/>
          <w:szCs w:val="22"/>
        </w:rPr>
      </w:pPr>
      <w:bookmarkStart w:id="109" w:name="_Toc70082396"/>
      <w:r w:rsidRPr="002C5292">
        <w:rPr>
          <w:color w:val="auto"/>
          <w:sz w:val="22"/>
          <w:szCs w:val="22"/>
        </w:rPr>
        <w:t>Addition of an exempt legislative instrument in Schedule 3</w:t>
      </w:r>
      <w:bookmarkEnd w:id="109"/>
    </w:p>
    <w:p w14:paraId="773F1C6B" w14:textId="54CF6253" w:rsidR="00315169" w:rsidRPr="002C5292" w:rsidRDefault="001313D1" w:rsidP="00F82ACC">
      <w:pPr>
        <w:spacing w:after="120"/>
        <w:rPr>
          <w:rFonts w:asciiTheme="minorHAnsi" w:hAnsiTheme="minorHAnsi" w:cs="Segoe UI Light"/>
          <w:sz w:val="22"/>
          <w:szCs w:val="22"/>
        </w:rPr>
      </w:pPr>
      <w:r w:rsidRPr="002C5292">
        <w:rPr>
          <w:rFonts w:asciiTheme="minorHAnsi" w:hAnsiTheme="minorHAnsi" w:cs="Segoe UI Light"/>
          <w:sz w:val="22"/>
          <w:szCs w:val="22"/>
        </w:rPr>
        <w:t>Departments and agencies must f</w:t>
      </w:r>
      <w:r w:rsidR="00315169" w:rsidRPr="002C5292">
        <w:rPr>
          <w:rFonts w:asciiTheme="minorHAnsi" w:hAnsiTheme="minorHAnsi" w:cs="Segoe UI Light"/>
          <w:sz w:val="22"/>
          <w:szCs w:val="22"/>
        </w:rPr>
        <w:t>irst consider whether the instrument is in fact a legislative instrument captured by the SLA. For example, is it an instrument of purely administrative character, and so not captured in the definition of ‘legislative instrument’ in section 3 of the SLA?</w:t>
      </w:r>
      <w:r w:rsidR="00E27BDF" w:rsidRPr="002C5292">
        <w:rPr>
          <w:rFonts w:asciiTheme="minorHAnsi" w:hAnsiTheme="minorHAnsi" w:cs="Segoe UI Light"/>
          <w:sz w:val="22"/>
          <w:szCs w:val="22"/>
        </w:rPr>
        <w:t xml:space="preserve"> </w:t>
      </w:r>
    </w:p>
    <w:p w14:paraId="5E4DC11E" w14:textId="11F7F72B" w:rsidR="00315169" w:rsidRPr="002C5292" w:rsidRDefault="00315169" w:rsidP="001313D1">
      <w:pPr>
        <w:pStyle w:val="Heading3"/>
        <w:rPr>
          <w:color w:val="auto"/>
          <w:sz w:val="22"/>
          <w:szCs w:val="22"/>
        </w:rPr>
      </w:pPr>
      <w:bookmarkStart w:id="110" w:name="_Toc70082397"/>
      <w:r w:rsidRPr="002C5292">
        <w:rPr>
          <w:color w:val="auto"/>
          <w:sz w:val="22"/>
          <w:szCs w:val="22"/>
        </w:rPr>
        <w:t>Addition of a legislative instrument that is exempt more broadly</w:t>
      </w:r>
      <w:bookmarkEnd w:id="110"/>
    </w:p>
    <w:p w14:paraId="67F675CF" w14:textId="7BF9BB53" w:rsidR="00315169" w:rsidRPr="002C5292" w:rsidRDefault="001313D1" w:rsidP="00F82ACC">
      <w:pPr>
        <w:spacing w:after="120"/>
        <w:rPr>
          <w:rFonts w:asciiTheme="minorHAnsi" w:hAnsiTheme="minorHAnsi" w:cs="Segoe UI Light"/>
          <w:sz w:val="22"/>
          <w:szCs w:val="22"/>
        </w:rPr>
      </w:pPr>
      <w:r w:rsidRPr="002C5292">
        <w:rPr>
          <w:rFonts w:asciiTheme="minorHAnsi" w:hAnsiTheme="minorHAnsi" w:cs="Segoe UI Light"/>
          <w:sz w:val="22"/>
          <w:szCs w:val="22"/>
        </w:rPr>
        <w:t>Departments and agencies must f</w:t>
      </w:r>
      <w:r w:rsidR="00315169" w:rsidRPr="002C5292">
        <w:rPr>
          <w:rFonts w:asciiTheme="minorHAnsi" w:hAnsiTheme="minorHAnsi" w:cs="Segoe UI Light"/>
          <w:sz w:val="22"/>
          <w:szCs w:val="22"/>
        </w:rPr>
        <w:t>irst consider whether the instrument is in fact a legislative instrument captured by the SLA.</w:t>
      </w:r>
    </w:p>
    <w:p w14:paraId="520E59BA" w14:textId="0BA19D9B" w:rsidR="00015E0B" w:rsidRPr="002C5292" w:rsidRDefault="00315169" w:rsidP="00113D72">
      <w:pPr>
        <w:spacing w:after="120"/>
        <w:rPr>
          <w:rFonts w:asciiTheme="minorHAnsi" w:hAnsiTheme="minorHAnsi" w:cs="Segoe UI Light"/>
          <w:sz w:val="22"/>
          <w:szCs w:val="22"/>
        </w:rPr>
      </w:pPr>
      <w:r w:rsidRPr="002C5292">
        <w:rPr>
          <w:rFonts w:asciiTheme="minorHAnsi" w:hAnsiTheme="minorHAnsi" w:cs="Segoe UI Light"/>
          <w:sz w:val="22"/>
          <w:szCs w:val="22"/>
        </w:rPr>
        <w:t xml:space="preserve">If the legislative instrument will be exempt from the Government Gazette publication provisions in the SLA, </w:t>
      </w:r>
      <w:r w:rsidR="007D3402" w:rsidRPr="002C5292">
        <w:rPr>
          <w:rFonts w:asciiTheme="minorHAnsi" w:hAnsiTheme="minorHAnsi" w:cs="Segoe UI Light"/>
          <w:sz w:val="22"/>
          <w:szCs w:val="22"/>
        </w:rPr>
        <w:t xml:space="preserve">departments and agencies must </w:t>
      </w:r>
      <w:r w:rsidRPr="002C5292">
        <w:rPr>
          <w:rFonts w:asciiTheme="minorHAnsi" w:hAnsiTheme="minorHAnsi" w:cs="Segoe UI Light"/>
          <w:sz w:val="22"/>
          <w:szCs w:val="22"/>
        </w:rPr>
        <w:t>provide evidence (such as legal advice) to support this.</w:t>
      </w:r>
    </w:p>
    <w:p w14:paraId="76E3E457" w14:textId="219EB340" w:rsidR="00CC4AA6" w:rsidRPr="002C5292" w:rsidRDefault="003A67F2" w:rsidP="003A67F2">
      <w:pPr>
        <w:pStyle w:val="Heading1"/>
        <w:numPr>
          <w:ilvl w:val="0"/>
          <w:numId w:val="50"/>
        </w:numPr>
      </w:pPr>
      <w:bookmarkStart w:id="111" w:name="_Toc69322398"/>
      <w:bookmarkStart w:id="112" w:name="_Toc70082398"/>
      <w:r w:rsidRPr="002C5292">
        <w:t>Consultation</w:t>
      </w:r>
      <w:bookmarkEnd w:id="111"/>
      <w:bookmarkEnd w:id="112"/>
      <w:r w:rsidRPr="002C5292">
        <w:t xml:space="preserve"> </w:t>
      </w:r>
    </w:p>
    <w:p w14:paraId="04394B89" w14:textId="1CB17750" w:rsidR="00FA5E0C" w:rsidRPr="002C5292" w:rsidRDefault="00FA5E0C" w:rsidP="00F82ACC">
      <w:pPr>
        <w:spacing w:after="120"/>
        <w:rPr>
          <w:rFonts w:asciiTheme="minorHAnsi" w:hAnsiTheme="minorHAnsi" w:cs="Segoe UI Light"/>
        </w:rPr>
      </w:pPr>
      <w:r w:rsidRPr="002C5292">
        <w:rPr>
          <w:rFonts w:asciiTheme="minorHAnsi" w:hAnsiTheme="minorHAnsi" w:cs="Segoe UI Light"/>
          <w:sz w:val="22"/>
          <w:szCs w:val="22"/>
        </w:rPr>
        <w:t xml:space="preserve">In preparing </w:t>
      </w:r>
      <w:r w:rsidR="00B52103" w:rsidRPr="002C5292">
        <w:rPr>
          <w:rFonts w:asciiTheme="minorHAnsi" w:hAnsiTheme="minorHAnsi" w:cs="Segoe UI Light"/>
          <w:sz w:val="22"/>
          <w:szCs w:val="22"/>
        </w:rPr>
        <w:t xml:space="preserve">the </w:t>
      </w:r>
      <w:r w:rsidR="00095532" w:rsidRPr="002C5292">
        <w:rPr>
          <w:rFonts w:asciiTheme="minorHAnsi" w:hAnsiTheme="minorHAnsi" w:cs="Segoe UI Light"/>
          <w:sz w:val="22"/>
          <w:szCs w:val="22"/>
        </w:rPr>
        <w:t>P</w:t>
      </w:r>
      <w:r w:rsidR="00B52103" w:rsidRPr="002C5292">
        <w:rPr>
          <w:rFonts w:asciiTheme="minorHAnsi" w:hAnsiTheme="minorHAnsi" w:cs="Segoe UI Light"/>
          <w:sz w:val="22"/>
          <w:szCs w:val="22"/>
        </w:rPr>
        <w:t>roposed R</w:t>
      </w:r>
      <w:r w:rsidRPr="002C5292">
        <w:rPr>
          <w:rFonts w:asciiTheme="minorHAnsi" w:hAnsiTheme="minorHAnsi" w:cs="Segoe UI Light"/>
          <w:sz w:val="22"/>
          <w:szCs w:val="22"/>
        </w:rPr>
        <w:t xml:space="preserve">egulations, </w:t>
      </w:r>
      <w:r w:rsidR="00974C16" w:rsidRPr="002C5292">
        <w:rPr>
          <w:rFonts w:asciiTheme="minorHAnsi" w:hAnsiTheme="minorHAnsi" w:cs="Segoe UI Light"/>
          <w:sz w:val="22"/>
          <w:szCs w:val="22"/>
        </w:rPr>
        <w:t>DPC</w:t>
      </w:r>
      <w:r w:rsidRPr="002C5292">
        <w:rPr>
          <w:rFonts w:asciiTheme="minorHAnsi" w:hAnsiTheme="minorHAnsi" w:cs="Segoe UI Light"/>
          <w:sz w:val="22"/>
          <w:szCs w:val="22"/>
        </w:rPr>
        <w:t xml:space="preserve"> consulted with</w:t>
      </w:r>
      <w:r w:rsidR="00095532" w:rsidRPr="002C5292">
        <w:rPr>
          <w:rFonts w:asciiTheme="minorHAnsi" w:hAnsiTheme="minorHAnsi" w:cs="Segoe UI Light"/>
          <w:sz w:val="22"/>
          <w:szCs w:val="22"/>
        </w:rPr>
        <w:t xml:space="preserve"> </w:t>
      </w:r>
      <w:r w:rsidR="00CF111A" w:rsidRPr="002C5292">
        <w:rPr>
          <w:rFonts w:asciiTheme="minorHAnsi" w:hAnsiTheme="minorHAnsi" w:cs="Segoe UI Light"/>
          <w:sz w:val="22"/>
          <w:szCs w:val="22"/>
        </w:rPr>
        <w:t xml:space="preserve">all </w:t>
      </w:r>
      <w:r w:rsidR="00DC6368" w:rsidRPr="002C5292">
        <w:rPr>
          <w:rFonts w:asciiTheme="minorHAnsi" w:hAnsiTheme="minorHAnsi" w:cs="Segoe UI Light"/>
          <w:sz w:val="22"/>
          <w:szCs w:val="22"/>
        </w:rPr>
        <w:t>d</w:t>
      </w:r>
      <w:r w:rsidR="00CF111A" w:rsidRPr="002C5292">
        <w:rPr>
          <w:rFonts w:asciiTheme="minorHAnsi" w:hAnsiTheme="minorHAnsi" w:cs="Segoe UI Light"/>
          <w:sz w:val="22"/>
          <w:szCs w:val="22"/>
        </w:rPr>
        <w:t>epartments.</w:t>
      </w:r>
    </w:p>
    <w:p w14:paraId="251376E0" w14:textId="41395466" w:rsidR="00FA5E0C" w:rsidRPr="002C5292" w:rsidRDefault="00FA5E0C" w:rsidP="00F82ACC">
      <w:pPr>
        <w:spacing w:after="120"/>
        <w:rPr>
          <w:rFonts w:asciiTheme="minorHAnsi" w:hAnsiTheme="minorHAnsi" w:cs="Segoe UI Light"/>
        </w:rPr>
      </w:pPr>
      <w:r w:rsidRPr="002C5292">
        <w:rPr>
          <w:rFonts w:asciiTheme="minorHAnsi" w:hAnsiTheme="minorHAnsi" w:cs="Segoe UI Light"/>
          <w:sz w:val="22"/>
          <w:szCs w:val="22"/>
        </w:rPr>
        <w:t>This RIS will be available for 28 days for public consultation. Th</w:t>
      </w:r>
      <w:r w:rsidR="00ED7E29" w:rsidRPr="002C5292">
        <w:rPr>
          <w:rFonts w:asciiTheme="minorHAnsi" w:hAnsiTheme="minorHAnsi" w:cs="Segoe UI Light"/>
          <w:sz w:val="22"/>
          <w:szCs w:val="22"/>
        </w:rPr>
        <w:t>e</w:t>
      </w:r>
      <w:r w:rsidR="00032D26" w:rsidRPr="002C5292" w:rsidDel="00ED7E29">
        <w:rPr>
          <w:rFonts w:asciiTheme="minorHAnsi" w:hAnsiTheme="minorHAnsi" w:cs="Segoe UI Light"/>
          <w:sz w:val="22"/>
          <w:szCs w:val="22"/>
        </w:rPr>
        <w:t xml:space="preserve"> </w:t>
      </w:r>
      <w:r w:rsidR="00095532" w:rsidRPr="002C5292">
        <w:rPr>
          <w:rFonts w:asciiTheme="minorHAnsi" w:hAnsiTheme="minorHAnsi" w:cs="Segoe UI Light"/>
          <w:sz w:val="22"/>
          <w:szCs w:val="22"/>
        </w:rPr>
        <w:t>P</w:t>
      </w:r>
      <w:r w:rsidR="00032D26" w:rsidRPr="002C5292">
        <w:rPr>
          <w:rFonts w:asciiTheme="minorHAnsi" w:hAnsiTheme="minorHAnsi" w:cs="Segoe UI Light"/>
          <w:sz w:val="22"/>
          <w:szCs w:val="22"/>
        </w:rPr>
        <w:t xml:space="preserve">roposed Regulations </w:t>
      </w:r>
      <w:r w:rsidR="00ED7E29" w:rsidRPr="002C5292">
        <w:rPr>
          <w:rFonts w:asciiTheme="minorHAnsi" w:hAnsiTheme="minorHAnsi" w:cs="Segoe UI Light"/>
          <w:sz w:val="22"/>
          <w:szCs w:val="22"/>
        </w:rPr>
        <w:t>are intended to</w:t>
      </w:r>
      <w:r w:rsidR="00032D26" w:rsidRPr="002C5292">
        <w:rPr>
          <w:rFonts w:asciiTheme="minorHAnsi" w:hAnsiTheme="minorHAnsi" w:cs="Segoe UI Light"/>
          <w:sz w:val="22"/>
          <w:szCs w:val="22"/>
        </w:rPr>
        <w:t xml:space="preserve"> be made </w:t>
      </w:r>
      <w:r w:rsidRPr="002C5292">
        <w:rPr>
          <w:rFonts w:asciiTheme="minorHAnsi" w:hAnsiTheme="minorHAnsi" w:cs="Segoe UI Light"/>
          <w:sz w:val="22"/>
          <w:szCs w:val="22"/>
        </w:rPr>
        <w:t>in</w:t>
      </w:r>
      <w:r w:rsidR="00A845B4" w:rsidRPr="002C5292">
        <w:rPr>
          <w:rFonts w:asciiTheme="minorHAnsi" w:hAnsiTheme="minorHAnsi" w:cs="Segoe UI Light"/>
          <w:sz w:val="22"/>
          <w:szCs w:val="22"/>
        </w:rPr>
        <w:t xml:space="preserve"> June 2021</w:t>
      </w:r>
      <w:r w:rsidRPr="002C5292">
        <w:rPr>
          <w:rFonts w:asciiTheme="minorHAnsi" w:hAnsiTheme="minorHAnsi" w:cs="Segoe UI Light"/>
          <w:sz w:val="22"/>
          <w:szCs w:val="22"/>
        </w:rPr>
        <w:t>.</w:t>
      </w:r>
    </w:p>
    <w:p w14:paraId="11AA9FFE" w14:textId="73BB9B7D" w:rsidR="00015E0B" w:rsidRPr="002C5292" w:rsidRDefault="003A4AA3" w:rsidP="00F82ACC">
      <w:pPr>
        <w:spacing w:after="120"/>
        <w:rPr>
          <w:rFonts w:asciiTheme="minorHAnsi" w:hAnsiTheme="minorHAnsi" w:cs="Segoe UI Light"/>
          <w:sz w:val="22"/>
          <w:szCs w:val="22"/>
        </w:rPr>
      </w:pPr>
      <w:r w:rsidRPr="002C5292">
        <w:rPr>
          <w:rFonts w:asciiTheme="minorHAnsi" w:hAnsiTheme="minorHAnsi" w:cs="Segoe UI Light"/>
          <w:sz w:val="22"/>
          <w:szCs w:val="22"/>
        </w:rPr>
        <w:t>The</w:t>
      </w:r>
      <w:r w:rsidRPr="002C5292" w:rsidDel="00ED7E29">
        <w:rPr>
          <w:rFonts w:asciiTheme="minorHAnsi" w:hAnsiTheme="minorHAnsi" w:cs="Segoe UI Light"/>
          <w:sz w:val="22"/>
          <w:szCs w:val="22"/>
        </w:rPr>
        <w:t xml:space="preserve"> </w:t>
      </w:r>
      <w:r w:rsidRPr="002C5292">
        <w:rPr>
          <w:rFonts w:asciiTheme="minorHAnsi" w:hAnsiTheme="minorHAnsi" w:cs="Segoe UI Light"/>
          <w:sz w:val="22"/>
          <w:szCs w:val="22"/>
        </w:rPr>
        <w:t>RIS will be advertised in the Government Gazette</w:t>
      </w:r>
      <w:r w:rsidR="00974C16" w:rsidRPr="002C5292">
        <w:rPr>
          <w:rFonts w:asciiTheme="minorHAnsi" w:hAnsiTheme="minorHAnsi" w:cs="Segoe UI Light"/>
          <w:sz w:val="22"/>
          <w:szCs w:val="22"/>
        </w:rPr>
        <w:t xml:space="preserve">, on DPC’s </w:t>
      </w:r>
      <w:r w:rsidR="00032D26" w:rsidRPr="002C5292">
        <w:rPr>
          <w:rFonts w:asciiTheme="minorHAnsi" w:hAnsiTheme="minorHAnsi" w:cs="Segoe UI Light"/>
          <w:sz w:val="22"/>
          <w:szCs w:val="22"/>
        </w:rPr>
        <w:t>website (www</w:t>
      </w:r>
      <w:r w:rsidR="003C0FF5" w:rsidRPr="002C5292">
        <w:rPr>
          <w:rFonts w:asciiTheme="minorHAnsi" w:hAnsiTheme="minorHAnsi" w:cs="Segoe UI Light"/>
          <w:sz w:val="22"/>
          <w:szCs w:val="22"/>
        </w:rPr>
        <w:t>.</w:t>
      </w:r>
      <w:r w:rsidR="00032D26" w:rsidRPr="002C5292">
        <w:rPr>
          <w:rFonts w:asciiTheme="minorHAnsi" w:hAnsiTheme="minorHAnsi" w:cs="Segoe UI Light"/>
          <w:sz w:val="22"/>
          <w:szCs w:val="22"/>
        </w:rPr>
        <w:t>vic.g</w:t>
      </w:r>
      <w:r w:rsidR="00920E29" w:rsidRPr="002C5292">
        <w:rPr>
          <w:rFonts w:asciiTheme="minorHAnsi" w:hAnsiTheme="minorHAnsi" w:cs="Segoe UI Light"/>
          <w:sz w:val="22"/>
          <w:szCs w:val="22"/>
        </w:rPr>
        <w:t>ov</w:t>
      </w:r>
      <w:r w:rsidR="00032D26" w:rsidRPr="002C5292">
        <w:rPr>
          <w:rFonts w:asciiTheme="minorHAnsi" w:hAnsiTheme="minorHAnsi" w:cs="Segoe UI Light"/>
          <w:sz w:val="22"/>
          <w:szCs w:val="22"/>
        </w:rPr>
        <w:t>.au)</w:t>
      </w:r>
      <w:r w:rsidR="00920E29" w:rsidRPr="002C5292">
        <w:rPr>
          <w:rFonts w:asciiTheme="minorHAnsi" w:hAnsiTheme="minorHAnsi" w:cs="Segoe UI Light"/>
          <w:sz w:val="22"/>
          <w:szCs w:val="22"/>
        </w:rPr>
        <w:t xml:space="preserve">, </w:t>
      </w:r>
      <w:r w:rsidR="003C0FF5" w:rsidRPr="002C5292">
        <w:rPr>
          <w:rFonts w:asciiTheme="minorHAnsi" w:hAnsiTheme="minorHAnsi" w:cs="Segoe UI Light"/>
          <w:sz w:val="22"/>
          <w:szCs w:val="22"/>
        </w:rPr>
        <w:t>E</w:t>
      </w:r>
      <w:r w:rsidR="00920E29" w:rsidRPr="002C5292">
        <w:rPr>
          <w:rFonts w:asciiTheme="minorHAnsi" w:hAnsiTheme="minorHAnsi" w:cs="Segoe UI Light"/>
          <w:sz w:val="22"/>
          <w:szCs w:val="22"/>
        </w:rPr>
        <w:t>ngage</w:t>
      </w:r>
      <w:r w:rsidR="003C0FF5" w:rsidRPr="002C5292">
        <w:rPr>
          <w:rFonts w:asciiTheme="minorHAnsi" w:hAnsiTheme="minorHAnsi" w:cs="Segoe UI Light"/>
          <w:sz w:val="22"/>
          <w:szCs w:val="22"/>
        </w:rPr>
        <w:t xml:space="preserve"> V</w:t>
      </w:r>
      <w:r w:rsidR="00920E29" w:rsidRPr="002C5292">
        <w:rPr>
          <w:rFonts w:asciiTheme="minorHAnsi" w:hAnsiTheme="minorHAnsi" w:cs="Segoe UI Light"/>
          <w:sz w:val="22"/>
          <w:szCs w:val="22"/>
        </w:rPr>
        <w:t>ic</w:t>
      </w:r>
      <w:r w:rsidR="003C0FF5" w:rsidRPr="002C5292">
        <w:rPr>
          <w:rFonts w:asciiTheme="minorHAnsi" w:hAnsiTheme="minorHAnsi" w:cs="Segoe UI Light"/>
          <w:sz w:val="22"/>
          <w:szCs w:val="22"/>
        </w:rPr>
        <w:t>toria</w:t>
      </w:r>
      <w:r w:rsidRPr="002C5292">
        <w:rPr>
          <w:rFonts w:asciiTheme="minorHAnsi" w:hAnsiTheme="minorHAnsi" w:cs="Segoe UI Light"/>
          <w:sz w:val="22"/>
          <w:szCs w:val="22"/>
        </w:rPr>
        <w:t xml:space="preserve"> and a daily newspaper circulating generally throughout Victoria. Members of the public and bodies and offices affected by the </w:t>
      </w:r>
      <w:r w:rsidR="0036128D" w:rsidRPr="002C5292">
        <w:rPr>
          <w:rFonts w:asciiTheme="minorHAnsi" w:hAnsiTheme="minorHAnsi" w:cs="Segoe UI Light"/>
          <w:sz w:val="22"/>
          <w:szCs w:val="22"/>
        </w:rPr>
        <w:t>Proposed R</w:t>
      </w:r>
      <w:r w:rsidRPr="002C5292">
        <w:rPr>
          <w:rFonts w:asciiTheme="minorHAnsi" w:hAnsiTheme="minorHAnsi" w:cs="Segoe UI Light"/>
          <w:sz w:val="22"/>
          <w:szCs w:val="22"/>
        </w:rPr>
        <w:t xml:space="preserve">egulations will be able to make submissions </w:t>
      </w:r>
      <w:r w:rsidR="00974C16" w:rsidRPr="002C5292">
        <w:rPr>
          <w:rFonts w:asciiTheme="minorHAnsi" w:hAnsiTheme="minorHAnsi" w:cs="Segoe UI Light"/>
          <w:sz w:val="22"/>
          <w:szCs w:val="22"/>
        </w:rPr>
        <w:t>to DPC</w:t>
      </w:r>
      <w:r w:rsidRPr="002C5292">
        <w:rPr>
          <w:rFonts w:asciiTheme="minorHAnsi" w:hAnsiTheme="minorHAnsi" w:cs="Segoe UI Light"/>
          <w:sz w:val="22"/>
          <w:szCs w:val="22"/>
        </w:rPr>
        <w:t xml:space="preserve"> on the </w:t>
      </w:r>
      <w:r w:rsidR="00095532" w:rsidRPr="002C5292">
        <w:rPr>
          <w:rFonts w:asciiTheme="minorHAnsi" w:hAnsiTheme="minorHAnsi" w:cs="Segoe UI Light"/>
          <w:sz w:val="22"/>
          <w:szCs w:val="22"/>
        </w:rPr>
        <w:t>P</w:t>
      </w:r>
      <w:r w:rsidRPr="002C5292">
        <w:rPr>
          <w:rFonts w:asciiTheme="minorHAnsi" w:hAnsiTheme="minorHAnsi" w:cs="Segoe UI Light"/>
          <w:sz w:val="22"/>
          <w:szCs w:val="22"/>
        </w:rPr>
        <w:t xml:space="preserve">roposed </w:t>
      </w:r>
      <w:r w:rsidR="00B52103" w:rsidRPr="002C5292">
        <w:rPr>
          <w:rFonts w:asciiTheme="minorHAnsi" w:hAnsiTheme="minorHAnsi" w:cs="Segoe UI Light"/>
          <w:sz w:val="22"/>
          <w:szCs w:val="22"/>
        </w:rPr>
        <w:t>R</w:t>
      </w:r>
      <w:r w:rsidRPr="002C5292">
        <w:rPr>
          <w:rFonts w:asciiTheme="minorHAnsi" w:hAnsiTheme="minorHAnsi" w:cs="Segoe UI Light"/>
          <w:sz w:val="22"/>
          <w:szCs w:val="22"/>
        </w:rPr>
        <w:t xml:space="preserve">egulations. </w:t>
      </w:r>
    </w:p>
    <w:p w14:paraId="76C43A60" w14:textId="425504B2" w:rsidR="003A4AA3" w:rsidRPr="002C5292" w:rsidRDefault="001D2767" w:rsidP="00F82ACC">
      <w:pPr>
        <w:spacing w:after="120"/>
        <w:rPr>
          <w:rFonts w:asciiTheme="minorHAnsi" w:hAnsiTheme="minorHAnsi" w:cs="Segoe UI Light"/>
        </w:rPr>
      </w:pPr>
      <w:r w:rsidRPr="002C5292">
        <w:rPr>
          <w:rFonts w:asciiTheme="minorHAnsi" w:hAnsiTheme="minorHAnsi" w:cs="Segoe UI Light"/>
          <w:sz w:val="22"/>
          <w:szCs w:val="22"/>
        </w:rPr>
        <w:t xml:space="preserve">Ministers and department General Counsels </w:t>
      </w:r>
      <w:r w:rsidR="003A4AA3" w:rsidRPr="002C5292">
        <w:rPr>
          <w:rFonts w:asciiTheme="minorHAnsi" w:hAnsiTheme="minorHAnsi" w:cs="Segoe UI Light"/>
          <w:sz w:val="22"/>
          <w:szCs w:val="22"/>
        </w:rPr>
        <w:t>will be informed directly about the RIS.</w:t>
      </w:r>
    </w:p>
    <w:p w14:paraId="61006E42" w14:textId="77777777" w:rsidR="00F4112A" w:rsidRPr="002C5292" w:rsidRDefault="00F4112A" w:rsidP="00CC4AA6">
      <w:pPr>
        <w:pStyle w:val="DPCbody"/>
        <w:sectPr w:rsidR="00F4112A" w:rsidRPr="002C5292" w:rsidSect="00863649">
          <w:headerReference w:type="even" r:id="rId18"/>
          <w:headerReference w:type="default" r:id="rId19"/>
          <w:footerReference w:type="even" r:id="rId20"/>
          <w:footerReference w:type="default" r:id="rId21"/>
          <w:headerReference w:type="first" r:id="rId22"/>
          <w:footerReference w:type="first" r:id="rId23"/>
          <w:pgSz w:w="11906" w:h="16838" w:code="9"/>
          <w:pgMar w:top="1701" w:right="851" w:bottom="1134" w:left="1134" w:header="567" w:footer="510" w:gutter="0"/>
          <w:cols w:space="340"/>
          <w:docGrid w:linePitch="360"/>
        </w:sectPr>
      </w:pPr>
    </w:p>
    <w:p w14:paraId="3A1B5659" w14:textId="1729105B" w:rsidR="00276089" w:rsidRPr="002C5292" w:rsidRDefault="00415FE3" w:rsidP="00B564F8">
      <w:pPr>
        <w:pStyle w:val="Heading2"/>
      </w:pPr>
      <w:bookmarkStart w:id="113" w:name="_Toc70082399"/>
      <w:r w:rsidRPr="002C5292">
        <w:t>Attachment A</w:t>
      </w:r>
      <w:r w:rsidR="0032742E" w:rsidRPr="002C5292">
        <w:t xml:space="preserve"> –</w:t>
      </w:r>
      <w:r w:rsidR="00276089" w:rsidRPr="002C5292">
        <w:t xml:space="preserve">Consultation </w:t>
      </w:r>
      <w:r w:rsidR="00B564F8" w:rsidRPr="002C5292">
        <w:t>draft of Proposed</w:t>
      </w:r>
      <w:r w:rsidR="00276089" w:rsidRPr="002C5292">
        <w:t xml:space="preserve"> Regulations</w:t>
      </w:r>
      <w:bookmarkEnd w:id="113"/>
    </w:p>
    <w:p w14:paraId="4D8E5BCF" w14:textId="6964E50B" w:rsidR="00415FE3" w:rsidRPr="002C5292" w:rsidRDefault="00415FE3" w:rsidP="00CC4AA6">
      <w:pPr>
        <w:pStyle w:val="DPCbody"/>
      </w:pPr>
    </w:p>
    <w:p w14:paraId="5EB3D6D2" w14:textId="7B7BA70F" w:rsidR="0032742E" w:rsidRPr="002C5292" w:rsidRDefault="0032742E">
      <w:pPr>
        <w:rPr>
          <w:rFonts w:asciiTheme="minorHAnsi" w:eastAsia="Times" w:hAnsiTheme="minorHAnsi" w:cs="Arial"/>
          <w:color w:val="000000" w:themeColor="text1"/>
          <w:sz w:val="22"/>
          <w:szCs w:val="22"/>
        </w:rPr>
      </w:pPr>
      <w:r w:rsidRPr="002C5292">
        <w:br w:type="page"/>
      </w:r>
    </w:p>
    <w:p w14:paraId="51C4E9FA" w14:textId="77777777" w:rsidR="00415FE3" w:rsidRPr="002C5292" w:rsidRDefault="00415FE3" w:rsidP="00CC4AA6">
      <w:pPr>
        <w:pStyle w:val="DPCbody"/>
      </w:pPr>
    </w:p>
    <w:p w14:paraId="6E60C96F" w14:textId="6741A6C8" w:rsidR="00276089" w:rsidRPr="002C5292" w:rsidRDefault="00415FE3" w:rsidP="00B564F8">
      <w:pPr>
        <w:pStyle w:val="Heading2"/>
      </w:pPr>
      <w:bookmarkStart w:id="114" w:name="_Toc70082400"/>
      <w:r w:rsidRPr="002C5292">
        <w:t>Attachment B</w:t>
      </w:r>
      <w:r w:rsidR="0032742E" w:rsidRPr="002C5292">
        <w:t xml:space="preserve"> – </w:t>
      </w:r>
      <w:r w:rsidR="00276089" w:rsidRPr="002C5292">
        <w:t xml:space="preserve">Table summarising changes from </w:t>
      </w:r>
      <w:r w:rsidR="00D926C5" w:rsidRPr="002C5292">
        <w:t>Current R</w:t>
      </w:r>
      <w:r w:rsidR="00276089" w:rsidRPr="002C5292">
        <w:t xml:space="preserve">egulations to the </w:t>
      </w:r>
      <w:r w:rsidR="00B564F8" w:rsidRPr="002C5292">
        <w:t>P</w:t>
      </w:r>
      <w:r w:rsidR="00276089" w:rsidRPr="002C5292">
        <w:t>roposed Regulations</w:t>
      </w:r>
      <w:bookmarkEnd w:id="114"/>
    </w:p>
    <w:p w14:paraId="4099AF16" w14:textId="62DEC498" w:rsidR="00415FE3" w:rsidRPr="002C5292" w:rsidRDefault="00415FE3" w:rsidP="00CC4AA6">
      <w:pPr>
        <w:pStyle w:val="DPCbody"/>
      </w:pPr>
    </w:p>
    <w:p w14:paraId="1728E0C0" w14:textId="0A50FBA8" w:rsidR="0032742E" w:rsidRPr="002C5292" w:rsidRDefault="0032742E">
      <w:pPr>
        <w:rPr>
          <w:rFonts w:asciiTheme="minorHAnsi" w:eastAsia="Times" w:hAnsiTheme="minorHAnsi" w:cs="Arial"/>
          <w:color w:val="000000" w:themeColor="text1"/>
          <w:sz w:val="22"/>
          <w:szCs w:val="22"/>
        </w:rPr>
      </w:pPr>
      <w:r w:rsidRPr="002C5292">
        <w:br w:type="page"/>
      </w:r>
    </w:p>
    <w:p w14:paraId="5FD31BB8" w14:textId="77777777" w:rsidR="00415FE3" w:rsidRPr="002C5292" w:rsidRDefault="00415FE3" w:rsidP="00CC4AA6">
      <w:pPr>
        <w:pStyle w:val="DPCbody"/>
      </w:pPr>
    </w:p>
    <w:p w14:paraId="5FFAABF0" w14:textId="1E33B337" w:rsidR="00276089" w:rsidRDefault="00415FE3" w:rsidP="00B564F8">
      <w:pPr>
        <w:pStyle w:val="Heading2"/>
      </w:pPr>
      <w:bookmarkStart w:id="115" w:name="_Toc70082401"/>
      <w:r w:rsidRPr="002C5292">
        <w:t xml:space="preserve">Attachment C – </w:t>
      </w:r>
      <w:r w:rsidR="00276089" w:rsidRPr="002C5292">
        <w:t xml:space="preserve">Table of </w:t>
      </w:r>
      <w:r w:rsidR="009D424F" w:rsidRPr="002C5292">
        <w:t xml:space="preserve">legislative instruments made under provisions that will be </w:t>
      </w:r>
      <w:r w:rsidR="004A6C5A" w:rsidRPr="002C5292">
        <w:t>automatically exempt</w:t>
      </w:r>
      <w:r w:rsidR="009D424F" w:rsidRPr="002C5292">
        <w:t xml:space="preserve"> from certain </w:t>
      </w:r>
      <w:r w:rsidR="00F3570D" w:rsidRPr="002C5292">
        <w:t>requirements</w:t>
      </w:r>
      <w:r w:rsidR="009D424F" w:rsidRPr="002C5292">
        <w:t xml:space="preserve"> of the SLA</w:t>
      </w:r>
      <w:bookmarkEnd w:id="115"/>
      <w:r w:rsidR="004A6C5A">
        <w:t xml:space="preserve"> </w:t>
      </w:r>
    </w:p>
    <w:p w14:paraId="1E496F99" w14:textId="2EA2F473" w:rsidR="00415FE3" w:rsidRPr="009D38CE" w:rsidRDefault="00415FE3" w:rsidP="00CC4AA6">
      <w:pPr>
        <w:pStyle w:val="DPCbody"/>
      </w:pPr>
    </w:p>
    <w:sectPr w:rsidR="00415FE3" w:rsidRPr="009D38CE" w:rsidSect="00A845B4">
      <w:headerReference w:type="default" r:id="rId24"/>
      <w:footerReference w:type="default" r:id="rId25"/>
      <w:pgSz w:w="16838" w:h="11906" w:orient="landscape" w:code="9"/>
      <w:pgMar w:top="1134" w:right="1701" w:bottom="851"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E5FC9" w14:textId="77777777" w:rsidR="009603A5" w:rsidRDefault="009603A5">
      <w:r>
        <w:separator/>
      </w:r>
    </w:p>
  </w:endnote>
  <w:endnote w:type="continuationSeparator" w:id="0">
    <w:p w14:paraId="37143F86" w14:textId="77777777" w:rsidR="009603A5" w:rsidRDefault="009603A5">
      <w:r>
        <w:continuationSeparator/>
      </w:r>
    </w:p>
  </w:endnote>
  <w:endnote w:type="continuationNotice" w:id="1">
    <w:p w14:paraId="07EE39DE" w14:textId="77777777" w:rsidR="009603A5" w:rsidRDefault="00960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7BE2" w14:textId="77777777" w:rsidR="006E13DB" w:rsidRDefault="006E1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DAFEE" w14:textId="55CC8FE1" w:rsidR="009603A5" w:rsidRPr="00A95E3B" w:rsidRDefault="00D07A86" w:rsidP="00B01E7E">
    <w:pPr>
      <w:pStyle w:val="DPCfooter"/>
    </w:pPr>
    <w:r>
      <w:rPr>
        <w:noProof/>
      </w:rPr>
      <mc:AlternateContent>
        <mc:Choice Requires="wps">
          <w:drawing>
            <wp:anchor distT="0" distB="0" distL="114300" distR="114300" simplePos="0" relativeHeight="251661824" behindDoc="0" locked="0" layoutInCell="0" allowOverlap="1" wp14:anchorId="23B88AF3" wp14:editId="35C5EC08">
              <wp:simplePos x="0" y="0"/>
              <wp:positionH relativeFrom="page">
                <wp:align>left</wp:align>
              </wp:positionH>
              <wp:positionV relativeFrom="page">
                <wp:align>bottom</wp:align>
              </wp:positionV>
              <wp:extent cx="7772400" cy="463550"/>
              <wp:effectExtent l="0" t="0" r="0" b="12700"/>
              <wp:wrapNone/>
              <wp:docPr id="3" name="MSIPCMe49a4ac1b2788075b64c0b37"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D59A1" w14:textId="54E41325" w:rsidR="00D07A86" w:rsidRPr="00D07A86" w:rsidRDefault="00D07A86" w:rsidP="00D07A86">
                          <w:pPr>
                            <w:rPr>
                              <w:rFonts w:ascii="Calibri" w:hAnsi="Calibri" w:cs="Calibri"/>
                              <w:color w:val="000000"/>
                              <w:sz w:val="22"/>
                            </w:rPr>
                          </w:pPr>
                          <w:r w:rsidRPr="00D07A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B88AF3" id="_x0000_t202" coordsize="21600,21600" o:spt="202" path="m,l,21600r21600,l21600,xe">
              <v:stroke joinstyle="miter"/>
              <v:path gradientshapeok="t" o:connecttype="rect"/>
            </v:shapetype>
            <v:shape id="MSIPCMe49a4ac1b2788075b64c0b37" o:spid="_x0000_s1026" type="#_x0000_t202" alt="{&quot;HashCode&quot;:-1267603503,&quot;Height&quot;:9999999.0,&quot;Width&quot;:9999999.0,&quot;Placement&quot;:&quot;Footer&quot;,&quot;Index&quot;:&quot;Primary&quot;,&quot;Section&quot;:1,&quot;Top&quot;:0.0,&quot;Left&quot;:0.0}" style="position:absolute;margin-left:0;margin-top:0;width:612pt;height:36.5pt;z-index:2516618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rj7Gwa4CAABSBQAADgAAAAAAAAAA&#10;AAAAAAAuAgAAZHJzL2Uyb0RvYy54bWxQSwECLQAUAAYACAAAACEA/vWNm9oAAAAFAQAADwAAAAAA&#10;AAAAAAAAAAAIBQAAZHJzL2Rvd25yZXYueG1sUEsFBgAAAAAEAAQA8wAAAA8GAAAAAA==&#10;" o:allowincell="f" filled="f" stroked="f" strokeweight=".5pt">
              <v:fill o:detectmouseclick="t"/>
              <v:textbox inset="20pt,0,,0">
                <w:txbxContent>
                  <w:p w14:paraId="773D59A1" w14:textId="54E41325" w:rsidR="00D07A86" w:rsidRPr="00D07A86" w:rsidRDefault="00D07A86" w:rsidP="00D07A86">
                    <w:pPr>
                      <w:rPr>
                        <w:rFonts w:ascii="Calibri" w:hAnsi="Calibri" w:cs="Calibri"/>
                        <w:color w:val="000000"/>
                        <w:sz w:val="22"/>
                      </w:rPr>
                    </w:pPr>
                    <w:r w:rsidRPr="00D07A86">
                      <w:rPr>
                        <w:rFonts w:ascii="Calibri" w:hAnsi="Calibri" w:cs="Calibri"/>
                        <w:color w:val="000000"/>
                        <w:sz w:val="22"/>
                      </w:rPr>
                      <w:t>OFFICIAL</w:t>
                    </w:r>
                  </w:p>
                </w:txbxContent>
              </v:textbox>
              <w10:wrap anchorx="page" anchory="page"/>
            </v:shape>
          </w:pict>
        </mc:Fallback>
      </mc:AlternateContent>
    </w:r>
    <w:r w:rsidR="009603A5">
      <w:t>Regulatory Impact Statement</w:t>
    </w:r>
    <w:r w:rsidR="009603A5" w:rsidRPr="00A95E3B">
      <w:tab/>
    </w:r>
    <w:r w:rsidR="009603A5" w:rsidRPr="00A95E3B">
      <w:fldChar w:fldCharType="begin"/>
    </w:r>
    <w:r w:rsidR="009603A5" w:rsidRPr="00A95E3B">
      <w:instrText xml:space="preserve"> PAGE   \* MERGEFORMAT </w:instrText>
    </w:r>
    <w:r w:rsidR="009603A5" w:rsidRPr="00A95E3B">
      <w:fldChar w:fldCharType="separate"/>
    </w:r>
    <w:r w:rsidR="009603A5">
      <w:rPr>
        <w:noProof/>
      </w:rPr>
      <w:t>5</w:t>
    </w:r>
    <w:r w:rsidR="009603A5" w:rsidRPr="00A95E3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70A6A" w14:textId="77777777" w:rsidR="006E13DB" w:rsidRDefault="006E13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6DA67" w14:textId="0523B334" w:rsidR="009603A5" w:rsidRDefault="00D07A86">
    <w:pPr>
      <w:framePr w:w="1247" w:h="340" w:hSpace="181" w:wrap="around" w:vAnchor="page" w:hAnchor="margin" w:xAlign="center" w:y="14516" w:anchorLock="1"/>
      <w:jc w:val="center"/>
    </w:pPr>
    <w:r>
      <w:rPr>
        <w:noProof/>
      </w:rPr>
      <mc:AlternateContent>
        <mc:Choice Requires="wps">
          <w:drawing>
            <wp:anchor distT="0" distB="0" distL="114300" distR="114300" simplePos="0" relativeHeight="251662848" behindDoc="0" locked="0" layoutInCell="0" allowOverlap="1" wp14:anchorId="459E87B0" wp14:editId="65B7FC2D">
              <wp:simplePos x="0" y="0"/>
              <wp:positionH relativeFrom="page">
                <wp:align>left</wp:align>
              </wp:positionH>
              <wp:positionV relativeFrom="page">
                <wp:align>bottom</wp:align>
              </wp:positionV>
              <wp:extent cx="7772400" cy="463550"/>
              <wp:effectExtent l="0" t="0" r="0" b="12700"/>
              <wp:wrapNone/>
              <wp:docPr id="6" name="MSIPCM7b3243b9b663713eb6e6eb74"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EFCB9" w14:textId="54B3F164" w:rsidR="00D07A86" w:rsidRPr="00D07A86" w:rsidRDefault="00D07A86" w:rsidP="00D07A86">
                          <w:pPr>
                            <w:rPr>
                              <w:rFonts w:ascii="Calibri" w:hAnsi="Calibri" w:cs="Calibri"/>
                              <w:color w:val="000000"/>
                              <w:sz w:val="22"/>
                            </w:rPr>
                          </w:pPr>
                          <w:r w:rsidRPr="00D07A86">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59E87B0" id="_x0000_t202" coordsize="21600,21600" o:spt="202" path="m,l,21600r21600,l21600,xe">
              <v:stroke joinstyle="miter"/>
              <v:path gradientshapeok="t" o:connecttype="rect"/>
            </v:shapetype>
            <v:shape id="MSIPCM7b3243b9b663713eb6e6eb74" o:spid="_x0000_s1027"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66284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lkvkl7ECAABZ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452EFCB9" w14:textId="54B3F164" w:rsidR="00D07A86" w:rsidRPr="00D07A86" w:rsidRDefault="00D07A86" w:rsidP="00D07A86">
                    <w:pPr>
                      <w:rPr>
                        <w:rFonts w:ascii="Calibri" w:hAnsi="Calibri" w:cs="Calibri"/>
                        <w:color w:val="000000"/>
                        <w:sz w:val="22"/>
                      </w:rPr>
                    </w:pPr>
                    <w:r w:rsidRPr="00D07A86">
                      <w:rPr>
                        <w:rFonts w:ascii="Calibri" w:hAnsi="Calibri" w:cs="Calibri"/>
                        <w:color w:val="000000"/>
                        <w:sz w:val="22"/>
                      </w:rPr>
                      <w:t>OFFICIAL</w:t>
                    </w:r>
                  </w:p>
                </w:txbxContent>
              </v:textbox>
              <w10:wrap anchorx="page" anchory="page"/>
            </v:shape>
          </w:pict>
        </mc:Fallback>
      </mc:AlternateContent>
    </w:r>
    <w:r w:rsidR="009603A5">
      <w:fldChar w:fldCharType="begin"/>
    </w:r>
    <w:r w:rsidR="009603A5">
      <w:instrText xml:space="preserve"> PAGE </w:instrText>
    </w:r>
    <w:r w:rsidR="009603A5">
      <w:fldChar w:fldCharType="separate"/>
    </w:r>
    <w:r w:rsidR="009603A5">
      <w:rPr>
        <w:noProof/>
      </w:rPr>
      <w:t>78</w:t>
    </w:r>
    <w:r w:rsidR="009603A5">
      <w:rPr>
        <w:noProof/>
      </w:rPr>
      <w:fldChar w:fldCharType="end"/>
    </w:r>
  </w:p>
  <w:p w14:paraId="35356CB9" w14:textId="77777777" w:rsidR="009603A5" w:rsidRDefault="009603A5" w:rsidP="00BF0088">
    <w:pPr>
      <w:framePr w:w="6237" w:h="340" w:hSpace="181" w:wrap="around" w:vAnchor="page" w:hAnchor="margin" w:xAlign="center" w:y="14522"/>
      <w:tabs>
        <w:tab w:val="right" w:pos="6237"/>
      </w:tabs>
    </w:pPr>
    <w:bookmarkStart w:id="116" w:name="cpDraftInfo"/>
    <w:r>
      <w:t xml:space="preserve"> </w:t>
    </w:r>
  </w:p>
  <w:bookmarkEnd w:id="116"/>
  <w:p w14:paraId="5D98BDBC" w14:textId="77777777" w:rsidR="009603A5" w:rsidRPr="00F21B42" w:rsidRDefault="009603A5" w:rsidP="00BF0088">
    <w:pPr>
      <w:pStyle w:val="Footer"/>
      <w:pBdr>
        <w:top w:val="single" w:sz="6" w:space="1" w:color="auto"/>
      </w:pBdr>
      <w:jc w:val="center"/>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427A4" w14:textId="77777777" w:rsidR="009603A5" w:rsidRDefault="009603A5" w:rsidP="002862F1">
      <w:pPr>
        <w:spacing w:before="120"/>
      </w:pPr>
      <w:r>
        <w:separator/>
      </w:r>
    </w:p>
  </w:footnote>
  <w:footnote w:type="continuationSeparator" w:id="0">
    <w:p w14:paraId="140E59EF" w14:textId="77777777" w:rsidR="009603A5" w:rsidRDefault="009603A5">
      <w:r>
        <w:continuationSeparator/>
      </w:r>
    </w:p>
  </w:footnote>
  <w:footnote w:type="continuationNotice" w:id="1">
    <w:p w14:paraId="6EECDDC3" w14:textId="77777777" w:rsidR="009603A5" w:rsidRDefault="009603A5"/>
  </w:footnote>
  <w:footnote w:id="2">
    <w:p w14:paraId="2F528C07" w14:textId="246BB55E"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If no case by case exemption applies under s12F SLA department will need to undertake a RIS process or consider whether to seek an exemption under 12G (exempt from RIS requirement for 12 months)</w:t>
      </w:r>
      <w:r w:rsidR="00344D80">
        <w:rPr>
          <w:sz w:val="16"/>
          <w:szCs w:val="16"/>
        </w:rPr>
        <w:t>.</w:t>
      </w:r>
    </w:p>
  </w:footnote>
  <w:footnote w:id="3">
    <w:p w14:paraId="338A1ACB" w14:textId="4A0D1CC5" w:rsidR="009603A5" w:rsidRPr="00344D80" w:rsidRDefault="009603A5" w:rsidP="004D618E">
      <w:pPr>
        <w:pStyle w:val="FootnoteText"/>
        <w:rPr>
          <w:sz w:val="16"/>
          <w:szCs w:val="16"/>
        </w:rPr>
      </w:pPr>
      <w:r w:rsidRPr="00344D80">
        <w:rPr>
          <w:rStyle w:val="FootnoteReference"/>
          <w:sz w:val="16"/>
          <w:szCs w:val="16"/>
        </w:rPr>
        <w:footnoteRef/>
      </w:r>
      <w:r w:rsidRPr="00344D80">
        <w:rPr>
          <w:sz w:val="16"/>
          <w:szCs w:val="16"/>
        </w:rPr>
        <w:t xml:space="preserve"> Part 3A includes the requirement to publish in the Government Gazette (section 16A).</w:t>
      </w:r>
    </w:p>
  </w:footnote>
  <w:footnote w:id="4">
    <w:p w14:paraId="2DC213BA" w14:textId="0ED93DF6" w:rsidR="009603A5" w:rsidRPr="00D25ECB" w:rsidRDefault="009603A5" w:rsidP="00901190">
      <w:pPr>
        <w:pStyle w:val="FootnoteText"/>
      </w:pPr>
      <w:r>
        <w:rPr>
          <w:rStyle w:val="FootnoteReference"/>
        </w:rPr>
        <w:footnoteRef/>
      </w:r>
      <w:r>
        <w:t xml:space="preserve"> </w:t>
      </w:r>
      <w:r>
        <w:rPr>
          <w:sz w:val="16"/>
          <w:szCs w:val="16"/>
        </w:rPr>
        <w:t>Attachment C</w:t>
      </w:r>
      <w:r w:rsidRPr="00D25ECB">
        <w:rPr>
          <w:sz w:val="16"/>
          <w:szCs w:val="16"/>
        </w:rPr>
        <w:t xml:space="preserve"> to this RIS outlines the rationale for </w:t>
      </w:r>
      <w:r>
        <w:rPr>
          <w:sz w:val="16"/>
          <w:szCs w:val="16"/>
        </w:rPr>
        <w:t xml:space="preserve">automatically </w:t>
      </w:r>
      <w:r w:rsidRPr="00D25ECB">
        <w:rPr>
          <w:sz w:val="16"/>
          <w:szCs w:val="16"/>
        </w:rPr>
        <w:t>exempting each of the legislative instruments that fall into this category.</w:t>
      </w:r>
    </w:p>
  </w:footnote>
  <w:footnote w:id="5">
    <w:p w14:paraId="097B9CBE" w14:textId="77777777" w:rsidR="009603A5" w:rsidRPr="00C7223A" w:rsidRDefault="009603A5" w:rsidP="00901190">
      <w:pPr>
        <w:pStyle w:val="FootnoteText"/>
      </w:pPr>
      <w:r>
        <w:rPr>
          <w:rStyle w:val="FootnoteReference"/>
        </w:rPr>
        <w:footnoteRef/>
      </w:r>
      <w:r>
        <w:t xml:space="preserve"> </w:t>
      </w:r>
      <w:r>
        <w:rPr>
          <w:sz w:val="16"/>
          <w:szCs w:val="16"/>
        </w:rPr>
        <w:t xml:space="preserve">Legislative instruments that are administrative are </w:t>
      </w:r>
      <w:r>
        <w:rPr>
          <w:sz w:val="16"/>
          <w:szCs w:val="16"/>
          <w:u w:val="single"/>
        </w:rPr>
        <w:t>not</w:t>
      </w:r>
      <w:r>
        <w:rPr>
          <w:sz w:val="16"/>
          <w:szCs w:val="16"/>
        </w:rPr>
        <w:t xml:space="preserve"> required to meet any requirements of the </w:t>
      </w:r>
      <w:smartTag w:uri="urn:schemas-microsoft-com:office:smarttags" w:element="place">
        <w:r>
          <w:rPr>
            <w:sz w:val="16"/>
            <w:szCs w:val="16"/>
          </w:rPr>
          <w:t>SLA</w:t>
        </w:r>
      </w:smartTag>
      <w:r>
        <w:rPr>
          <w:sz w:val="16"/>
          <w:szCs w:val="16"/>
        </w:rPr>
        <w:t>, including the publication of the making of an instrument in the Government Gazette.</w:t>
      </w:r>
    </w:p>
  </w:footnote>
  <w:footnote w:id="6">
    <w:p w14:paraId="6638D427" w14:textId="77777777" w:rsidR="009603A5" w:rsidRPr="00F43B6B" w:rsidRDefault="009603A5" w:rsidP="00901190">
      <w:pPr>
        <w:pStyle w:val="FootnoteText"/>
      </w:pPr>
      <w:r>
        <w:rPr>
          <w:rStyle w:val="FootnoteReference"/>
        </w:rPr>
        <w:footnoteRef/>
      </w:r>
      <w:r>
        <w:t xml:space="preserve"> </w:t>
      </w:r>
      <w:r w:rsidRPr="006F6FDB">
        <w:rPr>
          <w:i/>
          <w:sz w:val="16"/>
          <w:szCs w:val="16"/>
        </w:rPr>
        <w:t>Parliamentary Debates,</w:t>
      </w:r>
      <w:r w:rsidRPr="006F6FDB">
        <w:rPr>
          <w:sz w:val="16"/>
          <w:szCs w:val="16"/>
        </w:rPr>
        <w:t xml:space="preserve"> Legislative Assembly, 2 September 2010, page 3616</w:t>
      </w:r>
      <w:r>
        <w:rPr>
          <w:sz w:val="16"/>
          <w:szCs w:val="16"/>
        </w:rPr>
        <w:t>.</w:t>
      </w:r>
    </w:p>
  </w:footnote>
  <w:footnote w:id="7">
    <w:p w14:paraId="2D2FBFAD" w14:textId="2AB4C262" w:rsidR="009603A5" w:rsidRPr="00CA54EB" w:rsidRDefault="009603A5" w:rsidP="00901190">
      <w:pPr>
        <w:pStyle w:val="FootnoteText"/>
      </w:pPr>
      <w:r>
        <w:rPr>
          <w:rStyle w:val="FootnoteReference"/>
        </w:rPr>
        <w:footnoteRef/>
      </w:r>
      <w:r w:rsidRPr="00CA54EB">
        <w:rPr>
          <w:sz w:val="16"/>
          <w:szCs w:val="16"/>
        </w:rPr>
        <w:t xml:space="preserve"> </w:t>
      </w:r>
      <w:r>
        <w:rPr>
          <w:sz w:val="16"/>
          <w:szCs w:val="16"/>
        </w:rPr>
        <w:t>An</w:t>
      </w:r>
      <w:r w:rsidRPr="00CA54EB">
        <w:rPr>
          <w:sz w:val="16"/>
          <w:szCs w:val="16"/>
        </w:rPr>
        <w:t xml:space="preserve"> instrument</w:t>
      </w:r>
      <w:r>
        <w:rPr>
          <w:sz w:val="16"/>
          <w:szCs w:val="16"/>
        </w:rPr>
        <w:t xml:space="preserve"> </w:t>
      </w:r>
      <w:r w:rsidRPr="00CA54EB">
        <w:rPr>
          <w:sz w:val="16"/>
          <w:szCs w:val="16"/>
        </w:rPr>
        <w:t>can</w:t>
      </w:r>
      <w:r>
        <w:rPr>
          <w:sz w:val="16"/>
          <w:szCs w:val="16"/>
        </w:rPr>
        <w:t xml:space="preserve"> still</w:t>
      </w:r>
      <w:r w:rsidRPr="00CA54EB">
        <w:rPr>
          <w:sz w:val="16"/>
          <w:szCs w:val="16"/>
        </w:rPr>
        <w:t xml:space="preserve"> be exempted on a case-by-case basis by the responsible Minister if an instance of </w:t>
      </w:r>
      <w:r>
        <w:rPr>
          <w:sz w:val="16"/>
          <w:szCs w:val="16"/>
        </w:rPr>
        <w:t>its</w:t>
      </w:r>
      <w:r w:rsidRPr="00CA54EB">
        <w:rPr>
          <w:sz w:val="16"/>
          <w:szCs w:val="16"/>
        </w:rPr>
        <w:t xml:space="preserve"> use meets one or more of the exemption criteria in the </w:t>
      </w:r>
      <w:r>
        <w:rPr>
          <w:sz w:val="16"/>
          <w:szCs w:val="16"/>
        </w:rPr>
        <w:t>SLA (section 12F)</w:t>
      </w:r>
      <w:r w:rsidRPr="00CA54EB">
        <w:rPr>
          <w:sz w:val="16"/>
          <w:szCs w:val="16"/>
        </w:rPr>
        <w:t>.</w:t>
      </w:r>
    </w:p>
  </w:footnote>
  <w:footnote w:id="8">
    <w:p w14:paraId="6874A4C0" w14:textId="06F40E38" w:rsidR="009603A5" w:rsidRPr="001F4EC6" w:rsidRDefault="009603A5">
      <w:pPr>
        <w:pStyle w:val="FootnoteText"/>
        <w:rPr>
          <w:sz w:val="16"/>
          <w:szCs w:val="16"/>
        </w:rPr>
      </w:pPr>
      <w:r>
        <w:rPr>
          <w:rStyle w:val="FootnoteReference"/>
        </w:rPr>
        <w:footnoteRef/>
      </w:r>
      <w:r>
        <w:t xml:space="preserve"> </w:t>
      </w:r>
      <w:r w:rsidRPr="001F4EC6">
        <w:rPr>
          <w:sz w:val="16"/>
          <w:szCs w:val="16"/>
        </w:rPr>
        <w:t xml:space="preserve">This estimate is </w:t>
      </w:r>
      <w:r>
        <w:rPr>
          <w:sz w:val="16"/>
          <w:szCs w:val="16"/>
        </w:rPr>
        <w:t>b</w:t>
      </w:r>
      <w:r w:rsidRPr="001F4EC6">
        <w:rPr>
          <w:sz w:val="16"/>
          <w:szCs w:val="16"/>
        </w:rPr>
        <w:t xml:space="preserve">ased on </w:t>
      </w:r>
      <w:r>
        <w:rPr>
          <w:sz w:val="16"/>
          <w:szCs w:val="16"/>
        </w:rPr>
        <w:t xml:space="preserve">the </w:t>
      </w:r>
      <w:r w:rsidRPr="001F4EC6">
        <w:rPr>
          <w:sz w:val="16"/>
          <w:szCs w:val="16"/>
        </w:rPr>
        <w:t xml:space="preserve">2010 RIS for Current Regulations </w:t>
      </w:r>
      <w:r w:rsidRPr="00CE2A97">
        <w:rPr>
          <w:sz w:val="16"/>
          <w:szCs w:val="16"/>
        </w:rPr>
        <w:t xml:space="preserve">which </w:t>
      </w:r>
      <w:r>
        <w:rPr>
          <w:sz w:val="16"/>
          <w:szCs w:val="16"/>
        </w:rPr>
        <w:t>estimated</w:t>
      </w:r>
      <w:r w:rsidRPr="00CE2A97">
        <w:rPr>
          <w:sz w:val="16"/>
          <w:szCs w:val="16"/>
        </w:rPr>
        <w:t xml:space="preserve"> $450 </w:t>
      </w:r>
      <w:r>
        <w:rPr>
          <w:sz w:val="16"/>
          <w:szCs w:val="16"/>
        </w:rPr>
        <w:t>for</w:t>
      </w:r>
      <w:r w:rsidRPr="00CE2A97">
        <w:rPr>
          <w:sz w:val="16"/>
          <w:szCs w:val="16"/>
        </w:rPr>
        <w:t xml:space="preserve"> 6</w:t>
      </w:r>
      <w:r>
        <w:rPr>
          <w:sz w:val="16"/>
          <w:szCs w:val="16"/>
        </w:rPr>
        <w:t xml:space="preserve"> hours</w:t>
      </w:r>
      <w:r w:rsidRPr="00CE2A97">
        <w:rPr>
          <w:sz w:val="16"/>
          <w:szCs w:val="16"/>
        </w:rPr>
        <w:t xml:space="preserve"> of staff time, </w:t>
      </w:r>
      <w:r>
        <w:rPr>
          <w:sz w:val="16"/>
          <w:szCs w:val="16"/>
        </w:rPr>
        <w:t>which</w:t>
      </w:r>
      <w:r w:rsidRPr="00CE2A97">
        <w:rPr>
          <w:sz w:val="16"/>
          <w:szCs w:val="16"/>
        </w:rPr>
        <w:t xml:space="preserve"> is equivalent to the midpoint of the VPS5 range in 2011 (plus oncosts and overheads of 75%). </w:t>
      </w:r>
      <w:r>
        <w:rPr>
          <w:sz w:val="16"/>
          <w:szCs w:val="16"/>
        </w:rPr>
        <w:t xml:space="preserve">Using the </w:t>
      </w:r>
      <w:r w:rsidRPr="00CE2A97">
        <w:rPr>
          <w:sz w:val="16"/>
          <w:szCs w:val="16"/>
        </w:rPr>
        <w:t xml:space="preserve">1 December 2020 </w:t>
      </w:r>
      <w:r>
        <w:rPr>
          <w:sz w:val="16"/>
          <w:szCs w:val="16"/>
        </w:rPr>
        <w:t xml:space="preserve">VPS 5 level midpoint </w:t>
      </w:r>
      <w:r w:rsidRPr="00FA23D1">
        <w:rPr>
          <w:sz w:val="16"/>
          <w:szCs w:val="16"/>
        </w:rPr>
        <w:t>$</w:t>
      </w:r>
      <w:r>
        <w:rPr>
          <w:sz w:val="16"/>
          <w:szCs w:val="16"/>
        </w:rPr>
        <w:t>111,734</w:t>
      </w:r>
      <w:r w:rsidRPr="00FA23D1">
        <w:rPr>
          <w:sz w:val="16"/>
          <w:szCs w:val="16"/>
        </w:rPr>
        <w:t xml:space="preserve"> (</w:t>
      </w:r>
      <w:r>
        <w:rPr>
          <w:sz w:val="16"/>
          <w:szCs w:val="16"/>
        </w:rPr>
        <w:t>$</w:t>
      </w:r>
      <w:r w:rsidRPr="00C47EBE">
        <w:rPr>
          <w:sz w:val="16"/>
          <w:szCs w:val="16"/>
        </w:rPr>
        <w:t>101,120 - $122,348</w:t>
      </w:r>
      <w:r w:rsidRPr="00FA23D1">
        <w:rPr>
          <w:sz w:val="16"/>
          <w:szCs w:val="16"/>
        </w:rPr>
        <w:t>)</w:t>
      </w:r>
      <w:r>
        <w:rPr>
          <w:sz w:val="16"/>
          <w:szCs w:val="16"/>
        </w:rPr>
        <w:t xml:space="preserve"> plus </w:t>
      </w:r>
      <w:r w:rsidRPr="00C47EBE">
        <w:rPr>
          <w:sz w:val="16"/>
          <w:szCs w:val="16"/>
        </w:rPr>
        <w:t xml:space="preserve">75% oncosts and overheads * 6 hours </w:t>
      </w:r>
      <w:r>
        <w:rPr>
          <w:sz w:val="16"/>
          <w:szCs w:val="16"/>
        </w:rPr>
        <w:t>gives an estimate of</w:t>
      </w:r>
      <w:r w:rsidRPr="00C47EBE">
        <w:rPr>
          <w:sz w:val="16"/>
          <w:szCs w:val="16"/>
        </w:rPr>
        <w:t xml:space="preserve"> $592 </w:t>
      </w:r>
      <w:r>
        <w:rPr>
          <w:sz w:val="16"/>
          <w:szCs w:val="16"/>
        </w:rPr>
        <w:t>which has been</w:t>
      </w:r>
      <w:r w:rsidRPr="00C47EBE">
        <w:rPr>
          <w:sz w:val="16"/>
          <w:szCs w:val="16"/>
        </w:rPr>
        <w:t xml:space="preserve"> round</w:t>
      </w:r>
      <w:r>
        <w:rPr>
          <w:sz w:val="16"/>
          <w:szCs w:val="16"/>
        </w:rPr>
        <w:t>ed</w:t>
      </w:r>
      <w:r w:rsidRPr="00C47EBE">
        <w:rPr>
          <w:sz w:val="16"/>
          <w:szCs w:val="16"/>
        </w:rPr>
        <w:t xml:space="preserve"> to ‘approximately $600’</w:t>
      </w:r>
      <w:r>
        <w:rPr>
          <w:sz w:val="16"/>
          <w:szCs w:val="16"/>
        </w:rPr>
        <w:t xml:space="preserve"> to avoid the implication of precision</w:t>
      </w:r>
      <w:r w:rsidRPr="00C47EBE">
        <w:rPr>
          <w:sz w:val="16"/>
          <w:szCs w:val="16"/>
        </w:rPr>
        <w:t>.</w:t>
      </w:r>
    </w:p>
  </w:footnote>
  <w:footnote w:id="9">
    <w:p w14:paraId="5B7950A5" w14:textId="6D495A79" w:rsidR="009603A5" w:rsidRDefault="009603A5">
      <w:pPr>
        <w:pStyle w:val="FootnoteText"/>
      </w:pPr>
      <w:r w:rsidRPr="00344D80">
        <w:rPr>
          <w:rStyle w:val="FootnoteReference"/>
          <w:sz w:val="16"/>
          <w:szCs w:val="16"/>
        </w:rPr>
        <w:footnoteRef/>
      </w:r>
      <w:r w:rsidRPr="00344D80">
        <w:rPr>
          <w:sz w:val="16"/>
          <w:szCs w:val="16"/>
        </w:rPr>
        <w:t xml:space="preserve"> Not listed in any order of priority.</w:t>
      </w:r>
    </w:p>
  </w:footnote>
  <w:footnote w:id="10">
    <w:p w14:paraId="4367C3CC" w14:textId="77777777"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w:t>
      </w:r>
      <w:r w:rsidRPr="00344D80">
        <w:rPr>
          <w:rFonts w:ascii="Arial" w:hAnsi="Arial" w:cs="Arial"/>
          <w:i/>
          <w:iCs/>
          <w:sz w:val="16"/>
          <w:szCs w:val="16"/>
          <w:lang w:eastAsia="en-AU"/>
        </w:rPr>
        <w:t>Victorian Guide to Regulation</w:t>
      </w:r>
      <w:r w:rsidRPr="00344D80">
        <w:rPr>
          <w:rFonts w:ascii="Arial" w:hAnsi="Arial" w:cs="Arial"/>
          <w:sz w:val="16"/>
          <w:szCs w:val="16"/>
          <w:lang w:eastAsia="en-AU"/>
        </w:rPr>
        <w:t>, 2016, page 19.</w:t>
      </w:r>
    </w:p>
  </w:footnote>
  <w:footnote w:id="11">
    <w:p w14:paraId="1EC4B7C3" w14:textId="57767785"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This estimate is based on the 2010 RIS for Current Regulations which estimated $450 for 6 hours of staff time, which is equivalent to the midpoint of the VPS5 range in 2011 (plus oncosts and overheads of 75%). Using the 1 December 2020 VPS 5 level midpoint $111,734 ($101,120 - $122,348) plus 75% oncosts and overheads * 6 hours gives an estimate of $592 which has been rounded to ‘approximately $600’ to avoid the implication of precision.</w:t>
      </w:r>
    </w:p>
  </w:footnote>
  <w:footnote w:id="12">
    <w:p w14:paraId="131164E7" w14:textId="5DE1B078"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This estimate is based on surveys completed by agency staff for the 23 RISs that received a letter of assessment from BRV in the 2019-20 financial year. This includes both agency staff costs and consultant costs, where relevant. This is an approximate figure, as costs fluctuate year to year and are influenced by outliers given the small sample size. Over the period, RISs varied in cost between about $30,000 and $800,000 and were prepared for regulations expected to have impacts ranging from small and unquantifiable to over $1 billion over 10 years.</w:t>
      </w:r>
    </w:p>
  </w:footnote>
  <w:footnote w:id="13">
    <w:p w14:paraId="7C71EDB9" w14:textId="5A57A2C0"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Estimated based on the 593 provisions under which legislative instruments are proposed to be automatically exempt, and instruments being made on average about once every 14 to 24 months per provision.</w:t>
      </w:r>
    </w:p>
  </w:footnote>
  <w:footnote w:id="14">
    <w:p w14:paraId="6E0482C3" w14:textId="2C90AC3D" w:rsidR="009603A5" w:rsidRDefault="009603A5">
      <w:pPr>
        <w:pStyle w:val="FootnoteText"/>
      </w:pPr>
      <w:r w:rsidRPr="00344D80">
        <w:rPr>
          <w:rStyle w:val="FootnoteReference"/>
          <w:sz w:val="16"/>
          <w:szCs w:val="16"/>
        </w:rPr>
        <w:footnoteRef/>
      </w:r>
      <w:r w:rsidRPr="00344D80">
        <w:rPr>
          <w:sz w:val="16"/>
          <w:szCs w:val="16"/>
        </w:rPr>
        <w:t xml:space="preserve"> If the base case applies the 7 legislative instruments in regulations 9 and 10 would need to be gazetted. Those legislative instruments are not currently reviewed by SARC. There is no data available to indicate how often those legislative instruments are made to then calculate the impact on SARC’s workload.</w:t>
      </w:r>
    </w:p>
  </w:footnote>
  <w:footnote w:id="15">
    <w:p w14:paraId="3B559D30" w14:textId="7A68AF9B" w:rsidR="009603A5" w:rsidRPr="00582F3D" w:rsidRDefault="009603A5" w:rsidP="00344D80">
      <w:pPr>
        <w:pStyle w:val="FootnoteText"/>
      </w:pPr>
      <w:r w:rsidRPr="00344D80">
        <w:rPr>
          <w:rStyle w:val="FootnoteReference"/>
          <w:sz w:val="16"/>
          <w:szCs w:val="16"/>
        </w:rPr>
        <w:footnoteRef/>
      </w:r>
      <w:r w:rsidRPr="00344D80">
        <w:rPr>
          <w:sz w:val="16"/>
          <w:szCs w:val="16"/>
        </w:rPr>
        <w:t xml:space="preserve"> 17 provisions to make legislative instruments.</w:t>
      </w:r>
    </w:p>
  </w:footnote>
  <w:footnote w:id="16">
    <w:p w14:paraId="60E1F8FB" w14:textId="228558D7" w:rsidR="009603A5" w:rsidRPr="00991BB6" w:rsidRDefault="009603A5" w:rsidP="00556D2C">
      <w:pPr>
        <w:pStyle w:val="FootnoteText"/>
      </w:pPr>
      <w:r>
        <w:rPr>
          <w:rStyle w:val="FootnoteReference"/>
        </w:rPr>
        <w:footnoteRef/>
      </w:r>
      <w:r>
        <w:t xml:space="preserve"> </w:t>
      </w:r>
      <w:r>
        <w:rPr>
          <w:sz w:val="16"/>
          <w:szCs w:val="16"/>
        </w:rPr>
        <w:t>These cases are</w:t>
      </w:r>
      <w:r w:rsidRPr="00991BB6">
        <w:rPr>
          <w:sz w:val="16"/>
          <w:szCs w:val="16"/>
        </w:rPr>
        <w:t xml:space="preserve"> different to those exempt for public emergency reasons, where the legislative instruments are only 12 months in duration.</w:t>
      </w:r>
    </w:p>
  </w:footnote>
  <w:footnote w:id="17">
    <w:p w14:paraId="46281945" w14:textId="1BCFF3F8" w:rsidR="009603A5" w:rsidRPr="00344D80" w:rsidRDefault="009603A5" w:rsidP="00C72EB3">
      <w:pPr>
        <w:pStyle w:val="FootnoteText"/>
        <w:rPr>
          <w:sz w:val="16"/>
          <w:szCs w:val="16"/>
        </w:rPr>
      </w:pPr>
      <w:r w:rsidRPr="00344D80">
        <w:rPr>
          <w:rStyle w:val="FootnoteReference"/>
          <w:sz w:val="16"/>
          <w:szCs w:val="16"/>
        </w:rPr>
        <w:footnoteRef/>
      </w:r>
      <w:r w:rsidRPr="00344D80">
        <w:rPr>
          <w:sz w:val="16"/>
          <w:szCs w:val="16"/>
        </w:rPr>
        <w:t xml:space="preserve"> </w:t>
      </w:r>
      <w:r w:rsidRPr="00344D80">
        <w:rPr>
          <w:rFonts w:cstheme="minorHAnsi"/>
          <w:sz w:val="16"/>
          <w:szCs w:val="16"/>
        </w:rPr>
        <w:t>National uniform legislation schemes and RIS equivalent process.</w:t>
      </w:r>
    </w:p>
  </w:footnote>
  <w:footnote w:id="18">
    <w:p w14:paraId="3C0F3CCB" w14:textId="796A0E1D"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These estimates relate to Schedule 3 provisions to make legislative instruments and those provisions in the main body of the Proposed Regulations.</w:t>
      </w:r>
    </w:p>
  </w:footnote>
  <w:footnote w:id="19">
    <w:p w14:paraId="0BAE0A48" w14:textId="25079A46"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This estimate is based on surveys completed by agency staff for the 23 RISs that received a letter of assessment from BRV in the 2019-20 financial year. This includes both agency staff costs and consultant costs, where relevant. This is an approximate figure, as costs fluctuate year to year and are influenced by outliers given the small sample size. Over the period, RISs varied in cost between about $30,000 and $800,000 and were prepared for regulations expected to have impacts ranging from small and unquantifiable to over $1 billion over 10 years.</w:t>
      </w:r>
    </w:p>
  </w:footnote>
  <w:footnote w:id="20">
    <w:p w14:paraId="53332F2F" w14:textId="77777777" w:rsidR="009603A5" w:rsidRPr="00344D80" w:rsidRDefault="009603A5" w:rsidP="00717327">
      <w:pPr>
        <w:pStyle w:val="FootnoteText"/>
        <w:rPr>
          <w:sz w:val="16"/>
          <w:szCs w:val="16"/>
        </w:rPr>
      </w:pPr>
      <w:r w:rsidRPr="00344D80">
        <w:rPr>
          <w:rStyle w:val="FootnoteReference"/>
          <w:sz w:val="16"/>
          <w:szCs w:val="16"/>
        </w:rPr>
        <w:footnoteRef/>
      </w:r>
      <w:r w:rsidRPr="00344D80">
        <w:rPr>
          <w:sz w:val="16"/>
          <w:szCs w:val="16"/>
        </w:rPr>
        <w:t xml:space="preserve"> Estimated range supplied by BRV, the central estimate of 50% has been used for the purposes of costings in Tables 7A and 7B.</w:t>
      </w:r>
    </w:p>
  </w:footnote>
  <w:footnote w:id="21">
    <w:p w14:paraId="19AAD5E2" w14:textId="37E89C98" w:rsidR="009603A5" w:rsidRPr="00344D80" w:rsidRDefault="009603A5" w:rsidP="00717327">
      <w:pPr>
        <w:pStyle w:val="FootnoteText"/>
        <w:rPr>
          <w:sz w:val="16"/>
          <w:szCs w:val="16"/>
        </w:rPr>
      </w:pPr>
      <w:r w:rsidRPr="00344D80">
        <w:rPr>
          <w:rStyle w:val="FootnoteReference"/>
          <w:sz w:val="16"/>
          <w:szCs w:val="16"/>
        </w:rPr>
        <w:footnoteRef/>
      </w:r>
      <w:r w:rsidRPr="00344D80">
        <w:rPr>
          <w:sz w:val="16"/>
          <w:szCs w:val="16"/>
        </w:rPr>
        <w:t xml:space="preserve"> Based on estimated BRV staff time spent on the 23 RISs which received a letter of assessment in financial year 2019-20. BRV notes that this figure is difficult to estimate precisely due to the uneven nature of the work, variation across RISs and the small sample size. Moreover, BRV undertakes a range of work beyond reviewing RISs which complicates estimating the effort spent on RISs. The estimate represents the expected marginal cost to BRV resources of reviewing one additional RIS. The central estimate of $15,000 has been used for Tables 7A and 7B. </w:t>
      </w:r>
    </w:p>
  </w:footnote>
  <w:footnote w:id="22">
    <w:p w14:paraId="01BA5E7D" w14:textId="18034F88" w:rsidR="009603A5" w:rsidRPr="00344D80" w:rsidRDefault="009603A5" w:rsidP="00717327">
      <w:pPr>
        <w:pStyle w:val="FootnoteText"/>
        <w:rPr>
          <w:sz w:val="16"/>
          <w:szCs w:val="16"/>
        </w:rPr>
      </w:pPr>
      <w:r w:rsidRPr="00344D80">
        <w:rPr>
          <w:rStyle w:val="FootnoteReference"/>
          <w:sz w:val="16"/>
          <w:szCs w:val="16"/>
        </w:rPr>
        <w:footnoteRef/>
      </w:r>
      <w:r w:rsidRPr="00344D80">
        <w:rPr>
          <w:sz w:val="16"/>
          <w:szCs w:val="16"/>
        </w:rPr>
        <w:t xml:space="preserve"> $600 is the central estimate and is based on an expected cost to instrument makers of approximately the equivalent of 6 hours of VPS5 level staff time including oncosts and overheads. An upper bound estimate of $1,500 represents the equivalent of 15.5 hours of VPS5 level staff time including oncosts and overheads.</w:t>
      </w:r>
    </w:p>
  </w:footnote>
  <w:footnote w:id="23">
    <w:p w14:paraId="5FCBF2EC" w14:textId="12CDF6FF" w:rsidR="009603A5" w:rsidRPr="00344D80" w:rsidRDefault="009603A5" w:rsidP="003B2B57">
      <w:pPr>
        <w:pStyle w:val="FootnoteText"/>
        <w:rPr>
          <w:sz w:val="16"/>
          <w:szCs w:val="16"/>
        </w:rPr>
      </w:pPr>
      <w:r w:rsidRPr="00344D80">
        <w:rPr>
          <w:rStyle w:val="FootnoteReference"/>
          <w:sz w:val="16"/>
          <w:szCs w:val="16"/>
        </w:rPr>
        <w:footnoteRef/>
      </w:r>
      <w:r w:rsidRPr="00344D80">
        <w:rPr>
          <w:sz w:val="16"/>
          <w:szCs w:val="16"/>
        </w:rPr>
        <w:t xml:space="preserve"> BRV costs of reviewing exemption certificates not estimated due to the difficulty in estimating them. They are difficult due to the voluntary, variable and ad hoc nature of these requests for advice. BRV spends a relatively small portion of its total effort on providing advice on exemptions, so excluding this cost should not materially affect the calculations. Agencies often prepare exemption certificates without seeking BRV advice, so this cost would only apply to a portion of the exemption certificates.</w:t>
      </w:r>
    </w:p>
  </w:footnote>
  <w:footnote w:id="24">
    <w:p w14:paraId="5EEDDA7E" w14:textId="1F3616D3"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DPC expects that agencies spend approximately the same effort on a s12G certificate as on a s12F certificate. DPC processing of the request for exemption is expected to take approximately one week of VPS5 staff time on average, which at the average VPS5 salary is equivalent to $2,141 including oncosts and overheads.</w:t>
      </w:r>
    </w:p>
  </w:footnote>
  <w:footnote w:id="25">
    <w:p w14:paraId="13D6D5AA" w14:textId="7F37BE51"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DPC expects that agencies spend approximately the same effort on a request for placement of a provision on Schedule 3 or in the body of the Regulations as they would spend on an exemption certificate.</w:t>
      </w:r>
    </w:p>
  </w:footnote>
  <w:footnote w:id="26">
    <w:p w14:paraId="2E3341A5" w14:textId="68C4CB62" w:rsidR="009603A5" w:rsidRPr="00344D80" w:rsidRDefault="009603A5" w:rsidP="003B2B57">
      <w:pPr>
        <w:pStyle w:val="FootnoteText"/>
        <w:rPr>
          <w:sz w:val="16"/>
          <w:szCs w:val="16"/>
        </w:rPr>
      </w:pPr>
      <w:r w:rsidRPr="00344D80">
        <w:rPr>
          <w:rStyle w:val="FootnoteReference"/>
          <w:sz w:val="16"/>
          <w:szCs w:val="16"/>
        </w:rPr>
        <w:footnoteRef/>
      </w:r>
      <w:r w:rsidRPr="00344D80">
        <w:rPr>
          <w:sz w:val="16"/>
          <w:szCs w:val="16"/>
        </w:rPr>
        <w:t>DPC does not keep data of all the costs (time and resources) used for the preparation of the Current or Proposed Regulations, once every 10 years, as this occurs within existing budgets. This is an illustrative estimate of staff costs and equates to about one year of VPS5 level staff time including oncosts or overheads and aligns with the average cost of preparing a RIS.</w:t>
      </w:r>
    </w:p>
  </w:footnote>
  <w:footnote w:id="27">
    <w:p w14:paraId="2529797F" w14:textId="5173B9F9" w:rsidR="009603A5" w:rsidRDefault="009603A5" w:rsidP="003B2B57">
      <w:pPr>
        <w:pStyle w:val="FootnoteText"/>
      </w:pPr>
      <w:r w:rsidRPr="00344D80">
        <w:rPr>
          <w:rStyle w:val="FootnoteReference"/>
          <w:sz w:val="16"/>
          <w:szCs w:val="16"/>
        </w:rPr>
        <w:footnoteRef/>
      </w:r>
      <w:r w:rsidRPr="00344D80">
        <w:rPr>
          <w:sz w:val="16"/>
          <w:szCs w:val="16"/>
        </w:rPr>
        <w:t xml:space="preserve"> DPC does not keep data of all the costs (time and resources) used for the amending of the Current or Proposed Regulations, typically annually, as this occurs within existing budgets. This is an illustrative estimate where of staff costs are estimated to be about one tenth of the effort to make the Regulations. Note that this is multiplied by 0.9, as the Regulations are remade rather than amended in the 10</w:t>
      </w:r>
      <w:r w:rsidRPr="00344D80">
        <w:rPr>
          <w:sz w:val="16"/>
          <w:szCs w:val="16"/>
          <w:vertAlign w:val="superscript"/>
        </w:rPr>
        <w:t>th</w:t>
      </w:r>
      <w:r w:rsidRPr="00344D80">
        <w:rPr>
          <w:sz w:val="16"/>
          <w:szCs w:val="16"/>
        </w:rPr>
        <w:t xml:space="preserve"> year.</w:t>
      </w:r>
    </w:p>
  </w:footnote>
  <w:footnote w:id="28">
    <w:p w14:paraId="4B7CE808" w14:textId="04C46D3F" w:rsidR="009603A5" w:rsidRPr="00344D80" w:rsidRDefault="009603A5" w:rsidP="008D0E76">
      <w:pPr>
        <w:pStyle w:val="FootnoteText"/>
        <w:rPr>
          <w:sz w:val="16"/>
          <w:szCs w:val="16"/>
        </w:rPr>
      </w:pPr>
      <w:r w:rsidRPr="00344D80">
        <w:rPr>
          <w:rStyle w:val="FootnoteReference"/>
          <w:sz w:val="16"/>
          <w:szCs w:val="16"/>
        </w:rPr>
        <w:footnoteRef/>
      </w:r>
      <w:r w:rsidRPr="00344D80">
        <w:rPr>
          <w:sz w:val="16"/>
          <w:szCs w:val="16"/>
        </w:rPr>
        <w:t xml:space="preserve"> Estimated based on those legislative instruments falling under the public interest exemption which would not otherwise be exempt through section 12F or 12G exemption certificates. Based on consultation with Departments, it is expected the Options would avoid 5 RISs per year, with 10 RISs per year representing the upper bound. There is no data available on the exact frequency that such legislative instruments are made.</w:t>
      </w:r>
    </w:p>
  </w:footnote>
  <w:footnote w:id="29">
    <w:p w14:paraId="02A445EC" w14:textId="02FEA504" w:rsidR="009603A5" w:rsidRPr="00344D80" w:rsidRDefault="009603A5" w:rsidP="001A3B93">
      <w:pPr>
        <w:pStyle w:val="FootnoteText"/>
        <w:rPr>
          <w:sz w:val="16"/>
          <w:szCs w:val="16"/>
        </w:rPr>
      </w:pPr>
      <w:r w:rsidRPr="00344D80">
        <w:rPr>
          <w:rStyle w:val="FootnoteReference"/>
          <w:sz w:val="16"/>
          <w:szCs w:val="16"/>
        </w:rPr>
        <w:footnoteRef/>
      </w:r>
      <w:r w:rsidRPr="00344D80">
        <w:rPr>
          <w:sz w:val="16"/>
          <w:szCs w:val="16"/>
        </w:rPr>
        <w:t xml:space="preserve"> Estimated as the average number of instruments automatically exempted under Schedule 3 or the body of the Regulations per year less the number that have a RIS prepared and less those that receive a 12G exemption. 255 is the central estimate and 435 is an upper bound.</w:t>
      </w:r>
    </w:p>
  </w:footnote>
  <w:footnote w:id="30">
    <w:p w14:paraId="0D3D2F63" w14:textId="67547989"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Estimated as the average number of instruments automatically exempted under Schedule 3 or the body of the Regulations per year less the number that have a RIS prepared and less those that receive a 12G exemption and less those that would have received an exemption on National Scheme or RIS equivalence grounds. 245 is the central estimate and 415 is an upper bound.</w:t>
      </w:r>
    </w:p>
  </w:footnote>
  <w:footnote w:id="31">
    <w:p w14:paraId="5C4B3CBD" w14:textId="6637EFCE" w:rsidR="009603A5" w:rsidRPr="00344D80" w:rsidRDefault="009603A5" w:rsidP="00103806">
      <w:pPr>
        <w:pStyle w:val="FootnoteText"/>
        <w:rPr>
          <w:sz w:val="16"/>
          <w:szCs w:val="16"/>
        </w:rPr>
      </w:pPr>
      <w:r w:rsidRPr="00344D80">
        <w:rPr>
          <w:rStyle w:val="FootnoteReference"/>
          <w:sz w:val="16"/>
          <w:szCs w:val="16"/>
        </w:rPr>
        <w:footnoteRef/>
      </w:r>
      <w:r w:rsidRPr="00344D80">
        <w:rPr>
          <w:sz w:val="16"/>
          <w:szCs w:val="16"/>
        </w:rPr>
        <w:t xml:space="preserve"> This is estimated based on the 89 provisions exempt under the public interest grounds being used to make legislative instruments about once every 18 to 27 months on average, with 40 being the central estimate.</w:t>
      </w:r>
    </w:p>
  </w:footnote>
  <w:footnote w:id="32">
    <w:p w14:paraId="147952EF" w14:textId="4A7E7DED"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This is estimated based on the 87 provisions exempt under the National Scheme or RIS equivalence being used to make legislative instruments about once every 4 to 9 years on average, with 10 being the central estimate.</w:t>
      </w:r>
    </w:p>
  </w:footnote>
  <w:footnote w:id="33">
    <w:p w14:paraId="73AE4A04" w14:textId="1D45B95D" w:rsidR="009603A5" w:rsidRPr="00344D80" w:rsidRDefault="009603A5">
      <w:pPr>
        <w:pStyle w:val="FootnoteText"/>
        <w:rPr>
          <w:sz w:val="16"/>
          <w:szCs w:val="16"/>
        </w:rPr>
      </w:pPr>
      <w:r w:rsidRPr="00344D80">
        <w:rPr>
          <w:rStyle w:val="FootnoteReference"/>
          <w:sz w:val="16"/>
          <w:szCs w:val="16"/>
        </w:rPr>
        <w:footnoteRef/>
      </w:r>
      <w:r w:rsidRPr="00344D80">
        <w:rPr>
          <w:sz w:val="16"/>
          <w:szCs w:val="16"/>
        </w:rPr>
        <w:t xml:space="preserve"> This is estimated based on the 593 provisions on Schedule 3 and in the body of the Regulations being used to make legislative instruments about once every 14 to 24 months on average, with 300 being the central estimate. </w:t>
      </w:r>
    </w:p>
  </w:footnote>
  <w:footnote w:id="34">
    <w:p w14:paraId="45A96D86" w14:textId="77777777" w:rsidR="009603A5" w:rsidRDefault="009603A5" w:rsidP="00103806">
      <w:pPr>
        <w:pStyle w:val="FootnoteText"/>
      </w:pPr>
      <w:r w:rsidRPr="00344D80">
        <w:rPr>
          <w:rStyle w:val="FootnoteReference"/>
          <w:sz w:val="16"/>
          <w:szCs w:val="16"/>
        </w:rPr>
        <w:footnoteRef/>
      </w:r>
      <w:r w:rsidRPr="00344D80">
        <w:rPr>
          <w:sz w:val="16"/>
          <w:szCs w:val="16"/>
        </w:rPr>
        <w:t xml:space="preserve"> Annual figure estimate based on average amendments made to the Current Regulations over the last 10 years.</w:t>
      </w:r>
    </w:p>
  </w:footnote>
  <w:footnote w:id="35">
    <w:p w14:paraId="7705030E" w14:textId="77777777" w:rsidR="009603A5" w:rsidRPr="00344D80" w:rsidRDefault="009603A5" w:rsidP="00920E29">
      <w:pPr>
        <w:pStyle w:val="FootnoteText"/>
        <w:rPr>
          <w:sz w:val="16"/>
          <w:szCs w:val="16"/>
        </w:rPr>
      </w:pPr>
      <w:r w:rsidRPr="00344D80">
        <w:rPr>
          <w:rStyle w:val="FootnoteReference"/>
          <w:sz w:val="16"/>
          <w:szCs w:val="16"/>
        </w:rPr>
        <w:footnoteRef/>
      </w:r>
      <w:r w:rsidRPr="00344D80">
        <w:rPr>
          <w:sz w:val="16"/>
          <w:szCs w:val="16"/>
        </w:rPr>
        <w:t xml:space="preserve"> Office of the Commissioner for Better Regulation. (2016). </w:t>
      </w:r>
      <w:r w:rsidRPr="00344D80">
        <w:rPr>
          <w:i/>
          <w:sz w:val="16"/>
          <w:szCs w:val="16"/>
        </w:rPr>
        <w:t>Victorian Guide to Regulation: A handbook for policy-makers in Victoria</w:t>
      </w:r>
      <w:r w:rsidRPr="00344D80">
        <w:rPr>
          <w:sz w:val="16"/>
          <w:szCs w:val="16"/>
        </w:rPr>
        <w:t xml:space="preserve">. Melbourne, Australia. Accessed at: </w:t>
      </w:r>
      <w:hyperlink r:id="rId1" w:history="1">
        <w:r w:rsidRPr="00344D80">
          <w:rPr>
            <w:rStyle w:val="Hyperlink"/>
            <w:sz w:val="16"/>
            <w:szCs w:val="16"/>
          </w:rPr>
          <w:t>http://www.betterregulation.vic.gov.au/files/98181269-905c-4893-bff3- a6bb009df93c/Victorian-Guide-to-Regulation-PDF-final.pdf</w:t>
        </w:r>
      </w:hyperlink>
      <w:r w:rsidRPr="00344D8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7A3C" w14:textId="77777777" w:rsidR="006E13DB" w:rsidRDefault="006E1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0D94" w14:textId="77777777" w:rsidR="009603A5" w:rsidRDefault="009603A5">
    <w:pPr>
      <w:pStyle w:val="Header"/>
    </w:pPr>
    <w:r>
      <w:rPr>
        <w:noProof/>
        <w:lang w:eastAsia="en-AU"/>
      </w:rPr>
      <w:drawing>
        <wp:anchor distT="0" distB="0" distL="114300" distR="114300" simplePos="0" relativeHeight="251658752" behindDoc="0" locked="1" layoutInCell="0" allowOverlap="1" wp14:anchorId="3400BE17" wp14:editId="1B893B58">
          <wp:simplePos x="0" y="0"/>
          <wp:positionH relativeFrom="page">
            <wp:posOffset>10160</wp:posOffset>
          </wp:positionH>
          <wp:positionV relativeFrom="page">
            <wp:posOffset>254635</wp:posOffset>
          </wp:positionV>
          <wp:extent cx="7559675" cy="499110"/>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499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BBFC" w14:textId="77777777" w:rsidR="006E13DB" w:rsidRDefault="006E13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6FE55" w14:textId="77777777" w:rsidR="009603A5" w:rsidRPr="003D54D7" w:rsidRDefault="009603A5" w:rsidP="003D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A29771"/>
    <w:multiLevelType w:val="hybridMultilevel"/>
    <w:tmpl w:val="3DF1B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FB741A"/>
    <w:multiLevelType w:val="hybridMultilevel"/>
    <w:tmpl w:val="42506EA0"/>
    <w:lvl w:ilvl="0" w:tplc="627A79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12CDD"/>
    <w:multiLevelType w:val="hybridMultilevel"/>
    <w:tmpl w:val="B664B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C275B"/>
    <w:multiLevelType w:val="multilevel"/>
    <w:tmpl w:val="01929E94"/>
    <w:lvl w:ilvl="0">
      <w:start w:val="1"/>
      <w:numFmt w:val="bullet"/>
      <w:lvlText w:val=""/>
      <w:lvlJc w:val="left"/>
      <w:pPr>
        <w:ind w:left="568" w:hanging="284"/>
      </w:pPr>
      <w:rPr>
        <w:rFonts w:ascii="Symbol" w:hAnsi="Symbol" w:hint="default"/>
        <w:sz w:val="24"/>
      </w:rPr>
    </w:lvl>
    <w:lvl w:ilvl="1">
      <w:start w:val="1"/>
      <w:numFmt w:val="bullet"/>
      <w:lvlRestart w:val="0"/>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8B12921"/>
    <w:multiLevelType w:val="multilevel"/>
    <w:tmpl w:val="3780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371B35"/>
    <w:multiLevelType w:val="hybridMultilevel"/>
    <w:tmpl w:val="43E03F3E"/>
    <w:lvl w:ilvl="0" w:tplc="F56267EE">
      <w:start w:val="1"/>
      <w:numFmt w:val="bullet"/>
      <w:lvlText w:val=""/>
      <w:lvlJc w:val="left"/>
      <w:pPr>
        <w:ind w:left="1077" w:hanging="360"/>
      </w:pPr>
      <w:rPr>
        <w:rFonts w:ascii="Symbol" w:hAnsi="Symbol" w:hint="default"/>
        <w:color w:val="44697D"/>
      </w:rPr>
    </w:lvl>
    <w:lvl w:ilvl="1" w:tplc="C1CC3560">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743654"/>
    <w:multiLevelType w:val="hybridMultilevel"/>
    <w:tmpl w:val="E5580B30"/>
    <w:lvl w:ilvl="0" w:tplc="6C7421DA">
      <w:start w:val="1"/>
      <w:numFmt w:val="bullet"/>
      <w:lvlText w:val=""/>
      <w:lvlJc w:val="left"/>
      <w:pPr>
        <w:ind w:left="720" w:hanging="360"/>
      </w:pPr>
      <w:rPr>
        <w:rFonts w:ascii="Symbol" w:hAnsi="Symbol" w:hint="default"/>
      </w:rPr>
    </w:lvl>
    <w:lvl w:ilvl="1" w:tplc="81D0AB1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8E1EFB"/>
    <w:multiLevelType w:val="hybridMultilevel"/>
    <w:tmpl w:val="F4FCF308"/>
    <w:lvl w:ilvl="0" w:tplc="17F8D7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C00A73"/>
    <w:multiLevelType w:val="hybridMultilevel"/>
    <w:tmpl w:val="0868C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BBD7E58"/>
    <w:multiLevelType w:val="multilevel"/>
    <w:tmpl w:val="D4A07A58"/>
    <w:lvl w:ilvl="0">
      <w:start w:val="1"/>
      <w:numFmt w:val="decimal"/>
      <w:lvlText w:val="%1"/>
      <w:lvlJc w:val="left"/>
      <w:pPr>
        <w:ind w:left="432" w:hanging="432"/>
      </w:pPr>
    </w:lvl>
    <w:lvl w:ilvl="1">
      <w:start w:val="1"/>
      <w:numFmt w:val="decimal"/>
      <w:lvlText w:val="%1.%2"/>
      <w:lvlJc w:val="left"/>
      <w:pPr>
        <w:ind w:left="576" w:hanging="576"/>
      </w:pPr>
      <w:rPr>
        <w:color w:val="87189D" w:themeColor="accent3"/>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C4F5D35"/>
    <w:multiLevelType w:val="singleLevel"/>
    <w:tmpl w:val="7C182684"/>
    <w:lvl w:ilvl="0">
      <w:start w:val="1"/>
      <w:numFmt w:val="bullet"/>
      <w:lvlText w:val="o"/>
      <w:lvlJc w:val="left"/>
      <w:pPr>
        <w:tabs>
          <w:tab w:val="num" w:pos="720"/>
        </w:tabs>
        <w:ind w:left="720" w:hanging="360"/>
      </w:pPr>
      <w:rPr>
        <w:rFonts w:ascii="Courier New" w:hAnsi="Courier New" w:cs="Courier New" w:hint="default"/>
      </w:rPr>
    </w:lvl>
  </w:abstractNum>
  <w:abstractNum w:abstractNumId="14" w15:restartNumberingAfterBreak="0">
    <w:nsid w:val="0D6102B2"/>
    <w:multiLevelType w:val="hybridMultilevel"/>
    <w:tmpl w:val="1762732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1995DDA"/>
    <w:multiLevelType w:val="hybridMultilevel"/>
    <w:tmpl w:val="DA0A68DE"/>
    <w:lvl w:ilvl="0" w:tplc="7D08115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5F27F0"/>
    <w:multiLevelType w:val="hybridMultilevel"/>
    <w:tmpl w:val="D3ECAF0C"/>
    <w:lvl w:ilvl="0" w:tplc="E2D6D584">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9AA45F1"/>
    <w:multiLevelType w:val="hybridMultilevel"/>
    <w:tmpl w:val="E0A49A26"/>
    <w:lvl w:ilvl="0" w:tplc="14FC88E4">
      <w:start w:val="1"/>
      <w:numFmt w:val="bullet"/>
      <w:pStyle w:val="BulletListPB"/>
      <w:lvlText w:val=""/>
      <w:lvlJc w:val="left"/>
      <w:pPr>
        <w:tabs>
          <w:tab w:val="num" w:pos="340"/>
        </w:tabs>
        <w:ind w:left="340" w:hanging="340"/>
      </w:pPr>
      <w:rPr>
        <w:rFonts w:ascii="Symbol" w:hAnsi="Symbol" w:hint="default"/>
        <w:color w:val="0072CE"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1D061863"/>
    <w:multiLevelType w:val="hybridMultilevel"/>
    <w:tmpl w:val="76341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9810C4"/>
    <w:multiLevelType w:val="singleLevel"/>
    <w:tmpl w:val="8F8C91F8"/>
    <w:lvl w:ilvl="0">
      <w:start w:val="1"/>
      <w:numFmt w:val="decimal"/>
      <w:lvlText w:val="%1."/>
      <w:lvlJc w:val="right"/>
      <w:pPr>
        <w:tabs>
          <w:tab w:val="num" w:pos="360"/>
        </w:tabs>
        <w:ind w:left="360" w:hanging="360"/>
      </w:pPr>
      <w:rPr>
        <w:rFonts w:asciiTheme="minorHAnsi" w:hAnsiTheme="minorHAnsi" w:cstheme="minorHAnsi" w:hint="default"/>
        <w:b w:val="0"/>
        <w:strike w:val="0"/>
        <w:sz w:val="24"/>
        <w:szCs w:val="24"/>
      </w:rPr>
    </w:lvl>
  </w:abstractNum>
  <w:abstractNum w:abstractNumId="22" w15:restartNumberingAfterBreak="0">
    <w:nsid w:val="1E111CDD"/>
    <w:multiLevelType w:val="hybridMultilevel"/>
    <w:tmpl w:val="9738B1D8"/>
    <w:lvl w:ilvl="0" w:tplc="3DCE6D5C">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FD85A1D"/>
    <w:multiLevelType w:val="hybridMultilevel"/>
    <w:tmpl w:val="971A3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2268315E"/>
    <w:multiLevelType w:val="hybridMultilevel"/>
    <w:tmpl w:val="60CE1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32627FC"/>
    <w:multiLevelType w:val="singleLevel"/>
    <w:tmpl w:val="0C090001"/>
    <w:lvl w:ilvl="0">
      <w:start w:val="1"/>
      <w:numFmt w:val="bullet"/>
      <w:lvlText w:val=""/>
      <w:lvlJc w:val="left"/>
      <w:pPr>
        <w:tabs>
          <w:tab w:val="num" w:pos="1211"/>
        </w:tabs>
        <w:ind w:left="1211" w:hanging="360"/>
      </w:pPr>
      <w:rPr>
        <w:rFonts w:ascii="Symbol" w:hAnsi="Symbol" w:hint="default"/>
      </w:rPr>
    </w:lvl>
  </w:abstractNum>
  <w:abstractNum w:abstractNumId="27" w15:restartNumberingAfterBreak="0">
    <w:nsid w:val="24620D30"/>
    <w:multiLevelType w:val="hybridMultilevel"/>
    <w:tmpl w:val="658AB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48674B0"/>
    <w:multiLevelType w:val="multilevel"/>
    <w:tmpl w:val="BEA8CE4C"/>
    <w:lvl w:ilvl="0">
      <w:start w:val="1"/>
      <w:numFmt w:val="bullet"/>
      <w:lvlText w:val="▪"/>
      <w:lvlJc w:val="left"/>
      <w:pPr>
        <w:ind w:left="284" w:hanging="284"/>
      </w:pPr>
      <w:rPr>
        <w:rFonts w:hint="default"/>
        <w:sz w:val="24"/>
      </w:rPr>
    </w:lvl>
    <w:lvl w:ilvl="1">
      <w:start w:val="1"/>
      <w:numFmt w:val="bullet"/>
      <w:lvlText w:val=""/>
      <w:lvlJc w:val="left"/>
      <w:pPr>
        <w:tabs>
          <w:tab w:val="num" w:pos="284"/>
        </w:tabs>
        <w:ind w:left="567" w:hanging="283"/>
      </w:pPr>
      <w:rPr>
        <w:rFonts w:ascii="Symbol" w:hAnsi="Symbo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249F223F"/>
    <w:multiLevelType w:val="hybridMultilevel"/>
    <w:tmpl w:val="2BD2868E"/>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281037F9"/>
    <w:multiLevelType w:val="hybridMultilevel"/>
    <w:tmpl w:val="138A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8975D5D"/>
    <w:multiLevelType w:val="hybridMultilevel"/>
    <w:tmpl w:val="AE80E218"/>
    <w:lvl w:ilvl="0" w:tplc="59A804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8EE76F3"/>
    <w:multiLevelType w:val="multilevel"/>
    <w:tmpl w:val="06D2EBE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3"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2B941ADF"/>
    <w:multiLevelType w:val="hybridMultilevel"/>
    <w:tmpl w:val="24BE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7C0858"/>
    <w:multiLevelType w:val="hybridMultilevel"/>
    <w:tmpl w:val="EEEC75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F07D3"/>
    <w:multiLevelType w:val="hybridMultilevel"/>
    <w:tmpl w:val="9D9AAC0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300F6411"/>
    <w:multiLevelType w:val="singleLevel"/>
    <w:tmpl w:val="0C090001"/>
    <w:lvl w:ilvl="0">
      <w:start w:val="1"/>
      <w:numFmt w:val="bullet"/>
      <w:lvlText w:val=""/>
      <w:lvlJc w:val="left"/>
      <w:pPr>
        <w:tabs>
          <w:tab w:val="num" w:pos="1211"/>
        </w:tabs>
        <w:ind w:left="1211" w:hanging="360"/>
      </w:pPr>
      <w:rPr>
        <w:rFonts w:ascii="Symbol" w:hAnsi="Symbol" w:hint="default"/>
      </w:rPr>
    </w:lvl>
  </w:abstractNum>
  <w:abstractNum w:abstractNumId="38" w15:restartNumberingAfterBreak="0">
    <w:nsid w:val="335C1522"/>
    <w:multiLevelType w:val="hybridMultilevel"/>
    <w:tmpl w:val="FA04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0A755C"/>
    <w:multiLevelType w:val="singleLevel"/>
    <w:tmpl w:val="E2D6D584"/>
    <w:lvl w:ilvl="0">
      <w:start w:val="1"/>
      <w:numFmt w:val="lowerLetter"/>
      <w:lvlText w:val="(%1)"/>
      <w:lvlJc w:val="left"/>
      <w:pPr>
        <w:tabs>
          <w:tab w:val="num" w:pos="1080"/>
        </w:tabs>
        <w:ind w:left="1080" w:hanging="720"/>
      </w:pPr>
      <w:rPr>
        <w:rFonts w:hint="default"/>
      </w:rPr>
    </w:lvl>
  </w:abstractNum>
  <w:abstractNum w:abstractNumId="40" w15:restartNumberingAfterBreak="0">
    <w:nsid w:val="366D3C95"/>
    <w:multiLevelType w:val="hybridMultilevel"/>
    <w:tmpl w:val="2424D7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AA165E"/>
    <w:multiLevelType w:val="hybridMultilevel"/>
    <w:tmpl w:val="8BF82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9680DEE"/>
    <w:multiLevelType w:val="hybridMultilevel"/>
    <w:tmpl w:val="2D301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C2478D2"/>
    <w:multiLevelType w:val="multilevel"/>
    <w:tmpl w:val="6B4EFD40"/>
    <w:styleLink w:val="ZZBullets"/>
    <w:lvl w:ilvl="0">
      <w:start w:val="1"/>
      <w:numFmt w:val="bullet"/>
      <w:pStyle w:val="DPCbullet1"/>
      <w:lvlText w:val="▪"/>
      <w:lvlJc w:val="left"/>
      <w:pPr>
        <w:ind w:left="568" w:hanging="284"/>
      </w:pPr>
      <w:rPr>
        <w:rFonts w:hint="default"/>
        <w:sz w:val="24"/>
      </w:rPr>
    </w:lvl>
    <w:lvl w:ilvl="1">
      <w:start w:val="1"/>
      <w:numFmt w:val="bullet"/>
      <w:lvlRestart w:val="0"/>
      <w:pStyle w:val="DPCbullet2"/>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4" w15:restartNumberingAfterBreak="0">
    <w:nsid w:val="3C6A7271"/>
    <w:multiLevelType w:val="multilevel"/>
    <w:tmpl w:val="5406D3B4"/>
    <w:lvl w:ilvl="0">
      <w:start w:val="1"/>
      <w:numFmt w:val="bullet"/>
      <w:lvlText w:val=""/>
      <w:lvlJc w:val="left"/>
      <w:pPr>
        <w:ind w:left="568" w:hanging="284"/>
      </w:pPr>
      <w:rPr>
        <w:rFonts w:ascii="Symbol" w:hAnsi="Symbol" w:hint="default"/>
        <w:sz w:val="24"/>
      </w:rPr>
    </w:lvl>
    <w:lvl w:ilvl="1">
      <w:start w:val="1"/>
      <w:numFmt w:val="bullet"/>
      <w:lvlRestart w:val="0"/>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5" w15:restartNumberingAfterBreak="0">
    <w:nsid w:val="3DE424A9"/>
    <w:multiLevelType w:val="hybridMultilevel"/>
    <w:tmpl w:val="6220F2F0"/>
    <w:lvl w:ilvl="0" w:tplc="0C090001">
      <w:start w:val="1"/>
      <w:numFmt w:val="bullet"/>
      <w:lvlText w:val=""/>
      <w:lvlJc w:val="left"/>
      <w:pPr>
        <w:tabs>
          <w:tab w:val="num" w:pos="340"/>
        </w:tabs>
        <w:ind w:left="340" w:hanging="340"/>
      </w:pPr>
      <w:rPr>
        <w:rFonts w:ascii="Symbol" w:hAnsi="Symbol" w:hint="default"/>
        <w:color w:val="0072CE"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720580"/>
    <w:multiLevelType w:val="hybridMultilevel"/>
    <w:tmpl w:val="78A4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3892089"/>
    <w:multiLevelType w:val="hybridMultilevel"/>
    <w:tmpl w:val="99AE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3BB2BFB"/>
    <w:multiLevelType w:val="hybridMultilevel"/>
    <w:tmpl w:val="DB561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6FB3F91"/>
    <w:multiLevelType w:val="hybridMultilevel"/>
    <w:tmpl w:val="B44EB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77210E8"/>
    <w:multiLevelType w:val="multilevel"/>
    <w:tmpl w:val="A3F2EF9C"/>
    <w:lvl w:ilvl="0">
      <w:start w:val="1"/>
      <w:numFmt w:val="bullet"/>
      <w:lvlText w:val=""/>
      <w:lvlJc w:val="left"/>
      <w:pPr>
        <w:ind w:left="568" w:hanging="284"/>
      </w:pPr>
      <w:rPr>
        <w:rFonts w:ascii="Symbol" w:hAnsi="Symbol" w:hint="default"/>
        <w:sz w:val="24"/>
      </w:rPr>
    </w:lvl>
    <w:lvl w:ilvl="1">
      <w:start w:val="1"/>
      <w:numFmt w:val="bullet"/>
      <w:lvlRestart w:val="0"/>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1" w15:restartNumberingAfterBreak="0">
    <w:nsid w:val="4CFF28FC"/>
    <w:multiLevelType w:val="hybridMultilevel"/>
    <w:tmpl w:val="2D5C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D0036F1"/>
    <w:multiLevelType w:val="hybridMultilevel"/>
    <w:tmpl w:val="DB8E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D6D269F"/>
    <w:multiLevelType w:val="hybridMultilevel"/>
    <w:tmpl w:val="A1BC22B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24F708A"/>
    <w:multiLevelType w:val="hybridMultilevel"/>
    <w:tmpl w:val="D7BCD834"/>
    <w:lvl w:ilvl="0" w:tplc="8F123BD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26367B6"/>
    <w:multiLevelType w:val="hybridMultilevel"/>
    <w:tmpl w:val="06F2B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2EE2F14"/>
    <w:multiLevelType w:val="multilevel"/>
    <w:tmpl w:val="A80435D4"/>
    <w:lvl w:ilvl="0">
      <w:start w:val="1"/>
      <w:numFmt w:val="bullet"/>
      <w:lvlText w:val=""/>
      <w:lvlJc w:val="left"/>
      <w:pPr>
        <w:ind w:left="568" w:hanging="284"/>
      </w:pPr>
      <w:rPr>
        <w:rFonts w:ascii="Symbol" w:hAnsi="Symbol" w:hint="default"/>
        <w:sz w:val="24"/>
      </w:rPr>
    </w:lvl>
    <w:lvl w:ilvl="1">
      <w:start w:val="1"/>
      <w:numFmt w:val="bullet"/>
      <w:lvlRestart w:val="0"/>
      <w:lvlText w:val="–"/>
      <w:lvlJc w:val="left"/>
      <w:pPr>
        <w:tabs>
          <w:tab w:val="num" w:pos="568"/>
        </w:tabs>
        <w:ind w:left="851" w:hanging="283"/>
      </w:pPr>
      <w:rPr>
        <w:rFonts w:ascii="Arial" w:hAnsi="Arial" w:hint="default"/>
        <w:color w:val="auto"/>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7" w15:restartNumberingAfterBreak="0">
    <w:nsid w:val="54C00CC7"/>
    <w:multiLevelType w:val="hybridMultilevel"/>
    <w:tmpl w:val="9BFE008C"/>
    <w:lvl w:ilvl="0" w:tplc="9CF299F4">
      <w:start w:val="3"/>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193401"/>
    <w:multiLevelType w:val="hybridMultilevel"/>
    <w:tmpl w:val="161445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9CC3B64"/>
    <w:multiLevelType w:val="hybridMultilevel"/>
    <w:tmpl w:val="5C06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5AA35DFA"/>
    <w:multiLevelType w:val="hybridMultilevel"/>
    <w:tmpl w:val="F5568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AD56715"/>
    <w:multiLevelType w:val="hybridMultilevel"/>
    <w:tmpl w:val="C7721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5DC05E69"/>
    <w:multiLevelType w:val="singleLevel"/>
    <w:tmpl w:val="E63E71E4"/>
    <w:lvl w:ilvl="0">
      <w:start w:val="1"/>
      <w:numFmt w:val="bullet"/>
      <w:lvlText w:val=""/>
      <w:lvlJc w:val="left"/>
      <w:pPr>
        <w:tabs>
          <w:tab w:val="num" w:pos="340"/>
        </w:tabs>
        <w:ind w:left="340" w:hanging="340"/>
      </w:pPr>
      <w:rPr>
        <w:rFonts w:ascii="Symbol" w:hAnsi="Symbol" w:hint="default"/>
        <w:color w:val="auto"/>
        <w:sz w:val="22"/>
      </w:rPr>
    </w:lvl>
  </w:abstractNum>
  <w:abstractNum w:abstractNumId="64" w15:restartNumberingAfterBreak="0">
    <w:nsid w:val="647C2421"/>
    <w:multiLevelType w:val="hybridMultilevel"/>
    <w:tmpl w:val="9270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E84DB4"/>
    <w:multiLevelType w:val="hybridMultilevel"/>
    <w:tmpl w:val="7320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7087A84"/>
    <w:multiLevelType w:val="hybridMultilevel"/>
    <w:tmpl w:val="FB6E4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7E343E4"/>
    <w:multiLevelType w:val="hybridMultilevel"/>
    <w:tmpl w:val="7ADE34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68A66AAC"/>
    <w:multiLevelType w:val="hybridMultilevel"/>
    <w:tmpl w:val="9A9030A0"/>
    <w:lvl w:ilvl="0" w:tplc="19FC52F2">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9DE2F7A"/>
    <w:multiLevelType w:val="hybridMultilevel"/>
    <w:tmpl w:val="D716E9B6"/>
    <w:lvl w:ilvl="0" w:tplc="8C9EEFDE">
      <w:start w:val="1"/>
      <w:numFmt w:val="bullet"/>
      <w:lvlText w:val="o"/>
      <w:lvlJc w:val="left"/>
      <w:pPr>
        <w:ind w:left="170" w:hanging="170"/>
      </w:pPr>
      <w:rPr>
        <w:rFonts w:ascii="Courier New" w:hAnsi="Courier New" w:hint="default"/>
      </w:rPr>
    </w:lvl>
    <w:lvl w:ilvl="1" w:tplc="0C090001">
      <w:start w:val="1"/>
      <w:numFmt w:val="bullet"/>
      <w:lvlText w:val=""/>
      <w:lvlJc w:val="left"/>
      <w:pPr>
        <w:tabs>
          <w:tab w:val="num" w:pos="720"/>
        </w:tabs>
        <w:ind w:left="720" w:hanging="360"/>
      </w:pPr>
      <w:rPr>
        <w:rFonts w:ascii="Symbol" w:hAnsi="Symbol" w:hint="default"/>
      </w:rPr>
    </w:lvl>
    <w:lvl w:ilvl="2" w:tplc="CD5CF54E">
      <w:start w:val="1"/>
      <w:numFmt w:val="bullet"/>
      <w:lvlText w:val=""/>
      <w:lvlJc w:val="left"/>
      <w:pPr>
        <w:tabs>
          <w:tab w:val="num" w:pos="284"/>
        </w:tabs>
        <w:ind w:left="284" w:hanging="227"/>
      </w:pPr>
      <w:rPr>
        <w:rFonts w:ascii="Symbol" w:hAnsi="Symbol" w:hint="default"/>
        <w:sz w:val="16"/>
        <w:szCs w:val="1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0105CD"/>
    <w:multiLevelType w:val="hybridMultilevel"/>
    <w:tmpl w:val="949CBDD4"/>
    <w:lvl w:ilvl="0" w:tplc="8AB0FF00">
      <w:start w:val="1"/>
      <w:numFmt w:val="lowerRoman"/>
      <w:lvlText w:val="(%1)"/>
      <w:lvlJc w:val="left"/>
      <w:pPr>
        <w:ind w:left="1800" w:hanging="360"/>
      </w:pPr>
      <w:rPr>
        <w:rFonts w:hint="default"/>
      </w:rPr>
    </w:lvl>
    <w:lvl w:ilvl="1" w:tplc="28C42F46">
      <w:start w:val="1"/>
      <w:numFmt w:val="lowerLetter"/>
      <w:lvlText w:val="(%2)"/>
      <w:lvlJc w:val="left"/>
      <w:pPr>
        <w:ind w:left="2543" w:hanging="383"/>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1" w15:restartNumberingAfterBreak="0">
    <w:nsid w:val="6B07270D"/>
    <w:multiLevelType w:val="hybridMultilevel"/>
    <w:tmpl w:val="E4D2F4AC"/>
    <w:lvl w:ilvl="0" w:tplc="2E0281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D4C3C9F"/>
    <w:multiLevelType w:val="hybridMultilevel"/>
    <w:tmpl w:val="D7A46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FDD48DA"/>
    <w:multiLevelType w:val="hybridMultilevel"/>
    <w:tmpl w:val="121C322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9355D1"/>
    <w:multiLevelType w:val="multilevel"/>
    <w:tmpl w:val="093E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1EC43A8"/>
    <w:multiLevelType w:val="hybridMultilevel"/>
    <w:tmpl w:val="8E6C6B3A"/>
    <w:lvl w:ilvl="0" w:tplc="063CA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32231BE"/>
    <w:multiLevelType w:val="multilevel"/>
    <w:tmpl w:val="1F94CA30"/>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794"/>
        </w:tabs>
        <w:ind w:left="794" w:hanging="397"/>
      </w:pPr>
      <w:rPr>
        <w:rFonts w:ascii="Symbol" w:hAnsi="Symbol" w:hint="default"/>
      </w:rPr>
    </w:lvl>
    <w:lvl w:ilvl="2">
      <w:start w:val="1"/>
      <w:numFmt w:val="bullet"/>
      <w:lvlRestart w:val="0"/>
      <w:lvlText w:val="▪"/>
      <w:lvlJc w:val="left"/>
      <w:pPr>
        <w:ind w:left="794" w:hanging="397"/>
      </w:pPr>
      <w:rPr>
        <w:rFonts w:hint="default"/>
      </w:rPr>
    </w:lvl>
    <w:lvl w:ilvl="3">
      <w:start w:val="1"/>
      <w:numFmt w:val="bullet"/>
      <w:lvlRestart w:val="0"/>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7" w15:restartNumberingAfterBreak="0">
    <w:nsid w:val="745D8A69"/>
    <w:multiLevelType w:val="hybridMultilevel"/>
    <w:tmpl w:val="55149D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9" w15:restartNumberingAfterBreak="0">
    <w:nsid w:val="74A2317F"/>
    <w:multiLevelType w:val="hybridMultilevel"/>
    <w:tmpl w:val="2932B570"/>
    <w:lvl w:ilvl="0" w:tplc="0C090001">
      <w:start w:val="1"/>
      <w:numFmt w:val="bullet"/>
      <w:lvlText w:val=""/>
      <w:lvlJc w:val="left"/>
      <w:pPr>
        <w:ind w:left="1080" w:hanging="360"/>
      </w:pPr>
      <w:rPr>
        <w:rFonts w:ascii="Symbol" w:hAnsi="Symbol" w:hint="default"/>
      </w:rPr>
    </w:lvl>
    <w:lvl w:ilvl="1" w:tplc="28C42F46">
      <w:start w:val="1"/>
      <w:numFmt w:val="lowerLetter"/>
      <w:lvlText w:val="(%2)"/>
      <w:lvlJc w:val="left"/>
      <w:pPr>
        <w:ind w:left="1823" w:hanging="383"/>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52138AF"/>
    <w:multiLevelType w:val="hybridMultilevel"/>
    <w:tmpl w:val="A648BC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57C69D0"/>
    <w:multiLevelType w:val="hybridMultilevel"/>
    <w:tmpl w:val="86223E8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2" w15:restartNumberingAfterBreak="0">
    <w:nsid w:val="75AD3F12"/>
    <w:multiLevelType w:val="singleLevel"/>
    <w:tmpl w:val="7128725E"/>
    <w:lvl w:ilvl="0">
      <w:start w:val="1"/>
      <w:numFmt w:val="lowerLetter"/>
      <w:lvlText w:val="(%1)"/>
      <w:lvlJc w:val="left"/>
      <w:pPr>
        <w:tabs>
          <w:tab w:val="num" w:pos="1080"/>
        </w:tabs>
        <w:ind w:left="1080" w:hanging="720"/>
      </w:pPr>
      <w:rPr>
        <w:rFonts w:hint="default"/>
      </w:rPr>
    </w:lvl>
  </w:abstractNum>
  <w:abstractNum w:abstractNumId="83" w15:restartNumberingAfterBreak="0">
    <w:nsid w:val="7826094E"/>
    <w:multiLevelType w:val="singleLevel"/>
    <w:tmpl w:val="0C090001"/>
    <w:lvl w:ilvl="0">
      <w:start w:val="1"/>
      <w:numFmt w:val="bullet"/>
      <w:lvlText w:val=""/>
      <w:lvlJc w:val="left"/>
      <w:pPr>
        <w:ind w:left="720" w:hanging="360"/>
      </w:pPr>
      <w:rPr>
        <w:rFonts w:ascii="Symbol" w:hAnsi="Symbol" w:hint="default"/>
      </w:rPr>
    </w:lvl>
  </w:abstractNum>
  <w:abstractNum w:abstractNumId="84" w15:restartNumberingAfterBreak="0">
    <w:nsid w:val="798117E4"/>
    <w:multiLevelType w:val="hybridMultilevel"/>
    <w:tmpl w:val="8E78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9A90CEC"/>
    <w:multiLevelType w:val="hybridMultilevel"/>
    <w:tmpl w:val="D4A8E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9FA5016"/>
    <w:multiLevelType w:val="hybridMultilevel"/>
    <w:tmpl w:val="816C9688"/>
    <w:lvl w:ilvl="0" w:tplc="D07E20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803AD2"/>
    <w:multiLevelType w:val="multilevel"/>
    <w:tmpl w:val="81DC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E886EB1"/>
    <w:multiLevelType w:val="hybridMultilevel"/>
    <w:tmpl w:val="B2C8259E"/>
    <w:lvl w:ilvl="0" w:tplc="684A4A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F523F6D"/>
    <w:multiLevelType w:val="hybridMultilevel"/>
    <w:tmpl w:val="DDDA8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F705321"/>
    <w:multiLevelType w:val="hybridMultilevel"/>
    <w:tmpl w:val="C52262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3"/>
  </w:num>
  <w:num w:numId="9">
    <w:abstractNumId w:val="78"/>
  </w:num>
  <w:num w:numId="10">
    <w:abstractNumId w:val="11"/>
  </w:num>
  <w:num w:numId="11">
    <w:abstractNumId w:val="60"/>
  </w:num>
  <w:num w:numId="12">
    <w:abstractNumId w:val="15"/>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num>
  <w:num w:numId="18">
    <w:abstractNumId w:val="84"/>
  </w:num>
  <w:num w:numId="19">
    <w:abstractNumId w:val="86"/>
  </w:num>
  <w:num w:numId="20">
    <w:abstractNumId w:val="35"/>
  </w:num>
  <w:num w:numId="21">
    <w:abstractNumId w:val="61"/>
  </w:num>
  <w:num w:numId="22">
    <w:abstractNumId w:val="43"/>
  </w:num>
  <w:num w:numId="23">
    <w:abstractNumId w:val="77"/>
  </w:num>
  <w:num w:numId="24">
    <w:abstractNumId w:val="43"/>
  </w:num>
  <w:num w:numId="25">
    <w:abstractNumId w:val="0"/>
  </w:num>
  <w:num w:numId="26">
    <w:abstractNumId w:val="46"/>
  </w:num>
  <w:num w:numId="27">
    <w:abstractNumId w:val="43"/>
  </w:num>
  <w:num w:numId="28">
    <w:abstractNumId w:val="49"/>
  </w:num>
  <w:num w:numId="29">
    <w:abstractNumId w:val="76"/>
  </w:num>
  <w:num w:numId="30">
    <w:abstractNumId w:val="43"/>
  </w:num>
  <w:num w:numId="31">
    <w:abstractNumId w:val="43"/>
  </w:num>
  <w:num w:numId="32">
    <w:abstractNumId w:val="65"/>
  </w:num>
  <w:num w:numId="33">
    <w:abstractNumId w:val="42"/>
  </w:num>
  <w:num w:numId="34">
    <w:abstractNumId w:val="57"/>
  </w:num>
  <w:num w:numId="35">
    <w:abstractNumId w:val="43"/>
  </w:num>
  <w:num w:numId="36">
    <w:abstractNumId w:val="43"/>
  </w:num>
  <w:num w:numId="37">
    <w:abstractNumId w:val="43"/>
  </w:num>
  <w:num w:numId="38">
    <w:abstractNumId w:val="13"/>
  </w:num>
  <w:num w:numId="39">
    <w:abstractNumId w:val="7"/>
  </w:num>
  <w:num w:numId="40">
    <w:abstractNumId w:val="83"/>
  </w:num>
  <w:num w:numId="41">
    <w:abstractNumId w:val="69"/>
  </w:num>
  <w:num w:numId="42">
    <w:abstractNumId w:val="39"/>
  </w:num>
  <w:num w:numId="43">
    <w:abstractNumId w:val="17"/>
  </w:num>
  <w:num w:numId="44">
    <w:abstractNumId w:val="82"/>
  </w:num>
  <w:num w:numId="45">
    <w:abstractNumId w:val="70"/>
  </w:num>
  <w:num w:numId="46">
    <w:abstractNumId w:val="54"/>
  </w:num>
  <w:num w:numId="47">
    <w:abstractNumId w:val="63"/>
  </w:num>
  <w:num w:numId="48">
    <w:abstractNumId w:val="55"/>
  </w:num>
  <w:num w:numId="49">
    <w:abstractNumId w:val="12"/>
  </w:num>
  <w:num w:numId="50">
    <w:abstractNumId w:val="68"/>
  </w:num>
  <w:num w:numId="51">
    <w:abstractNumId w:val="36"/>
  </w:num>
  <w:num w:numId="52">
    <w:abstractNumId w:val="73"/>
  </w:num>
  <w:num w:numId="53">
    <w:abstractNumId w:val="18"/>
  </w:num>
  <w:num w:numId="54">
    <w:abstractNumId w:val="28"/>
  </w:num>
  <w:num w:numId="55">
    <w:abstractNumId w:val="56"/>
  </w:num>
  <w:num w:numId="56">
    <w:abstractNumId w:val="4"/>
  </w:num>
  <w:num w:numId="57">
    <w:abstractNumId w:val="50"/>
  </w:num>
  <w:num w:numId="58">
    <w:abstractNumId w:val="90"/>
  </w:num>
  <w:num w:numId="59">
    <w:abstractNumId w:val="67"/>
  </w:num>
  <w:num w:numId="60">
    <w:abstractNumId w:val="44"/>
  </w:num>
  <w:num w:numId="61">
    <w:abstractNumId w:val="66"/>
  </w:num>
  <w:num w:numId="62">
    <w:abstractNumId w:val="45"/>
  </w:num>
  <w:num w:numId="63">
    <w:abstractNumId w:val="71"/>
  </w:num>
  <w:num w:numId="64">
    <w:abstractNumId w:val="31"/>
  </w:num>
  <w:num w:numId="65">
    <w:abstractNumId w:val="10"/>
  </w:num>
  <w:num w:numId="66">
    <w:abstractNumId w:val="8"/>
  </w:num>
  <w:num w:numId="67">
    <w:abstractNumId w:val="16"/>
  </w:num>
  <w:num w:numId="68">
    <w:abstractNumId w:val="75"/>
  </w:num>
  <w:num w:numId="69">
    <w:abstractNumId w:val="52"/>
  </w:num>
  <w:num w:numId="70">
    <w:abstractNumId w:val="48"/>
  </w:num>
  <w:num w:numId="71">
    <w:abstractNumId w:val="34"/>
  </w:num>
  <w:num w:numId="72">
    <w:abstractNumId w:val="25"/>
  </w:num>
  <w:num w:numId="73">
    <w:abstractNumId w:val="88"/>
  </w:num>
  <w:num w:numId="74">
    <w:abstractNumId w:val="1"/>
  </w:num>
  <w:num w:numId="75">
    <w:abstractNumId w:val="51"/>
  </w:num>
  <w:num w:numId="76">
    <w:abstractNumId w:val="30"/>
  </w:num>
  <w:num w:numId="77">
    <w:abstractNumId w:val="2"/>
  </w:num>
  <w:num w:numId="78">
    <w:abstractNumId w:val="43"/>
  </w:num>
  <w:num w:numId="79">
    <w:abstractNumId w:val="43"/>
  </w:num>
  <w:num w:numId="80">
    <w:abstractNumId w:val="27"/>
  </w:num>
  <w:num w:numId="81">
    <w:abstractNumId w:val="53"/>
  </w:num>
  <w:num w:numId="82">
    <w:abstractNumId w:val="58"/>
  </w:num>
  <w:num w:numId="83">
    <w:abstractNumId w:val="40"/>
  </w:num>
  <w:num w:numId="84">
    <w:abstractNumId w:val="59"/>
  </w:num>
  <w:num w:numId="85">
    <w:abstractNumId w:val="88"/>
  </w:num>
  <w:num w:numId="86">
    <w:abstractNumId w:val="72"/>
  </w:num>
  <w:num w:numId="87">
    <w:abstractNumId w:val="88"/>
  </w:num>
  <w:num w:numId="88">
    <w:abstractNumId w:val="22"/>
  </w:num>
  <w:num w:numId="89">
    <w:abstractNumId w:val="6"/>
  </w:num>
  <w:num w:numId="90">
    <w:abstractNumId w:val="74"/>
  </w:num>
  <w:num w:numId="91">
    <w:abstractNumId w:val="87"/>
  </w:num>
  <w:num w:numId="92">
    <w:abstractNumId w:val="9"/>
  </w:num>
  <w:num w:numId="93">
    <w:abstractNumId w:val="32"/>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num>
  <w:num w:numId="96">
    <w:abstractNumId w:val="23"/>
  </w:num>
  <w:num w:numId="97">
    <w:abstractNumId w:val="8"/>
  </w:num>
  <w:num w:numId="98">
    <w:abstractNumId w:val="20"/>
  </w:num>
  <w:num w:numId="99">
    <w:abstractNumId w:val="29"/>
  </w:num>
  <w:num w:numId="100">
    <w:abstractNumId w:val="80"/>
  </w:num>
  <w:num w:numId="101">
    <w:abstractNumId w:val="3"/>
  </w:num>
  <w:num w:numId="102">
    <w:abstractNumId w:val="85"/>
  </w:num>
  <w:num w:numId="103">
    <w:abstractNumId w:val="38"/>
  </w:num>
  <w:num w:numId="104">
    <w:abstractNumId w:val="14"/>
  </w:num>
  <w:num w:numId="105">
    <w:abstractNumId w:val="64"/>
  </w:num>
  <w:num w:numId="106">
    <w:abstractNumId w:val="41"/>
  </w:num>
  <w:num w:numId="107">
    <w:abstractNumId w:val="62"/>
  </w:num>
  <w:num w:numId="108">
    <w:abstractNumId w:val="47"/>
  </w:num>
  <w:num w:numId="109">
    <w:abstractNumId w:val="21"/>
  </w:num>
  <w:num w:numId="110">
    <w:abstractNumId w:val="37"/>
  </w:num>
  <w:num w:numId="111">
    <w:abstractNumId w:val="26"/>
  </w:num>
  <w:num w:numId="112">
    <w:abstractNumId w:val="4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99E"/>
    <w:rsid w:val="00000396"/>
    <w:rsid w:val="00002D6F"/>
    <w:rsid w:val="000038EE"/>
    <w:rsid w:val="00003BDD"/>
    <w:rsid w:val="0000486C"/>
    <w:rsid w:val="0000646F"/>
    <w:rsid w:val="000072B6"/>
    <w:rsid w:val="0001021B"/>
    <w:rsid w:val="000109BC"/>
    <w:rsid w:val="00010FE8"/>
    <w:rsid w:val="00011D89"/>
    <w:rsid w:val="000137AB"/>
    <w:rsid w:val="00014167"/>
    <w:rsid w:val="000155F5"/>
    <w:rsid w:val="00015E0B"/>
    <w:rsid w:val="00016787"/>
    <w:rsid w:val="000215C7"/>
    <w:rsid w:val="00022AA0"/>
    <w:rsid w:val="0002335B"/>
    <w:rsid w:val="00023FDE"/>
    <w:rsid w:val="000242BC"/>
    <w:rsid w:val="000242F3"/>
    <w:rsid w:val="00024D89"/>
    <w:rsid w:val="00024EC9"/>
    <w:rsid w:val="000250A8"/>
    <w:rsid w:val="0002578B"/>
    <w:rsid w:val="00025A3E"/>
    <w:rsid w:val="00025B10"/>
    <w:rsid w:val="00025E00"/>
    <w:rsid w:val="000263F3"/>
    <w:rsid w:val="00027CF0"/>
    <w:rsid w:val="00030FE0"/>
    <w:rsid w:val="00032610"/>
    <w:rsid w:val="00032D26"/>
    <w:rsid w:val="00033D81"/>
    <w:rsid w:val="00034351"/>
    <w:rsid w:val="00034561"/>
    <w:rsid w:val="00034E07"/>
    <w:rsid w:val="000364BB"/>
    <w:rsid w:val="00037CD2"/>
    <w:rsid w:val="00037D82"/>
    <w:rsid w:val="00040279"/>
    <w:rsid w:val="0004070B"/>
    <w:rsid w:val="00041BF0"/>
    <w:rsid w:val="00042674"/>
    <w:rsid w:val="00042BDE"/>
    <w:rsid w:val="0004443F"/>
    <w:rsid w:val="00044802"/>
    <w:rsid w:val="0004536B"/>
    <w:rsid w:val="00046507"/>
    <w:rsid w:val="00046A2C"/>
    <w:rsid w:val="00046B68"/>
    <w:rsid w:val="000527DD"/>
    <w:rsid w:val="00053E3B"/>
    <w:rsid w:val="00056154"/>
    <w:rsid w:val="00056894"/>
    <w:rsid w:val="000572D0"/>
    <w:rsid w:val="000578B2"/>
    <w:rsid w:val="00060959"/>
    <w:rsid w:val="00062954"/>
    <w:rsid w:val="0006393B"/>
    <w:rsid w:val="00063E45"/>
    <w:rsid w:val="0006431C"/>
    <w:rsid w:val="00065F9B"/>
    <w:rsid w:val="0006723D"/>
    <w:rsid w:val="000672E4"/>
    <w:rsid w:val="00067AA6"/>
    <w:rsid w:val="000707B9"/>
    <w:rsid w:val="00070F72"/>
    <w:rsid w:val="0007141F"/>
    <w:rsid w:val="00073E29"/>
    <w:rsid w:val="00074219"/>
    <w:rsid w:val="00074734"/>
    <w:rsid w:val="00074B38"/>
    <w:rsid w:val="00074ED5"/>
    <w:rsid w:val="00075B06"/>
    <w:rsid w:val="000807BE"/>
    <w:rsid w:val="000815CF"/>
    <w:rsid w:val="000816D3"/>
    <w:rsid w:val="00081F3A"/>
    <w:rsid w:val="0008436F"/>
    <w:rsid w:val="00084DCE"/>
    <w:rsid w:val="0008725B"/>
    <w:rsid w:val="00087CF3"/>
    <w:rsid w:val="00087D92"/>
    <w:rsid w:val="00087EEE"/>
    <w:rsid w:val="00090171"/>
    <w:rsid w:val="0009031F"/>
    <w:rsid w:val="0009042B"/>
    <w:rsid w:val="0009080D"/>
    <w:rsid w:val="00092CF7"/>
    <w:rsid w:val="00094254"/>
    <w:rsid w:val="00094A2E"/>
    <w:rsid w:val="00095532"/>
    <w:rsid w:val="00095B21"/>
    <w:rsid w:val="00096A0D"/>
    <w:rsid w:val="00096CD1"/>
    <w:rsid w:val="000A012C"/>
    <w:rsid w:val="000A0EB9"/>
    <w:rsid w:val="000A1064"/>
    <w:rsid w:val="000A186C"/>
    <w:rsid w:val="000A7DE0"/>
    <w:rsid w:val="000B07EF"/>
    <w:rsid w:val="000B1CC0"/>
    <w:rsid w:val="000B21ED"/>
    <w:rsid w:val="000B3B7B"/>
    <w:rsid w:val="000B446A"/>
    <w:rsid w:val="000B543D"/>
    <w:rsid w:val="000B5896"/>
    <w:rsid w:val="000B5BF7"/>
    <w:rsid w:val="000B6BC8"/>
    <w:rsid w:val="000B6F2F"/>
    <w:rsid w:val="000B73C6"/>
    <w:rsid w:val="000B7C48"/>
    <w:rsid w:val="000C42EA"/>
    <w:rsid w:val="000C4546"/>
    <w:rsid w:val="000C476D"/>
    <w:rsid w:val="000C4A15"/>
    <w:rsid w:val="000C4E3A"/>
    <w:rsid w:val="000C529D"/>
    <w:rsid w:val="000C5B8C"/>
    <w:rsid w:val="000D1242"/>
    <w:rsid w:val="000D7DEE"/>
    <w:rsid w:val="000E046B"/>
    <w:rsid w:val="000E1993"/>
    <w:rsid w:val="000E2888"/>
    <w:rsid w:val="000E2972"/>
    <w:rsid w:val="000E38E2"/>
    <w:rsid w:val="000E3CC7"/>
    <w:rsid w:val="000E48A9"/>
    <w:rsid w:val="000E511F"/>
    <w:rsid w:val="000E5A5F"/>
    <w:rsid w:val="000E6148"/>
    <w:rsid w:val="000E69A9"/>
    <w:rsid w:val="000E6BD4"/>
    <w:rsid w:val="000E6F6A"/>
    <w:rsid w:val="000E7E66"/>
    <w:rsid w:val="000F0095"/>
    <w:rsid w:val="000F1F1E"/>
    <w:rsid w:val="000F2259"/>
    <w:rsid w:val="000F2966"/>
    <w:rsid w:val="000F46D7"/>
    <w:rsid w:val="000F5ECC"/>
    <w:rsid w:val="0010013F"/>
    <w:rsid w:val="0010192A"/>
    <w:rsid w:val="00101B5D"/>
    <w:rsid w:val="00101F40"/>
    <w:rsid w:val="001020B3"/>
    <w:rsid w:val="00102983"/>
    <w:rsid w:val="0010342F"/>
    <w:rsid w:val="00103806"/>
    <w:rsid w:val="0010392D"/>
    <w:rsid w:val="00103E86"/>
    <w:rsid w:val="001045A1"/>
    <w:rsid w:val="00104986"/>
    <w:rsid w:val="00104FE3"/>
    <w:rsid w:val="00105F4B"/>
    <w:rsid w:val="00107843"/>
    <w:rsid w:val="00107DCC"/>
    <w:rsid w:val="00107EDA"/>
    <w:rsid w:val="0011048A"/>
    <w:rsid w:val="001107B6"/>
    <w:rsid w:val="001108E6"/>
    <w:rsid w:val="00111B80"/>
    <w:rsid w:val="00113047"/>
    <w:rsid w:val="00113D72"/>
    <w:rsid w:val="00115112"/>
    <w:rsid w:val="00117E9B"/>
    <w:rsid w:val="00120B98"/>
    <w:rsid w:val="00120BD3"/>
    <w:rsid w:val="001225C1"/>
    <w:rsid w:val="00122FEA"/>
    <w:rsid w:val="001232BD"/>
    <w:rsid w:val="00123A83"/>
    <w:rsid w:val="00124654"/>
    <w:rsid w:val="00124ED5"/>
    <w:rsid w:val="0012541F"/>
    <w:rsid w:val="00125BCC"/>
    <w:rsid w:val="001264CA"/>
    <w:rsid w:val="00126785"/>
    <w:rsid w:val="00127E34"/>
    <w:rsid w:val="00127ED3"/>
    <w:rsid w:val="00127F8C"/>
    <w:rsid w:val="00130717"/>
    <w:rsid w:val="001313D1"/>
    <w:rsid w:val="0013157F"/>
    <w:rsid w:val="001317BD"/>
    <w:rsid w:val="00131C30"/>
    <w:rsid w:val="00131DC8"/>
    <w:rsid w:val="00135EB0"/>
    <w:rsid w:val="00136C72"/>
    <w:rsid w:val="0013706A"/>
    <w:rsid w:val="001375E8"/>
    <w:rsid w:val="00143223"/>
    <w:rsid w:val="00143F1D"/>
    <w:rsid w:val="001447B3"/>
    <w:rsid w:val="00145C26"/>
    <w:rsid w:val="00146637"/>
    <w:rsid w:val="00147CD1"/>
    <w:rsid w:val="00150994"/>
    <w:rsid w:val="00150B93"/>
    <w:rsid w:val="001604A5"/>
    <w:rsid w:val="00161939"/>
    <w:rsid w:val="00161AA0"/>
    <w:rsid w:val="00162093"/>
    <w:rsid w:val="00163CED"/>
    <w:rsid w:val="001649D4"/>
    <w:rsid w:val="00164CF0"/>
    <w:rsid w:val="0016514C"/>
    <w:rsid w:val="0016543C"/>
    <w:rsid w:val="00165AE1"/>
    <w:rsid w:val="001678D5"/>
    <w:rsid w:val="001733BE"/>
    <w:rsid w:val="00173BBA"/>
    <w:rsid w:val="00174B19"/>
    <w:rsid w:val="00175AB7"/>
    <w:rsid w:val="001771DD"/>
    <w:rsid w:val="00177995"/>
    <w:rsid w:val="00177A8C"/>
    <w:rsid w:val="00180BF9"/>
    <w:rsid w:val="00181533"/>
    <w:rsid w:val="001828F5"/>
    <w:rsid w:val="00183586"/>
    <w:rsid w:val="00186B33"/>
    <w:rsid w:val="0018758E"/>
    <w:rsid w:val="001909BE"/>
    <w:rsid w:val="001911DF"/>
    <w:rsid w:val="00192F9D"/>
    <w:rsid w:val="00193A33"/>
    <w:rsid w:val="0019469E"/>
    <w:rsid w:val="00196E70"/>
    <w:rsid w:val="00196EB8"/>
    <w:rsid w:val="001979FF"/>
    <w:rsid w:val="00197B17"/>
    <w:rsid w:val="00197B1C"/>
    <w:rsid w:val="001A0640"/>
    <w:rsid w:val="001A0EC6"/>
    <w:rsid w:val="001A1796"/>
    <w:rsid w:val="001A3034"/>
    <w:rsid w:val="001A382F"/>
    <w:rsid w:val="001A3ACE"/>
    <w:rsid w:val="001A3B93"/>
    <w:rsid w:val="001A471D"/>
    <w:rsid w:val="001A74F1"/>
    <w:rsid w:val="001A78CC"/>
    <w:rsid w:val="001B01D0"/>
    <w:rsid w:val="001B2498"/>
    <w:rsid w:val="001B36DE"/>
    <w:rsid w:val="001B373D"/>
    <w:rsid w:val="001B4139"/>
    <w:rsid w:val="001B452E"/>
    <w:rsid w:val="001B4704"/>
    <w:rsid w:val="001B483D"/>
    <w:rsid w:val="001B5CC1"/>
    <w:rsid w:val="001B7B36"/>
    <w:rsid w:val="001C07BF"/>
    <w:rsid w:val="001C0DBA"/>
    <w:rsid w:val="001C1999"/>
    <w:rsid w:val="001C2A72"/>
    <w:rsid w:val="001D0B75"/>
    <w:rsid w:val="001D2767"/>
    <w:rsid w:val="001D2794"/>
    <w:rsid w:val="001D306B"/>
    <w:rsid w:val="001D3C09"/>
    <w:rsid w:val="001D446B"/>
    <w:rsid w:val="001D44E8"/>
    <w:rsid w:val="001D4AC4"/>
    <w:rsid w:val="001D60EC"/>
    <w:rsid w:val="001D64E2"/>
    <w:rsid w:val="001D7633"/>
    <w:rsid w:val="001E0EB3"/>
    <w:rsid w:val="001E2347"/>
    <w:rsid w:val="001E25FC"/>
    <w:rsid w:val="001E37C6"/>
    <w:rsid w:val="001E44DF"/>
    <w:rsid w:val="001E4CC0"/>
    <w:rsid w:val="001E5E4D"/>
    <w:rsid w:val="001E5EDC"/>
    <w:rsid w:val="001E60A8"/>
    <w:rsid w:val="001E68A5"/>
    <w:rsid w:val="001E76FA"/>
    <w:rsid w:val="001E77FF"/>
    <w:rsid w:val="001E7A7B"/>
    <w:rsid w:val="001E7CEA"/>
    <w:rsid w:val="001F1262"/>
    <w:rsid w:val="001F4552"/>
    <w:rsid w:val="001F47AD"/>
    <w:rsid w:val="001F4D03"/>
    <w:rsid w:val="001F4EC6"/>
    <w:rsid w:val="001F531E"/>
    <w:rsid w:val="001F61D2"/>
    <w:rsid w:val="001F6E46"/>
    <w:rsid w:val="001F7C91"/>
    <w:rsid w:val="00201060"/>
    <w:rsid w:val="002017A7"/>
    <w:rsid w:val="00201A2C"/>
    <w:rsid w:val="00202850"/>
    <w:rsid w:val="00202EBE"/>
    <w:rsid w:val="00206463"/>
    <w:rsid w:val="00206F2F"/>
    <w:rsid w:val="0020761D"/>
    <w:rsid w:val="0021053D"/>
    <w:rsid w:val="00210A92"/>
    <w:rsid w:val="00211869"/>
    <w:rsid w:val="00214146"/>
    <w:rsid w:val="00214381"/>
    <w:rsid w:val="00214D82"/>
    <w:rsid w:val="0021508B"/>
    <w:rsid w:val="00215BA5"/>
    <w:rsid w:val="00215BF6"/>
    <w:rsid w:val="00215D6F"/>
    <w:rsid w:val="00216AFD"/>
    <w:rsid w:val="00216C03"/>
    <w:rsid w:val="00220C04"/>
    <w:rsid w:val="00221350"/>
    <w:rsid w:val="00222F53"/>
    <w:rsid w:val="00225670"/>
    <w:rsid w:val="002262B1"/>
    <w:rsid w:val="00227AA3"/>
    <w:rsid w:val="00230178"/>
    <w:rsid w:val="002323D4"/>
    <w:rsid w:val="002333F5"/>
    <w:rsid w:val="00233CA0"/>
    <w:rsid w:val="00234150"/>
    <w:rsid w:val="002345DE"/>
    <w:rsid w:val="00235A91"/>
    <w:rsid w:val="00235D6F"/>
    <w:rsid w:val="00236B94"/>
    <w:rsid w:val="002372F0"/>
    <w:rsid w:val="00237B2C"/>
    <w:rsid w:val="00237C67"/>
    <w:rsid w:val="00237DB8"/>
    <w:rsid w:val="00240EDD"/>
    <w:rsid w:val="002414D7"/>
    <w:rsid w:val="00241F61"/>
    <w:rsid w:val="00243A54"/>
    <w:rsid w:val="00245118"/>
    <w:rsid w:val="00245148"/>
    <w:rsid w:val="00246C5E"/>
    <w:rsid w:val="00250F9D"/>
    <w:rsid w:val="00251343"/>
    <w:rsid w:val="00251D79"/>
    <w:rsid w:val="002525A3"/>
    <w:rsid w:val="00253641"/>
    <w:rsid w:val="00254F7A"/>
    <w:rsid w:val="00254FB6"/>
    <w:rsid w:val="00255BE0"/>
    <w:rsid w:val="00257CAE"/>
    <w:rsid w:val="00257D33"/>
    <w:rsid w:val="002606D7"/>
    <w:rsid w:val="00261344"/>
    <w:rsid w:val="002620BC"/>
    <w:rsid w:val="002630EA"/>
    <w:rsid w:val="00263A90"/>
    <w:rsid w:val="00263C89"/>
    <w:rsid w:val="00263D15"/>
    <w:rsid w:val="00263F67"/>
    <w:rsid w:val="0026408B"/>
    <w:rsid w:val="002642B9"/>
    <w:rsid w:val="002650BB"/>
    <w:rsid w:val="00265A0B"/>
    <w:rsid w:val="00267C3E"/>
    <w:rsid w:val="002705CA"/>
    <w:rsid w:val="002709BB"/>
    <w:rsid w:val="0027105E"/>
    <w:rsid w:val="00273DE5"/>
    <w:rsid w:val="002744A3"/>
    <w:rsid w:val="00274812"/>
    <w:rsid w:val="0027521D"/>
    <w:rsid w:val="00276089"/>
    <w:rsid w:val="002802E3"/>
    <w:rsid w:val="00280B25"/>
    <w:rsid w:val="0028191B"/>
    <w:rsid w:val="0028213D"/>
    <w:rsid w:val="0028481B"/>
    <w:rsid w:val="0028527D"/>
    <w:rsid w:val="002862F1"/>
    <w:rsid w:val="00286AB2"/>
    <w:rsid w:val="00287790"/>
    <w:rsid w:val="00287AAA"/>
    <w:rsid w:val="00290224"/>
    <w:rsid w:val="00290F7E"/>
    <w:rsid w:val="00291373"/>
    <w:rsid w:val="002948ED"/>
    <w:rsid w:val="0029597D"/>
    <w:rsid w:val="002962C3"/>
    <w:rsid w:val="002970C7"/>
    <w:rsid w:val="00297C49"/>
    <w:rsid w:val="002A0F0E"/>
    <w:rsid w:val="002A20C0"/>
    <w:rsid w:val="002A2E50"/>
    <w:rsid w:val="002A483C"/>
    <w:rsid w:val="002A6DBB"/>
    <w:rsid w:val="002B1729"/>
    <w:rsid w:val="002B25D2"/>
    <w:rsid w:val="002B285B"/>
    <w:rsid w:val="002B3AFE"/>
    <w:rsid w:val="002B4DD4"/>
    <w:rsid w:val="002B5277"/>
    <w:rsid w:val="002B5EC5"/>
    <w:rsid w:val="002B713A"/>
    <w:rsid w:val="002B750D"/>
    <w:rsid w:val="002B77C1"/>
    <w:rsid w:val="002B7931"/>
    <w:rsid w:val="002C2728"/>
    <w:rsid w:val="002C29C3"/>
    <w:rsid w:val="002C2C5F"/>
    <w:rsid w:val="002C307F"/>
    <w:rsid w:val="002C3D8C"/>
    <w:rsid w:val="002C5292"/>
    <w:rsid w:val="002C55FB"/>
    <w:rsid w:val="002C7119"/>
    <w:rsid w:val="002D09C7"/>
    <w:rsid w:val="002D2760"/>
    <w:rsid w:val="002D29A8"/>
    <w:rsid w:val="002D2FDD"/>
    <w:rsid w:val="002D6334"/>
    <w:rsid w:val="002D638A"/>
    <w:rsid w:val="002E01D0"/>
    <w:rsid w:val="002E155D"/>
    <w:rsid w:val="002E161D"/>
    <w:rsid w:val="002E418E"/>
    <w:rsid w:val="002E57AE"/>
    <w:rsid w:val="002E5DDA"/>
    <w:rsid w:val="002E6C95"/>
    <w:rsid w:val="002E6F7C"/>
    <w:rsid w:val="002E717A"/>
    <w:rsid w:val="002E726D"/>
    <w:rsid w:val="002E77B4"/>
    <w:rsid w:val="002E7C36"/>
    <w:rsid w:val="002F0A3D"/>
    <w:rsid w:val="002F2915"/>
    <w:rsid w:val="002F328A"/>
    <w:rsid w:val="002F32D0"/>
    <w:rsid w:val="002F4161"/>
    <w:rsid w:val="002F4D4A"/>
    <w:rsid w:val="002F593F"/>
    <w:rsid w:val="002F5DFD"/>
    <w:rsid w:val="002F5F31"/>
    <w:rsid w:val="002F61F5"/>
    <w:rsid w:val="002F6B83"/>
    <w:rsid w:val="002F6EAE"/>
    <w:rsid w:val="002F6F4D"/>
    <w:rsid w:val="002F722D"/>
    <w:rsid w:val="00302216"/>
    <w:rsid w:val="003029CF"/>
    <w:rsid w:val="00302E55"/>
    <w:rsid w:val="00302F85"/>
    <w:rsid w:val="00303E53"/>
    <w:rsid w:val="00304E9F"/>
    <w:rsid w:val="00306E5F"/>
    <w:rsid w:val="00307E14"/>
    <w:rsid w:val="0031092F"/>
    <w:rsid w:val="00311758"/>
    <w:rsid w:val="00311B0C"/>
    <w:rsid w:val="00314054"/>
    <w:rsid w:val="00314AB1"/>
    <w:rsid w:val="0031510A"/>
    <w:rsid w:val="00315169"/>
    <w:rsid w:val="00315506"/>
    <w:rsid w:val="00315C1D"/>
    <w:rsid w:val="00316F27"/>
    <w:rsid w:val="00317C9A"/>
    <w:rsid w:val="003202F2"/>
    <w:rsid w:val="00322EA1"/>
    <w:rsid w:val="00323DE7"/>
    <w:rsid w:val="0032497C"/>
    <w:rsid w:val="00325C18"/>
    <w:rsid w:val="00326410"/>
    <w:rsid w:val="00326A66"/>
    <w:rsid w:val="0032742E"/>
    <w:rsid w:val="00327870"/>
    <w:rsid w:val="003310F0"/>
    <w:rsid w:val="003318EC"/>
    <w:rsid w:val="0033216A"/>
    <w:rsid w:val="0033259D"/>
    <w:rsid w:val="00332B30"/>
    <w:rsid w:val="00332B9A"/>
    <w:rsid w:val="00336792"/>
    <w:rsid w:val="00336814"/>
    <w:rsid w:val="00336AC7"/>
    <w:rsid w:val="003402B2"/>
    <w:rsid w:val="003406C6"/>
    <w:rsid w:val="0034082E"/>
    <w:rsid w:val="0034188A"/>
    <w:rsid w:val="003418CC"/>
    <w:rsid w:val="00341B7E"/>
    <w:rsid w:val="003429B3"/>
    <w:rsid w:val="00343991"/>
    <w:rsid w:val="003439E0"/>
    <w:rsid w:val="0034468B"/>
    <w:rsid w:val="00344D80"/>
    <w:rsid w:val="003452D9"/>
    <w:rsid w:val="003453EE"/>
    <w:rsid w:val="003459BD"/>
    <w:rsid w:val="00345B47"/>
    <w:rsid w:val="00345E25"/>
    <w:rsid w:val="0035038D"/>
    <w:rsid w:val="0035053E"/>
    <w:rsid w:val="00350933"/>
    <w:rsid w:val="00350D38"/>
    <w:rsid w:val="003510AD"/>
    <w:rsid w:val="00351506"/>
    <w:rsid w:val="0035218A"/>
    <w:rsid w:val="003529D1"/>
    <w:rsid w:val="003532D2"/>
    <w:rsid w:val="003544E4"/>
    <w:rsid w:val="00354A10"/>
    <w:rsid w:val="00356201"/>
    <w:rsid w:val="003567F1"/>
    <w:rsid w:val="00356D29"/>
    <w:rsid w:val="0036128D"/>
    <w:rsid w:val="003614D9"/>
    <w:rsid w:val="00362AE2"/>
    <w:rsid w:val="00363420"/>
    <w:rsid w:val="0036521E"/>
    <w:rsid w:val="00367077"/>
    <w:rsid w:val="003722E4"/>
    <w:rsid w:val="0037283B"/>
    <w:rsid w:val="00372C12"/>
    <w:rsid w:val="003744CF"/>
    <w:rsid w:val="00374717"/>
    <w:rsid w:val="00374A0D"/>
    <w:rsid w:val="00375D43"/>
    <w:rsid w:val="00375F6E"/>
    <w:rsid w:val="003762A9"/>
    <w:rsid w:val="0037676C"/>
    <w:rsid w:val="003767E2"/>
    <w:rsid w:val="00377A0F"/>
    <w:rsid w:val="00377C5D"/>
    <w:rsid w:val="00380705"/>
    <w:rsid w:val="00380878"/>
    <w:rsid w:val="00380883"/>
    <w:rsid w:val="00381450"/>
    <w:rsid w:val="003823B0"/>
    <w:rsid w:val="003829E5"/>
    <w:rsid w:val="00382BBB"/>
    <w:rsid w:val="00382DEA"/>
    <w:rsid w:val="00383A9C"/>
    <w:rsid w:val="0038475A"/>
    <w:rsid w:val="00384D75"/>
    <w:rsid w:val="00385023"/>
    <w:rsid w:val="00385E59"/>
    <w:rsid w:val="00386958"/>
    <w:rsid w:val="00387C0C"/>
    <w:rsid w:val="0039185F"/>
    <w:rsid w:val="00391A52"/>
    <w:rsid w:val="00392114"/>
    <w:rsid w:val="00394900"/>
    <w:rsid w:val="00394985"/>
    <w:rsid w:val="003956CC"/>
    <w:rsid w:val="00395757"/>
    <w:rsid w:val="00395C9A"/>
    <w:rsid w:val="003960D3"/>
    <w:rsid w:val="003A3123"/>
    <w:rsid w:val="003A4603"/>
    <w:rsid w:val="003A4855"/>
    <w:rsid w:val="003A4AA3"/>
    <w:rsid w:val="003A4F60"/>
    <w:rsid w:val="003A67F2"/>
    <w:rsid w:val="003A6B67"/>
    <w:rsid w:val="003A734D"/>
    <w:rsid w:val="003A7A22"/>
    <w:rsid w:val="003B0DBC"/>
    <w:rsid w:val="003B1536"/>
    <w:rsid w:val="003B15E6"/>
    <w:rsid w:val="003B21E7"/>
    <w:rsid w:val="003B28E0"/>
    <w:rsid w:val="003B2992"/>
    <w:rsid w:val="003B2B57"/>
    <w:rsid w:val="003B2E19"/>
    <w:rsid w:val="003B2F75"/>
    <w:rsid w:val="003B4046"/>
    <w:rsid w:val="003B6ECA"/>
    <w:rsid w:val="003C0FF5"/>
    <w:rsid w:val="003C2045"/>
    <w:rsid w:val="003C242F"/>
    <w:rsid w:val="003C2E6A"/>
    <w:rsid w:val="003C3ABD"/>
    <w:rsid w:val="003C43A1"/>
    <w:rsid w:val="003C4495"/>
    <w:rsid w:val="003C55F4"/>
    <w:rsid w:val="003C55FD"/>
    <w:rsid w:val="003C5A5F"/>
    <w:rsid w:val="003C5B03"/>
    <w:rsid w:val="003C7A3F"/>
    <w:rsid w:val="003D0945"/>
    <w:rsid w:val="003D0DBB"/>
    <w:rsid w:val="003D11F0"/>
    <w:rsid w:val="003D1D76"/>
    <w:rsid w:val="003D349F"/>
    <w:rsid w:val="003D34B0"/>
    <w:rsid w:val="003D3E8F"/>
    <w:rsid w:val="003D54D7"/>
    <w:rsid w:val="003D5A79"/>
    <w:rsid w:val="003D6242"/>
    <w:rsid w:val="003D6475"/>
    <w:rsid w:val="003E13C1"/>
    <w:rsid w:val="003E2FDC"/>
    <w:rsid w:val="003E375C"/>
    <w:rsid w:val="003E6FA6"/>
    <w:rsid w:val="003F0445"/>
    <w:rsid w:val="003F04D8"/>
    <w:rsid w:val="003F0CF0"/>
    <w:rsid w:val="003F0EE4"/>
    <w:rsid w:val="003F20B3"/>
    <w:rsid w:val="003F26C2"/>
    <w:rsid w:val="003F3289"/>
    <w:rsid w:val="003F3BDF"/>
    <w:rsid w:val="003F47E4"/>
    <w:rsid w:val="003F4F39"/>
    <w:rsid w:val="003F523E"/>
    <w:rsid w:val="003F56B8"/>
    <w:rsid w:val="003F6339"/>
    <w:rsid w:val="003F67F8"/>
    <w:rsid w:val="003F77ED"/>
    <w:rsid w:val="00400E61"/>
    <w:rsid w:val="00401CAC"/>
    <w:rsid w:val="00401FCF"/>
    <w:rsid w:val="004023E0"/>
    <w:rsid w:val="0040334C"/>
    <w:rsid w:val="00404584"/>
    <w:rsid w:val="00404911"/>
    <w:rsid w:val="004066C6"/>
    <w:rsid w:val="00412B26"/>
    <w:rsid w:val="00413585"/>
    <w:rsid w:val="00413DED"/>
    <w:rsid w:val="004148F9"/>
    <w:rsid w:val="00415FE3"/>
    <w:rsid w:val="0041633A"/>
    <w:rsid w:val="0041669C"/>
    <w:rsid w:val="004167F4"/>
    <w:rsid w:val="00417602"/>
    <w:rsid w:val="0042084E"/>
    <w:rsid w:val="00420992"/>
    <w:rsid w:val="004224CB"/>
    <w:rsid w:val="0042266B"/>
    <w:rsid w:val="00422F64"/>
    <w:rsid w:val="0042303D"/>
    <w:rsid w:val="004236D4"/>
    <w:rsid w:val="00424D65"/>
    <w:rsid w:val="00427049"/>
    <w:rsid w:val="0042729F"/>
    <w:rsid w:val="0043027B"/>
    <w:rsid w:val="00430739"/>
    <w:rsid w:val="00431727"/>
    <w:rsid w:val="004321C6"/>
    <w:rsid w:val="004336DA"/>
    <w:rsid w:val="00435369"/>
    <w:rsid w:val="00435D7D"/>
    <w:rsid w:val="00436BDF"/>
    <w:rsid w:val="00436F62"/>
    <w:rsid w:val="004402B7"/>
    <w:rsid w:val="004414D4"/>
    <w:rsid w:val="00442C6C"/>
    <w:rsid w:val="00443CBE"/>
    <w:rsid w:val="004441BC"/>
    <w:rsid w:val="004450DF"/>
    <w:rsid w:val="004458CB"/>
    <w:rsid w:val="00447883"/>
    <w:rsid w:val="00447D82"/>
    <w:rsid w:val="004505B5"/>
    <w:rsid w:val="00451575"/>
    <w:rsid w:val="00451675"/>
    <w:rsid w:val="0045230A"/>
    <w:rsid w:val="004524D0"/>
    <w:rsid w:val="00452BDA"/>
    <w:rsid w:val="004536DB"/>
    <w:rsid w:val="004543B2"/>
    <w:rsid w:val="0045492E"/>
    <w:rsid w:val="004551F3"/>
    <w:rsid w:val="004568D9"/>
    <w:rsid w:val="0045702E"/>
    <w:rsid w:val="0045707E"/>
    <w:rsid w:val="00457337"/>
    <w:rsid w:val="0046021C"/>
    <w:rsid w:val="00462BCB"/>
    <w:rsid w:val="00463410"/>
    <w:rsid w:val="00464A7C"/>
    <w:rsid w:val="0046615C"/>
    <w:rsid w:val="00467CAE"/>
    <w:rsid w:val="0047156E"/>
    <w:rsid w:val="00471EFA"/>
    <w:rsid w:val="004730B9"/>
    <w:rsid w:val="0047372D"/>
    <w:rsid w:val="004743DD"/>
    <w:rsid w:val="00474CEA"/>
    <w:rsid w:val="00475C1D"/>
    <w:rsid w:val="0047682A"/>
    <w:rsid w:val="0047727E"/>
    <w:rsid w:val="004803AD"/>
    <w:rsid w:val="00480742"/>
    <w:rsid w:val="00480AEF"/>
    <w:rsid w:val="00480CCA"/>
    <w:rsid w:val="004816F6"/>
    <w:rsid w:val="00482044"/>
    <w:rsid w:val="00483968"/>
    <w:rsid w:val="00484F86"/>
    <w:rsid w:val="0048591F"/>
    <w:rsid w:val="0048612A"/>
    <w:rsid w:val="004879C9"/>
    <w:rsid w:val="00490746"/>
    <w:rsid w:val="00490852"/>
    <w:rsid w:val="004909D3"/>
    <w:rsid w:val="00490C2A"/>
    <w:rsid w:val="0049112C"/>
    <w:rsid w:val="004946F4"/>
    <w:rsid w:val="0049487E"/>
    <w:rsid w:val="004A0F4F"/>
    <w:rsid w:val="004A200C"/>
    <w:rsid w:val="004A204D"/>
    <w:rsid w:val="004A3E81"/>
    <w:rsid w:val="004A3FBE"/>
    <w:rsid w:val="004A4708"/>
    <w:rsid w:val="004A5C62"/>
    <w:rsid w:val="004A6405"/>
    <w:rsid w:val="004A696E"/>
    <w:rsid w:val="004A6C5A"/>
    <w:rsid w:val="004A707D"/>
    <w:rsid w:val="004A7ADA"/>
    <w:rsid w:val="004B122B"/>
    <w:rsid w:val="004B170B"/>
    <w:rsid w:val="004B1ABC"/>
    <w:rsid w:val="004B1BF2"/>
    <w:rsid w:val="004B2C66"/>
    <w:rsid w:val="004B2C9E"/>
    <w:rsid w:val="004B30EB"/>
    <w:rsid w:val="004B349E"/>
    <w:rsid w:val="004B3834"/>
    <w:rsid w:val="004B5471"/>
    <w:rsid w:val="004C3014"/>
    <w:rsid w:val="004C5366"/>
    <w:rsid w:val="004C5F2B"/>
    <w:rsid w:val="004C6EEE"/>
    <w:rsid w:val="004C702B"/>
    <w:rsid w:val="004D016B"/>
    <w:rsid w:val="004D1817"/>
    <w:rsid w:val="004D1871"/>
    <w:rsid w:val="004D1B22"/>
    <w:rsid w:val="004D2B11"/>
    <w:rsid w:val="004D3098"/>
    <w:rsid w:val="004D310C"/>
    <w:rsid w:val="004D36F2"/>
    <w:rsid w:val="004D5069"/>
    <w:rsid w:val="004D58B7"/>
    <w:rsid w:val="004D618E"/>
    <w:rsid w:val="004D7755"/>
    <w:rsid w:val="004D7D94"/>
    <w:rsid w:val="004E09B4"/>
    <w:rsid w:val="004E21B2"/>
    <w:rsid w:val="004E40ED"/>
    <w:rsid w:val="004E4649"/>
    <w:rsid w:val="004E5C2B"/>
    <w:rsid w:val="004E64CE"/>
    <w:rsid w:val="004E6698"/>
    <w:rsid w:val="004E73C6"/>
    <w:rsid w:val="004F00DD"/>
    <w:rsid w:val="004F0DC5"/>
    <w:rsid w:val="004F18B5"/>
    <w:rsid w:val="004F2133"/>
    <w:rsid w:val="004F4B2B"/>
    <w:rsid w:val="004F55F1"/>
    <w:rsid w:val="004F6936"/>
    <w:rsid w:val="004F6B60"/>
    <w:rsid w:val="00501B34"/>
    <w:rsid w:val="0050281F"/>
    <w:rsid w:val="00502879"/>
    <w:rsid w:val="005028D3"/>
    <w:rsid w:val="00503DC6"/>
    <w:rsid w:val="00503F6E"/>
    <w:rsid w:val="00504401"/>
    <w:rsid w:val="005061AB"/>
    <w:rsid w:val="00506C58"/>
    <w:rsid w:val="00506F5D"/>
    <w:rsid w:val="00511A04"/>
    <w:rsid w:val="00511DC3"/>
    <w:rsid w:val="0051202C"/>
    <w:rsid w:val="005123DC"/>
    <w:rsid w:val="005126D0"/>
    <w:rsid w:val="00513174"/>
    <w:rsid w:val="005142D4"/>
    <w:rsid w:val="00517E47"/>
    <w:rsid w:val="00520AB8"/>
    <w:rsid w:val="00521FF9"/>
    <w:rsid w:val="005222FA"/>
    <w:rsid w:val="00523F38"/>
    <w:rsid w:val="005249A2"/>
    <w:rsid w:val="005257A0"/>
    <w:rsid w:val="005259FA"/>
    <w:rsid w:val="00526865"/>
    <w:rsid w:val="005306DF"/>
    <w:rsid w:val="00530F4C"/>
    <w:rsid w:val="005313C8"/>
    <w:rsid w:val="00532460"/>
    <w:rsid w:val="005325FA"/>
    <w:rsid w:val="00533A58"/>
    <w:rsid w:val="00533E6E"/>
    <w:rsid w:val="00534234"/>
    <w:rsid w:val="0053580C"/>
    <w:rsid w:val="005361F1"/>
    <w:rsid w:val="00536499"/>
    <w:rsid w:val="00536F85"/>
    <w:rsid w:val="0053712D"/>
    <w:rsid w:val="0054000A"/>
    <w:rsid w:val="00540537"/>
    <w:rsid w:val="005407F5"/>
    <w:rsid w:val="00540881"/>
    <w:rsid w:val="00542828"/>
    <w:rsid w:val="00542B6E"/>
    <w:rsid w:val="005433F1"/>
    <w:rsid w:val="00543903"/>
    <w:rsid w:val="00543918"/>
    <w:rsid w:val="0054415D"/>
    <w:rsid w:val="00544540"/>
    <w:rsid w:val="00546E29"/>
    <w:rsid w:val="00547A95"/>
    <w:rsid w:val="005514C5"/>
    <w:rsid w:val="00551599"/>
    <w:rsid w:val="00551B2D"/>
    <w:rsid w:val="005532F9"/>
    <w:rsid w:val="00555555"/>
    <w:rsid w:val="00555B7E"/>
    <w:rsid w:val="005569A2"/>
    <w:rsid w:val="00556D2C"/>
    <w:rsid w:val="0056036A"/>
    <w:rsid w:val="00560521"/>
    <w:rsid w:val="00560DC2"/>
    <w:rsid w:val="005636EF"/>
    <w:rsid w:val="005657E9"/>
    <w:rsid w:val="00565979"/>
    <w:rsid w:val="00566DDE"/>
    <w:rsid w:val="0056741F"/>
    <w:rsid w:val="00567D66"/>
    <w:rsid w:val="00567FE5"/>
    <w:rsid w:val="0057071D"/>
    <w:rsid w:val="00570B00"/>
    <w:rsid w:val="00572031"/>
    <w:rsid w:val="00573B54"/>
    <w:rsid w:val="00576E84"/>
    <w:rsid w:val="005776AD"/>
    <w:rsid w:val="0058079F"/>
    <w:rsid w:val="00580AC6"/>
    <w:rsid w:val="00581CF6"/>
    <w:rsid w:val="00582397"/>
    <w:rsid w:val="00582979"/>
    <w:rsid w:val="00582F3D"/>
    <w:rsid w:val="00584394"/>
    <w:rsid w:val="0058503D"/>
    <w:rsid w:val="00585669"/>
    <w:rsid w:val="0058626A"/>
    <w:rsid w:val="00586342"/>
    <w:rsid w:val="0058757E"/>
    <w:rsid w:val="005909BC"/>
    <w:rsid w:val="00590C67"/>
    <w:rsid w:val="0059227A"/>
    <w:rsid w:val="00593414"/>
    <w:rsid w:val="0059439F"/>
    <w:rsid w:val="0059539F"/>
    <w:rsid w:val="00595465"/>
    <w:rsid w:val="00595BBD"/>
    <w:rsid w:val="00596A4B"/>
    <w:rsid w:val="00597507"/>
    <w:rsid w:val="0059754B"/>
    <w:rsid w:val="00597865"/>
    <w:rsid w:val="00597F88"/>
    <w:rsid w:val="005A108A"/>
    <w:rsid w:val="005A17EB"/>
    <w:rsid w:val="005A1ED5"/>
    <w:rsid w:val="005A2848"/>
    <w:rsid w:val="005A2F99"/>
    <w:rsid w:val="005A3685"/>
    <w:rsid w:val="005A5A7A"/>
    <w:rsid w:val="005A7647"/>
    <w:rsid w:val="005B0633"/>
    <w:rsid w:val="005B21B6"/>
    <w:rsid w:val="005B26B7"/>
    <w:rsid w:val="005B6049"/>
    <w:rsid w:val="005B627B"/>
    <w:rsid w:val="005B6EE6"/>
    <w:rsid w:val="005B75CD"/>
    <w:rsid w:val="005B7A63"/>
    <w:rsid w:val="005C28D1"/>
    <w:rsid w:val="005C3D79"/>
    <w:rsid w:val="005C42BA"/>
    <w:rsid w:val="005C458D"/>
    <w:rsid w:val="005C49DA"/>
    <w:rsid w:val="005C50F3"/>
    <w:rsid w:val="005C57C1"/>
    <w:rsid w:val="005C5D91"/>
    <w:rsid w:val="005C696A"/>
    <w:rsid w:val="005C724B"/>
    <w:rsid w:val="005C7DF2"/>
    <w:rsid w:val="005D0146"/>
    <w:rsid w:val="005D07B8"/>
    <w:rsid w:val="005D1DA7"/>
    <w:rsid w:val="005D3AFB"/>
    <w:rsid w:val="005D45C8"/>
    <w:rsid w:val="005D468A"/>
    <w:rsid w:val="005D4709"/>
    <w:rsid w:val="005D6597"/>
    <w:rsid w:val="005D7730"/>
    <w:rsid w:val="005D7856"/>
    <w:rsid w:val="005D78A2"/>
    <w:rsid w:val="005D7EA1"/>
    <w:rsid w:val="005E02D4"/>
    <w:rsid w:val="005E09BE"/>
    <w:rsid w:val="005E0F2F"/>
    <w:rsid w:val="005E14E7"/>
    <w:rsid w:val="005E37D5"/>
    <w:rsid w:val="005E3BBF"/>
    <w:rsid w:val="005E4097"/>
    <w:rsid w:val="005E447E"/>
    <w:rsid w:val="005E4D78"/>
    <w:rsid w:val="005E6E15"/>
    <w:rsid w:val="005F0775"/>
    <w:rsid w:val="005F0BCA"/>
    <w:rsid w:val="005F0CF5"/>
    <w:rsid w:val="005F21EB"/>
    <w:rsid w:val="005F70A4"/>
    <w:rsid w:val="005F7CB6"/>
    <w:rsid w:val="00600835"/>
    <w:rsid w:val="006018F2"/>
    <w:rsid w:val="0060214D"/>
    <w:rsid w:val="006027E7"/>
    <w:rsid w:val="00603B65"/>
    <w:rsid w:val="00604732"/>
    <w:rsid w:val="00604EEA"/>
    <w:rsid w:val="00605908"/>
    <w:rsid w:val="00606C8D"/>
    <w:rsid w:val="00607841"/>
    <w:rsid w:val="00610079"/>
    <w:rsid w:val="006100C3"/>
    <w:rsid w:val="00610C3D"/>
    <w:rsid w:val="00610D7C"/>
    <w:rsid w:val="00613414"/>
    <w:rsid w:val="00614495"/>
    <w:rsid w:val="0061449D"/>
    <w:rsid w:val="00614F8F"/>
    <w:rsid w:val="00615286"/>
    <w:rsid w:val="006152CD"/>
    <w:rsid w:val="006163AF"/>
    <w:rsid w:val="006218B5"/>
    <w:rsid w:val="00621F0F"/>
    <w:rsid w:val="00622852"/>
    <w:rsid w:val="00622CDE"/>
    <w:rsid w:val="0062300D"/>
    <w:rsid w:val="006233BA"/>
    <w:rsid w:val="0062389F"/>
    <w:rsid w:val="00623B0F"/>
    <w:rsid w:val="0062408D"/>
    <w:rsid w:val="0062576F"/>
    <w:rsid w:val="006272E2"/>
    <w:rsid w:val="0062778C"/>
    <w:rsid w:val="00627DA7"/>
    <w:rsid w:val="00632909"/>
    <w:rsid w:val="006358B4"/>
    <w:rsid w:val="006371A6"/>
    <w:rsid w:val="00637E2A"/>
    <w:rsid w:val="00637FCB"/>
    <w:rsid w:val="00641634"/>
    <w:rsid w:val="006419AA"/>
    <w:rsid w:val="0064484F"/>
    <w:rsid w:val="00644B1D"/>
    <w:rsid w:val="00644B7E"/>
    <w:rsid w:val="00646A68"/>
    <w:rsid w:val="0065092E"/>
    <w:rsid w:val="006548B4"/>
    <w:rsid w:val="006557A7"/>
    <w:rsid w:val="00656290"/>
    <w:rsid w:val="00657172"/>
    <w:rsid w:val="006571F2"/>
    <w:rsid w:val="00657303"/>
    <w:rsid w:val="006609D3"/>
    <w:rsid w:val="0066103E"/>
    <w:rsid w:val="006621D7"/>
    <w:rsid w:val="006624EC"/>
    <w:rsid w:val="0066302A"/>
    <w:rsid w:val="00663B1A"/>
    <w:rsid w:val="006642EF"/>
    <w:rsid w:val="00665E27"/>
    <w:rsid w:val="00666B7D"/>
    <w:rsid w:val="00667897"/>
    <w:rsid w:val="00670430"/>
    <w:rsid w:val="00670597"/>
    <w:rsid w:val="00670868"/>
    <w:rsid w:val="006716C7"/>
    <w:rsid w:val="00671EC9"/>
    <w:rsid w:val="0067245A"/>
    <w:rsid w:val="00673388"/>
    <w:rsid w:val="00673A34"/>
    <w:rsid w:val="00673CB7"/>
    <w:rsid w:val="00674E2C"/>
    <w:rsid w:val="00675DE5"/>
    <w:rsid w:val="006768DF"/>
    <w:rsid w:val="00676BCF"/>
    <w:rsid w:val="006771DB"/>
    <w:rsid w:val="00677574"/>
    <w:rsid w:val="006805C7"/>
    <w:rsid w:val="00680A3C"/>
    <w:rsid w:val="00681DA7"/>
    <w:rsid w:val="00682908"/>
    <w:rsid w:val="00683B14"/>
    <w:rsid w:val="00683F80"/>
    <w:rsid w:val="0068454C"/>
    <w:rsid w:val="00684B4F"/>
    <w:rsid w:val="006869EF"/>
    <w:rsid w:val="00686D68"/>
    <w:rsid w:val="00687467"/>
    <w:rsid w:val="00691B62"/>
    <w:rsid w:val="0069211C"/>
    <w:rsid w:val="0069244A"/>
    <w:rsid w:val="0069324B"/>
    <w:rsid w:val="00693A02"/>
    <w:rsid w:val="006956C9"/>
    <w:rsid w:val="0069604B"/>
    <w:rsid w:val="00697505"/>
    <w:rsid w:val="006A0860"/>
    <w:rsid w:val="006A100F"/>
    <w:rsid w:val="006A18C2"/>
    <w:rsid w:val="006A1D88"/>
    <w:rsid w:val="006A2472"/>
    <w:rsid w:val="006A250F"/>
    <w:rsid w:val="006A37BF"/>
    <w:rsid w:val="006A4722"/>
    <w:rsid w:val="006A52DB"/>
    <w:rsid w:val="006A7000"/>
    <w:rsid w:val="006B0046"/>
    <w:rsid w:val="006B077C"/>
    <w:rsid w:val="006B25CC"/>
    <w:rsid w:val="006B283E"/>
    <w:rsid w:val="006B47AB"/>
    <w:rsid w:val="006B5132"/>
    <w:rsid w:val="006B7000"/>
    <w:rsid w:val="006B7BF0"/>
    <w:rsid w:val="006C0F70"/>
    <w:rsid w:val="006C240F"/>
    <w:rsid w:val="006C243A"/>
    <w:rsid w:val="006D0F15"/>
    <w:rsid w:val="006D1C1A"/>
    <w:rsid w:val="006D2A3F"/>
    <w:rsid w:val="006D4E01"/>
    <w:rsid w:val="006D52C5"/>
    <w:rsid w:val="006D610C"/>
    <w:rsid w:val="006E07C6"/>
    <w:rsid w:val="006E138B"/>
    <w:rsid w:val="006E13DB"/>
    <w:rsid w:val="006E2580"/>
    <w:rsid w:val="006E5F5B"/>
    <w:rsid w:val="006E629E"/>
    <w:rsid w:val="006E6A9A"/>
    <w:rsid w:val="006E7A1B"/>
    <w:rsid w:val="006F1B93"/>
    <w:rsid w:val="006F1FDC"/>
    <w:rsid w:val="006F2312"/>
    <w:rsid w:val="006F294E"/>
    <w:rsid w:val="006F2CE6"/>
    <w:rsid w:val="006F36B5"/>
    <w:rsid w:val="006F3F01"/>
    <w:rsid w:val="006F40A3"/>
    <w:rsid w:val="006F47EA"/>
    <w:rsid w:val="006F5300"/>
    <w:rsid w:val="006F60F8"/>
    <w:rsid w:val="006F6579"/>
    <w:rsid w:val="007013EF"/>
    <w:rsid w:val="00701AB4"/>
    <w:rsid w:val="007023E0"/>
    <w:rsid w:val="00702B10"/>
    <w:rsid w:val="00705CF1"/>
    <w:rsid w:val="007109D2"/>
    <w:rsid w:val="00710E83"/>
    <w:rsid w:val="0071220D"/>
    <w:rsid w:val="007134F7"/>
    <w:rsid w:val="007141B9"/>
    <w:rsid w:val="007146BD"/>
    <w:rsid w:val="00714E7C"/>
    <w:rsid w:val="00714FEE"/>
    <w:rsid w:val="00716D27"/>
    <w:rsid w:val="00716E5B"/>
    <w:rsid w:val="00717327"/>
    <w:rsid w:val="007216AA"/>
    <w:rsid w:val="007216FA"/>
    <w:rsid w:val="00721AB5"/>
    <w:rsid w:val="00721DEF"/>
    <w:rsid w:val="00722719"/>
    <w:rsid w:val="00723696"/>
    <w:rsid w:val="00724A43"/>
    <w:rsid w:val="00725D4C"/>
    <w:rsid w:val="00730E8E"/>
    <w:rsid w:val="00731D89"/>
    <w:rsid w:val="00731DF3"/>
    <w:rsid w:val="007320E1"/>
    <w:rsid w:val="007323FD"/>
    <w:rsid w:val="00732BB4"/>
    <w:rsid w:val="007330D6"/>
    <w:rsid w:val="0073348D"/>
    <w:rsid w:val="00733721"/>
    <w:rsid w:val="00733893"/>
    <w:rsid w:val="007346E4"/>
    <w:rsid w:val="00734F26"/>
    <w:rsid w:val="00735D59"/>
    <w:rsid w:val="0073730C"/>
    <w:rsid w:val="00740F22"/>
    <w:rsid w:val="00741F1A"/>
    <w:rsid w:val="00741FE7"/>
    <w:rsid w:val="0074402E"/>
    <w:rsid w:val="00744A6A"/>
    <w:rsid w:val="007450F8"/>
    <w:rsid w:val="00745DF4"/>
    <w:rsid w:val="00746628"/>
    <w:rsid w:val="0074696E"/>
    <w:rsid w:val="00746F50"/>
    <w:rsid w:val="00747555"/>
    <w:rsid w:val="00750135"/>
    <w:rsid w:val="007501E6"/>
    <w:rsid w:val="0075285D"/>
    <w:rsid w:val="00753202"/>
    <w:rsid w:val="00753FAF"/>
    <w:rsid w:val="00754E36"/>
    <w:rsid w:val="00755326"/>
    <w:rsid w:val="00755EA8"/>
    <w:rsid w:val="00760BC3"/>
    <w:rsid w:val="0076199E"/>
    <w:rsid w:val="00762D95"/>
    <w:rsid w:val="00763139"/>
    <w:rsid w:val="00763EDF"/>
    <w:rsid w:val="00764291"/>
    <w:rsid w:val="00764E67"/>
    <w:rsid w:val="00764EB5"/>
    <w:rsid w:val="0076737C"/>
    <w:rsid w:val="00767B4E"/>
    <w:rsid w:val="007711D0"/>
    <w:rsid w:val="00772D5E"/>
    <w:rsid w:val="0077348C"/>
    <w:rsid w:val="00773531"/>
    <w:rsid w:val="007746B6"/>
    <w:rsid w:val="00775C7C"/>
    <w:rsid w:val="007768B3"/>
    <w:rsid w:val="00776928"/>
    <w:rsid w:val="00780265"/>
    <w:rsid w:val="007827C9"/>
    <w:rsid w:val="00782C8E"/>
    <w:rsid w:val="00782F2C"/>
    <w:rsid w:val="00785567"/>
    <w:rsid w:val="00786F16"/>
    <w:rsid w:val="00787FBE"/>
    <w:rsid w:val="00790F03"/>
    <w:rsid w:val="007913FA"/>
    <w:rsid w:val="007924EA"/>
    <w:rsid w:val="0079415F"/>
    <w:rsid w:val="00796E20"/>
    <w:rsid w:val="00797C32"/>
    <w:rsid w:val="00797FA8"/>
    <w:rsid w:val="007A3400"/>
    <w:rsid w:val="007A3A3B"/>
    <w:rsid w:val="007A3DF6"/>
    <w:rsid w:val="007A4631"/>
    <w:rsid w:val="007A57F6"/>
    <w:rsid w:val="007A7253"/>
    <w:rsid w:val="007B0914"/>
    <w:rsid w:val="007B1374"/>
    <w:rsid w:val="007B1971"/>
    <w:rsid w:val="007B3AE2"/>
    <w:rsid w:val="007B46D2"/>
    <w:rsid w:val="007B589F"/>
    <w:rsid w:val="007B6186"/>
    <w:rsid w:val="007B6A73"/>
    <w:rsid w:val="007C39D1"/>
    <w:rsid w:val="007C3F7F"/>
    <w:rsid w:val="007C47DB"/>
    <w:rsid w:val="007C4D24"/>
    <w:rsid w:val="007C7301"/>
    <w:rsid w:val="007C7859"/>
    <w:rsid w:val="007D0124"/>
    <w:rsid w:val="007D0362"/>
    <w:rsid w:val="007D0A10"/>
    <w:rsid w:val="007D1412"/>
    <w:rsid w:val="007D1DDE"/>
    <w:rsid w:val="007D2BDE"/>
    <w:rsid w:val="007D2D1C"/>
    <w:rsid w:val="007D2FB6"/>
    <w:rsid w:val="007D3402"/>
    <w:rsid w:val="007D3B6F"/>
    <w:rsid w:val="007D3EA2"/>
    <w:rsid w:val="007D4D5A"/>
    <w:rsid w:val="007D7303"/>
    <w:rsid w:val="007E0DE2"/>
    <w:rsid w:val="007E2FFB"/>
    <w:rsid w:val="007E3B03"/>
    <w:rsid w:val="007E4A8A"/>
    <w:rsid w:val="007E4D28"/>
    <w:rsid w:val="007E5373"/>
    <w:rsid w:val="007F0845"/>
    <w:rsid w:val="007F28A1"/>
    <w:rsid w:val="007F31B6"/>
    <w:rsid w:val="007F546C"/>
    <w:rsid w:val="007F5631"/>
    <w:rsid w:val="007F665E"/>
    <w:rsid w:val="007F70E1"/>
    <w:rsid w:val="007F71DA"/>
    <w:rsid w:val="00800412"/>
    <w:rsid w:val="00800C7B"/>
    <w:rsid w:val="00800E46"/>
    <w:rsid w:val="00801EEF"/>
    <w:rsid w:val="00802512"/>
    <w:rsid w:val="0080385E"/>
    <w:rsid w:val="0080587B"/>
    <w:rsid w:val="00806468"/>
    <w:rsid w:val="00810979"/>
    <w:rsid w:val="008110B5"/>
    <w:rsid w:val="00811B61"/>
    <w:rsid w:val="0081207D"/>
    <w:rsid w:val="00814542"/>
    <w:rsid w:val="00814B0F"/>
    <w:rsid w:val="00815A0C"/>
    <w:rsid w:val="00815FED"/>
    <w:rsid w:val="00816735"/>
    <w:rsid w:val="008173B7"/>
    <w:rsid w:val="00820141"/>
    <w:rsid w:val="00820899"/>
    <w:rsid w:val="00820C28"/>
    <w:rsid w:val="00820E0C"/>
    <w:rsid w:val="0082194D"/>
    <w:rsid w:val="00821E6B"/>
    <w:rsid w:val="008260DA"/>
    <w:rsid w:val="008271EF"/>
    <w:rsid w:val="0083170E"/>
    <w:rsid w:val="00831A38"/>
    <w:rsid w:val="00831F7D"/>
    <w:rsid w:val="00833037"/>
    <w:rsid w:val="00833596"/>
    <w:rsid w:val="00833BFA"/>
    <w:rsid w:val="00835267"/>
    <w:rsid w:val="008358D5"/>
    <w:rsid w:val="00835A5A"/>
    <w:rsid w:val="008366C1"/>
    <w:rsid w:val="008376ED"/>
    <w:rsid w:val="00837A38"/>
    <w:rsid w:val="00840A62"/>
    <w:rsid w:val="00840DBA"/>
    <w:rsid w:val="00841390"/>
    <w:rsid w:val="008415D9"/>
    <w:rsid w:val="00842661"/>
    <w:rsid w:val="0084275C"/>
    <w:rsid w:val="00844A0B"/>
    <w:rsid w:val="00845046"/>
    <w:rsid w:val="00845784"/>
    <w:rsid w:val="00845D7E"/>
    <w:rsid w:val="008467C9"/>
    <w:rsid w:val="00846AE5"/>
    <w:rsid w:val="00846F6B"/>
    <w:rsid w:val="008505B2"/>
    <w:rsid w:val="008516F2"/>
    <w:rsid w:val="00852A1D"/>
    <w:rsid w:val="00852BF3"/>
    <w:rsid w:val="00852EE6"/>
    <w:rsid w:val="00853866"/>
    <w:rsid w:val="00853EE4"/>
    <w:rsid w:val="00855023"/>
    <w:rsid w:val="00855535"/>
    <w:rsid w:val="00855EAE"/>
    <w:rsid w:val="00860662"/>
    <w:rsid w:val="00860AC0"/>
    <w:rsid w:val="00860CB4"/>
    <w:rsid w:val="0086180B"/>
    <w:rsid w:val="00862387"/>
    <w:rsid w:val="0086283B"/>
    <w:rsid w:val="0086283E"/>
    <w:rsid w:val="00862950"/>
    <w:rsid w:val="008633F0"/>
    <w:rsid w:val="00863649"/>
    <w:rsid w:val="00864F49"/>
    <w:rsid w:val="00866C61"/>
    <w:rsid w:val="00866FCF"/>
    <w:rsid w:val="008673CF"/>
    <w:rsid w:val="00867D9D"/>
    <w:rsid w:val="0087043B"/>
    <w:rsid w:val="0087127B"/>
    <w:rsid w:val="0087250E"/>
    <w:rsid w:val="00872E0A"/>
    <w:rsid w:val="00873277"/>
    <w:rsid w:val="00875285"/>
    <w:rsid w:val="008770B0"/>
    <w:rsid w:val="00880CCC"/>
    <w:rsid w:val="00882063"/>
    <w:rsid w:val="0088303A"/>
    <w:rsid w:val="0088310F"/>
    <w:rsid w:val="0088361A"/>
    <w:rsid w:val="0088451E"/>
    <w:rsid w:val="00884B62"/>
    <w:rsid w:val="0088529C"/>
    <w:rsid w:val="008879F4"/>
    <w:rsid w:val="00890352"/>
    <w:rsid w:val="00890D38"/>
    <w:rsid w:val="00892553"/>
    <w:rsid w:val="0089270A"/>
    <w:rsid w:val="00893AF6"/>
    <w:rsid w:val="00894BC4"/>
    <w:rsid w:val="00894C30"/>
    <w:rsid w:val="00897069"/>
    <w:rsid w:val="00897903"/>
    <w:rsid w:val="008A02C8"/>
    <w:rsid w:val="008A076E"/>
    <w:rsid w:val="008A07A8"/>
    <w:rsid w:val="008A30DD"/>
    <w:rsid w:val="008A3248"/>
    <w:rsid w:val="008A3303"/>
    <w:rsid w:val="008A5834"/>
    <w:rsid w:val="008A5D35"/>
    <w:rsid w:val="008A64E9"/>
    <w:rsid w:val="008A6604"/>
    <w:rsid w:val="008A6BAC"/>
    <w:rsid w:val="008A7158"/>
    <w:rsid w:val="008A73C5"/>
    <w:rsid w:val="008A78F7"/>
    <w:rsid w:val="008A7A0E"/>
    <w:rsid w:val="008A7B90"/>
    <w:rsid w:val="008B167B"/>
    <w:rsid w:val="008B2EE4"/>
    <w:rsid w:val="008B3A82"/>
    <w:rsid w:val="008B3E2C"/>
    <w:rsid w:val="008B4D3D"/>
    <w:rsid w:val="008B51D9"/>
    <w:rsid w:val="008B57C7"/>
    <w:rsid w:val="008B612B"/>
    <w:rsid w:val="008B6A1F"/>
    <w:rsid w:val="008B74F0"/>
    <w:rsid w:val="008C0055"/>
    <w:rsid w:val="008C1B2A"/>
    <w:rsid w:val="008C2F92"/>
    <w:rsid w:val="008C4D59"/>
    <w:rsid w:val="008C5F3C"/>
    <w:rsid w:val="008C68C4"/>
    <w:rsid w:val="008C70E3"/>
    <w:rsid w:val="008C748D"/>
    <w:rsid w:val="008D0E76"/>
    <w:rsid w:val="008D117A"/>
    <w:rsid w:val="008D2F32"/>
    <w:rsid w:val="008D3838"/>
    <w:rsid w:val="008D4236"/>
    <w:rsid w:val="008D432A"/>
    <w:rsid w:val="008D462F"/>
    <w:rsid w:val="008D5E7B"/>
    <w:rsid w:val="008D6DCE"/>
    <w:rsid w:val="008E187C"/>
    <w:rsid w:val="008E192D"/>
    <w:rsid w:val="008E193A"/>
    <w:rsid w:val="008E1F43"/>
    <w:rsid w:val="008E4376"/>
    <w:rsid w:val="008E483C"/>
    <w:rsid w:val="008E57CC"/>
    <w:rsid w:val="008E5DB6"/>
    <w:rsid w:val="008E676A"/>
    <w:rsid w:val="008E6EE0"/>
    <w:rsid w:val="008F0DFD"/>
    <w:rsid w:val="008F21A4"/>
    <w:rsid w:val="008F3B28"/>
    <w:rsid w:val="008F3BF9"/>
    <w:rsid w:val="008F4D50"/>
    <w:rsid w:val="008F765E"/>
    <w:rsid w:val="00900719"/>
    <w:rsid w:val="00900849"/>
    <w:rsid w:val="00901190"/>
    <w:rsid w:val="00901FFE"/>
    <w:rsid w:val="009027AA"/>
    <w:rsid w:val="009038B2"/>
    <w:rsid w:val="009040D4"/>
    <w:rsid w:val="00904AE8"/>
    <w:rsid w:val="00906490"/>
    <w:rsid w:val="009064AE"/>
    <w:rsid w:val="00906811"/>
    <w:rsid w:val="00906A5B"/>
    <w:rsid w:val="00906B59"/>
    <w:rsid w:val="00907B78"/>
    <w:rsid w:val="00910828"/>
    <w:rsid w:val="009111B2"/>
    <w:rsid w:val="00911ED6"/>
    <w:rsid w:val="00911F9E"/>
    <w:rsid w:val="0091302C"/>
    <w:rsid w:val="009134FF"/>
    <w:rsid w:val="009148B7"/>
    <w:rsid w:val="00914B16"/>
    <w:rsid w:val="00915C0E"/>
    <w:rsid w:val="00917268"/>
    <w:rsid w:val="00920E29"/>
    <w:rsid w:val="009228E4"/>
    <w:rsid w:val="00923AE0"/>
    <w:rsid w:val="00924AE1"/>
    <w:rsid w:val="009269B1"/>
    <w:rsid w:val="00926D69"/>
    <w:rsid w:val="00926E9A"/>
    <w:rsid w:val="00927556"/>
    <w:rsid w:val="009276AF"/>
    <w:rsid w:val="009306E3"/>
    <w:rsid w:val="00933A64"/>
    <w:rsid w:val="009348A2"/>
    <w:rsid w:val="00937BD9"/>
    <w:rsid w:val="0094139B"/>
    <w:rsid w:val="009414D9"/>
    <w:rsid w:val="00941AC4"/>
    <w:rsid w:val="009439FA"/>
    <w:rsid w:val="00943B84"/>
    <w:rsid w:val="00944805"/>
    <w:rsid w:val="00945981"/>
    <w:rsid w:val="00946B73"/>
    <w:rsid w:val="00947683"/>
    <w:rsid w:val="00947B97"/>
    <w:rsid w:val="009500F3"/>
    <w:rsid w:val="00950C34"/>
    <w:rsid w:val="00950E2C"/>
    <w:rsid w:val="00951D50"/>
    <w:rsid w:val="009525EB"/>
    <w:rsid w:val="00953AED"/>
    <w:rsid w:val="00953DD2"/>
    <w:rsid w:val="00955300"/>
    <w:rsid w:val="009603A5"/>
    <w:rsid w:val="00960D5B"/>
    <w:rsid w:val="00961400"/>
    <w:rsid w:val="00962885"/>
    <w:rsid w:val="00963646"/>
    <w:rsid w:val="00965254"/>
    <w:rsid w:val="009670E0"/>
    <w:rsid w:val="00967BEB"/>
    <w:rsid w:val="009700CC"/>
    <w:rsid w:val="0097122E"/>
    <w:rsid w:val="00971D3C"/>
    <w:rsid w:val="00972037"/>
    <w:rsid w:val="00973236"/>
    <w:rsid w:val="0097331D"/>
    <w:rsid w:val="00973EC3"/>
    <w:rsid w:val="00974C16"/>
    <w:rsid w:val="009817CA"/>
    <w:rsid w:val="00981B37"/>
    <w:rsid w:val="009824BF"/>
    <w:rsid w:val="009834EC"/>
    <w:rsid w:val="00983973"/>
    <w:rsid w:val="009853E1"/>
    <w:rsid w:val="00986E6B"/>
    <w:rsid w:val="00986EC7"/>
    <w:rsid w:val="00987C07"/>
    <w:rsid w:val="0099137C"/>
    <w:rsid w:val="00991769"/>
    <w:rsid w:val="00994386"/>
    <w:rsid w:val="009947C4"/>
    <w:rsid w:val="0099503C"/>
    <w:rsid w:val="00996541"/>
    <w:rsid w:val="00996F10"/>
    <w:rsid w:val="009A279E"/>
    <w:rsid w:val="009A3EE4"/>
    <w:rsid w:val="009A55D0"/>
    <w:rsid w:val="009A7434"/>
    <w:rsid w:val="009B0A6F"/>
    <w:rsid w:val="009B0DFB"/>
    <w:rsid w:val="009B43B8"/>
    <w:rsid w:val="009B4458"/>
    <w:rsid w:val="009B4852"/>
    <w:rsid w:val="009B4EE0"/>
    <w:rsid w:val="009B5527"/>
    <w:rsid w:val="009B59E9"/>
    <w:rsid w:val="009B6675"/>
    <w:rsid w:val="009B6EC8"/>
    <w:rsid w:val="009C0D33"/>
    <w:rsid w:val="009C1DD3"/>
    <w:rsid w:val="009C34AA"/>
    <w:rsid w:val="009C359E"/>
    <w:rsid w:val="009C3F1C"/>
    <w:rsid w:val="009C3F80"/>
    <w:rsid w:val="009C54EC"/>
    <w:rsid w:val="009C55ED"/>
    <w:rsid w:val="009C606C"/>
    <w:rsid w:val="009C62BA"/>
    <w:rsid w:val="009C7338"/>
    <w:rsid w:val="009C7A7E"/>
    <w:rsid w:val="009D02E8"/>
    <w:rsid w:val="009D097F"/>
    <w:rsid w:val="009D170F"/>
    <w:rsid w:val="009D229E"/>
    <w:rsid w:val="009D2ADE"/>
    <w:rsid w:val="009D2EDE"/>
    <w:rsid w:val="009D3892"/>
    <w:rsid w:val="009D38CE"/>
    <w:rsid w:val="009D424F"/>
    <w:rsid w:val="009D4A3D"/>
    <w:rsid w:val="009D51D0"/>
    <w:rsid w:val="009D690E"/>
    <w:rsid w:val="009D70A4"/>
    <w:rsid w:val="009D7C01"/>
    <w:rsid w:val="009E08D1"/>
    <w:rsid w:val="009E0BF6"/>
    <w:rsid w:val="009E1B95"/>
    <w:rsid w:val="009E1EF6"/>
    <w:rsid w:val="009E34C5"/>
    <w:rsid w:val="009E460E"/>
    <w:rsid w:val="009E496F"/>
    <w:rsid w:val="009E4B0D"/>
    <w:rsid w:val="009E5FD9"/>
    <w:rsid w:val="009E6FE6"/>
    <w:rsid w:val="009E7EA8"/>
    <w:rsid w:val="009E7F92"/>
    <w:rsid w:val="009F02A3"/>
    <w:rsid w:val="009F0766"/>
    <w:rsid w:val="009F0FD2"/>
    <w:rsid w:val="009F2175"/>
    <w:rsid w:val="009F2D09"/>
    <w:rsid w:val="009F2F27"/>
    <w:rsid w:val="009F520C"/>
    <w:rsid w:val="009F61D5"/>
    <w:rsid w:val="009F6360"/>
    <w:rsid w:val="009F6485"/>
    <w:rsid w:val="009F6BCB"/>
    <w:rsid w:val="009F7B78"/>
    <w:rsid w:val="00A0057A"/>
    <w:rsid w:val="00A02348"/>
    <w:rsid w:val="00A03153"/>
    <w:rsid w:val="00A03695"/>
    <w:rsid w:val="00A05928"/>
    <w:rsid w:val="00A0626F"/>
    <w:rsid w:val="00A068BC"/>
    <w:rsid w:val="00A0695E"/>
    <w:rsid w:val="00A07587"/>
    <w:rsid w:val="00A100FA"/>
    <w:rsid w:val="00A10662"/>
    <w:rsid w:val="00A10896"/>
    <w:rsid w:val="00A113E3"/>
    <w:rsid w:val="00A11421"/>
    <w:rsid w:val="00A13924"/>
    <w:rsid w:val="00A14D9C"/>
    <w:rsid w:val="00A15486"/>
    <w:rsid w:val="00A1563C"/>
    <w:rsid w:val="00A157B1"/>
    <w:rsid w:val="00A15842"/>
    <w:rsid w:val="00A165E8"/>
    <w:rsid w:val="00A16D16"/>
    <w:rsid w:val="00A21E15"/>
    <w:rsid w:val="00A22229"/>
    <w:rsid w:val="00A230AE"/>
    <w:rsid w:val="00A24220"/>
    <w:rsid w:val="00A24E2E"/>
    <w:rsid w:val="00A2560E"/>
    <w:rsid w:val="00A26111"/>
    <w:rsid w:val="00A272E6"/>
    <w:rsid w:val="00A27CE6"/>
    <w:rsid w:val="00A3001E"/>
    <w:rsid w:val="00A31B4E"/>
    <w:rsid w:val="00A34456"/>
    <w:rsid w:val="00A347B0"/>
    <w:rsid w:val="00A34B76"/>
    <w:rsid w:val="00A34DFE"/>
    <w:rsid w:val="00A3560A"/>
    <w:rsid w:val="00A37638"/>
    <w:rsid w:val="00A401E0"/>
    <w:rsid w:val="00A41F87"/>
    <w:rsid w:val="00A42031"/>
    <w:rsid w:val="00A4238E"/>
    <w:rsid w:val="00A42D24"/>
    <w:rsid w:val="00A44882"/>
    <w:rsid w:val="00A45211"/>
    <w:rsid w:val="00A458A1"/>
    <w:rsid w:val="00A46FE0"/>
    <w:rsid w:val="00A47AE1"/>
    <w:rsid w:val="00A50367"/>
    <w:rsid w:val="00A50431"/>
    <w:rsid w:val="00A505DB"/>
    <w:rsid w:val="00A50BB0"/>
    <w:rsid w:val="00A50E3D"/>
    <w:rsid w:val="00A51BB5"/>
    <w:rsid w:val="00A52282"/>
    <w:rsid w:val="00A5246E"/>
    <w:rsid w:val="00A53AE4"/>
    <w:rsid w:val="00A54715"/>
    <w:rsid w:val="00A56AAB"/>
    <w:rsid w:val="00A6061C"/>
    <w:rsid w:val="00A60910"/>
    <w:rsid w:val="00A62D44"/>
    <w:rsid w:val="00A63CB1"/>
    <w:rsid w:val="00A64235"/>
    <w:rsid w:val="00A6536A"/>
    <w:rsid w:val="00A6580B"/>
    <w:rsid w:val="00A65F49"/>
    <w:rsid w:val="00A65FEE"/>
    <w:rsid w:val="00A7161C"/>
    <w:rsid w:val="00A74D72"/>
    <w:rsid w:val="00A77166"/>
    <w:rsid w:val="00A77AA3"/>
    <w:rsid w:val="00A810D5"/>
    <w:rsid w:val="00A818B6"/>
    <w:rsid w:val="00A82533"/>
    <w:rsid w:val="00A826B7"/>
    <w:rsid w:val="00A826CA"/>
    <w:rsid w:val="00A83AA5"/>
    <w:rsid w:val="00A845B4"/>
    <w:rsid w:val="00A8561C"/>
    <w:rsid w:val="00A85B94"/>
    <w:rsid w:val="00A85F92"/>
    <w:rsid w:val="00A872E5"/>
    <w:rsid w:val="00A87CBC"/>
    <w:rsid w:val="00A903E0"/>
    <w:rsid w:val="00A92DD3"/>
    <w:rsid w:val="00A95A54"/>
    <w:rsid w:val="00A95E3B"/>
    <w:rsid w:val="00A96067"/>
    <w:rsid w:val="00A96E65"/>
    <w:rsid w:val="00A97965"/>
    <w:rsid w:val="00A97C72"/>
    <w:rsid w:val="00AA144D"/>
    <w:rsid w:val="00AA2311"/>
    <w:rsid w:val="00AA25C1"/>
    <w:rsid w:val="00AA3B41"/>
    <w:rsid w:val="00AA5C94"/>
    <w:rsid w:val="00AA63D4"/>
    <w:rsid w:val="00AB06E8"/>
    <w:rsid w:val="00AB1CD3"/>
    <w:rsid w:val="00AB1E2D"/>
    <w:rsid w:val="00AB352F"/>
    <w:rsid w:val="00AB5739"/>
    <w:rsid w:val="00AB6732"/>
    <w:rsid w:val="00AB6DAD"/>
    <w:rsid w:val="00AB70C2"/>
    <w:rsid w:val="00AB764A"/>
    <w:rsid w:val="00AB7BDF"/>
    <w:rsid w:val="00AC00EB"/>
    <w:rsid w:val="00AC274B"/>
    <w:rsid w:val="00AC3A23"/>
    <w:rsid w:val="00AC4198"/>
    <w:rsid w:val="00AC41E8"/>
    <w:rsid w:val="00AC4496"/>
    <w:rsid w:val="00AC4823"/>
    <w:rsid w:val="00AC5320"/>
    <w:rsid w:val="00AC61C3"/>
    <w:rsid w:val="00AC6451"/>
    <w:rsid w:val="00AC6D36"/>
    <w:rsid w:val="00AC736B"/>
    <w:rsid w:val="00AD03DE"/>
    <w:rsid w:val="00AD0CBA"/>
    <w:rsid w:val="00AD26E2"/>
    <w:rsid w:val="00AD2ED9"/>
    <w:rsid w:val="00AD466B"/>
    <w:rsid w:val="00AD525E"/>
    <w:rsid w:val="00AD6D6E"/>
    <w:rsid w:val="00AE126A"/>
    <w:rsid w:val="00AE220F"/>
    <w:rsid w:val="00AE2E56"/>
    <w:rsid w:val="00AE3005"/>
    <w:rsid w:val="00AE3B0A"/>
    <w:rsid w:val="00AE3BAA"/>
    <w:rsid w:val="00AE4BCB"/>
    <w:rsid w:val="00AE59A0"/>
    <w:rsid w:val="00AE60AF"/>
    <w:rsid w:val="00AF0532"/>
    <w:rsid w:val="00AF075C"/>
    <w:rsid w:val="00AF0C57"/>
    <w:rsid w:val="00AF1866"/>
    <w:rsid w:val="00AF19BB"/>
    <w:rsid w:val="00AF1D14"/>
    <w:rsid w:val="00AF266A"/>
    <w:rsid w:val="00AF26F3"/>
    <w:rsid w:val="00AF3440"/>
    <w:rsid w:val="00AF3CCB"/>
    <w:rsid w:val="00AF4902"/>
    <w:rsid w:val="00AF4C2E"/>
    <w:rsid w:val="00AF4EEC"/>
    <w:rsid w:val="00AF5703"/>
    <w:rsid w:val="00AF6710"/>
    <w:rsid w:val="00AF7922"/>
    <w:rsid w:val="00B00672"/>
    <w:rsid w:val="00B0077E"/>
    <w:rsid w:val="00B008E7"/>
    <w:rsid w:val="00B00ED5"/>
    <w:rsid w:val="00B00FAD"/>
    <w:rsid w:val="00B01A71"/>
    <w:rsid w:val="00B01B4D"/>
    <w:rsid w:val="00B01E6D"/>
    <w:rsid w:val="00B01E7E"/>
    <w:rsid w:val="00B02711"/>
    <w:rsid w:val="00B03CE6"/>
    <w:rsid w:val="00B03E6D"/>
    <w:rsid w:val="00B04610"/>
    <w:rsid w:val="00B06571"/>
    <w:rsid w:val="00B068BA"/>
    <w:rsid w:val="00B07D54"/>
    <w:rsid w:val="00B07E3F"/>
    <w:rsid w:val="00B119AB"/>
    <w:rsid w:val="00B1225B"/>
    <w:rsid w:val="00B1382A"/>
    <w:rsid w:val="00B13851"/>
    <w:rsid w:val="00B13B1C"/>
    <w:rsid w:val="00B13B68"/>
    <w:rsid w:val="00B14BE1"/>
    <w:rsid w:val="00B16646"/>
    <w:rsid w:val="00B16CC9"/>
    <w:rsid w:val="00B16DB8"/>
    <w:rsid w:val="00B214EB"/>
    <w:rsid w:val="00B22291"/>
    <w:rsid w:val="00B229C2"/>
    <w:rsid w:val="00B22CED"/>
    <w:rsid w:val="00B22E5D"/>
    <w:rsid w:val="00B22FFF"/>
    <w:rsid w:val="00B2417B"/>
    <w:rsid w:val="00B24D87"/>
    <w:rsid w:val="00B24DFC"/>
    <w:rsid w:val="00B24E6F"/>
    <w:rsid w:val="00B26CB5"/>
    <w:rsid w:val="00B27256"/>
    <w:rsid w:val="00B2752E"/>
    <w:rsid w:val="00B275EC"/>
    <w:rsid w:val="00B307CC"/>
    <w:rsid w:val="00B30962"/>
    <w:rsid w:val="00B30DA8"/>
    <w:rsid w:val="00B312D6"/>
    <w:rsid w:val="00B313BF"/>
    <w:rsid w:val="00B315A6"/>
    <w:rsid w:val="00B325FF"/>
    <w:rsid w:val="00B3332E"/>
    <w:rsid w:val="00B34164"/>
    <w:rsid w:val="00B34A97"/>
    <w:rsid w:val="00B40674"/>
    <w:rsid w:val="00B43220"/>
    <w:rsid w:val="00B43752"/>
    <w:rsid w:val="00B43DB4"/>
    <w:rsid w:val="00B4468C"/>
    <w:rsid w:val="00B44A60"/>
    <w:rsid w:val="00B44E30"/>
    <w:rsid w:val="00B45141"/>
    <w:rsid w:val="00B452F8"/>
    <w:rsid w:val="00B467A0"/>
    <w:rsid w:val="00B47409"/>
    <w:rsid w:val="00B52103"/>
    <w:rsid w:val="00B5273A"/>
    <w:rsid w:val="00B52B31"/>
    <w:rsid w:val="00B52F3E"/>
    <w:rsid w:val="00B530B7"/>
    <w:rsid w:val="00B53980"/>
    <w:rsid w:val="00B542E0"/>
    <w:rsid w:val="00B54B42"/>
    <w:rsid w:val="00B564F8"/>
    <w:rsid w:val="00B573C5"/>
    <w:rsid w:val="00B6190C"/>
    <w:rsid w:val="00B62897"/>
    <w:rsid w:val="00B62B50"/>
    <w:rsid w:val="00B635B7"/>
    <w:rsid w:val="00B64F97"/>
    <w:rsid w:val="00B65950"/>
    <w:rsid w:val="00B672C0"/>
    <w:rsid w:val="00B6754A"/>
    <w:rsid w:val="00B70E69"/>
    <w:rsid w:val="00B722EE"/>
    <w:rsid w:val="00B731E0"/>
    <w:rsid w:val="00B733C2"/>
    <w:rsid w:val="00B74B97"/>
    <w:rsid w:val="00B75646"/>
    <w:rsid w:val="00B75BC2"/>
    <w:rsid w:val="00B76B72"/>
    <w:rsid w:val="00B778E3"/>
    <w:rsid w:val="00B77B17"/>
    <w:rsid w:val="00B77C1F"/>
    <w:rsid w:val="00B822E9"/>
    <w:rsid w:val="00B825D9"/>
    <w:rsid w:val="00B834AF"/>
    <w:rsid w:val="00B835C4"/>
    <w:rsid w:val="00B8638B"/>
    <w:rsid w:val="00B86D4E"/>
    <w:rsid w:val="00B87B47"/>
    <w:rsid w:val="00B9028D"/>
    <w:rsid w:val="00B90729"/>
    <w:rsid w:val="00B907DA"/>
    <w:rsid w:val="00B92432"/>
    <w:rsid w:val="00B92656"/>
    <w:rsid w:val="00B950BC"/>
    <w:rsid w:val="00B95325"/>
    <w:rsid w:val="00B962B5"/>
    <w:rsid w:val="00B9714C"/>
    <w:rsid w:val="00BA0814"/>
    <w:rsid w:val="00BA0F1B"/>
    <w:rsid w:val="00BA1573"/>
    <w:rsid w:val="00BA23BB"/>
    <w:rsid w:val="00BA2615"/>
    <w:rsid w:val="00BA2A3F"/>
    <w:rsid w:val="00BA31B6"/>
    <w:rsid w:val="00BA3B14"/>
    <w:rsid w:val="00BA477E"/>
    <w:rsid w:val="00BA4ACF"/>
    <w:rsid w:val="00BA4C04"/>
    <w:rsid w:val="00BA5D44"/>
    <w:rsid w:val="00BA718C"/>
    <w:rsid w:val="00BB032A"/>
    <w:rsid w:val="00BB15A7"/>
    <w:rsid w:val="00BB3067"/>
    <w:rsid w:val="00BB4FAD"/>
    <w:rsid w:val="00BB5715"/>
    <w:rsid w:val="00BB5CF9"/>
    <w:rsid w:val="00BB7107"/>
    <w:rsid w:val="00BB77B1"/>
    <w:rsid w:val="00BB7A10"/>
    <w:rsid w:val="00BC01F9"/>
    <w:rsid w:val="00BC1BCD"/>
    <w:rsid w:val="00BC2397"/>
    <w:rsid w:val="00BC31C1"/>
    <w:rsid w:val="00BC366E"/>
    <w:rsid w:val="00BC3889"/>
    <w:rsid w:val="00BC6502"/>
    <w:rsid w:val="00BC7D4F"/>
    <w:rsid w:val="00BC7E49"/>
    <w:rsid w:val="00BC7ED7"/>
    <w:rsid w:val="00BC7F34"/>
    <w:rsid w:val="00BD03C0"/>
    <w:rsid w:val="00BD2175"/>
    <w:rsid w:val="00BD2641"/>
    <w:rsid w:val="00BD2850"/>
    <w:rsid w:val="00BD37AA"/>
    <w:rsid w:val="00BD3B49"/>
    <w:rsid w:val="00BD447E"/>
    <w:rsid w:val="00BD4866"/>
    <w:rsid w:val="00BD756A"/>
    <w:rsid w:val="00BD7799"/>
    <w:rsid w:val="00BE047C"/>
    <w:rsid w:val="00BE0D23"/>
    <w:rsid w:val="00BE106A"/>
    <w:rsid w:val="00BE28D2"/>
    <w:rsid w:val="00BE3019"/>
    <w:rsid w:val="00BE334A"/>
    <w:rsid w:val="00BE5739"/>
    <w:rsid w:val="00BE7521"/>
    <w:rsid w:val="00BF0088"/>
    <w:rsid w:val="00BF0C00"/>
    <w:rsid w:val="00BF1BED"/>
    <w:rsid w:val="00BF1DFD"/>
    <w:rsid w:val="00BF347F"/>
    <w:rsid w:val="00BF375B"/>
    <w:rsid w:val="00BF3977"/>
    <w:rsid w:val="00BF6E68"/>
    <w:rsid w:val="00BF7F58"/>
    <w:rsid w:val="00BF7FF4"/>
    <w:rsid w:val="00C00C7D"/>
    <w:rsid w:val="00C00EED"/>
    <w:rsid w:val="00C01381"/>
    <w:rsid w:val="00C01AB4"/>
    <w:rsid w:val="00C029A5"/>
    <w:rsid w:val="00C02DE9"/>
    <w:rsid w:val="00C036A0"/>
    <w:rsid w:val="00C0527D"/>
    <w:rsid w:val="00C05EFA"/>
    <w:rsid w:val="00C06BE7"/>
    <w:rsid w:val="00C06D25"/>
    <w:rsid w:val="00C0720E"/>
    <w:rsid w:val="00C079B8"/>
    <w:rsid w:val="00C079B9"/>
    <w:rsid w:val="00C07B16"/>
    <w:rsid w:val="00C1005F"/>
    <w:rsid w:val="00C1189C"/>
    <w:rsid w:val="00C123EA"/>
    <w:rsid w:val="00C12A49"/>
    <w:rsid w:val="00C133EE"/>
    <w:rsid w:val="00C13934"/>
    <w:rsid w:val="00C13F92"/>
    <w:rsid w:val="00C1558B"/>
    <w:rsid w:val="00C160A6"/>
    <w:rsid w:val="00C213FF"/>
    <w:rsid w:val="00C25752"/>
    <w:rsid w:val="00C25C77"/>
    <w:rsid w:val="00C2730D"/>
    <w:rsid w:val="00C27DE9"/>
    <w:rsid w:val="00C31195"/>
    <w:rsid w:val="00C31EC8"/>
    <w:rsid w:val="00C33388"/>
    <w:rsid w:val="00C33CEB"/>
    <w:rsid w:val="00C35B0F"/>
    <w:rsid w:val="00C36618"/>
    <w:rsid w:val="00C36C2F"/>
    <w:rsid w:val="00C37731"/>
    <w:rsid w:val="00C37AB9"/>
    <w:rsid w:val="00C37ED0"/>
    <w:rsid w:val="00C40457"/>
    <w:rsid w:val="00C4173A"/>
    <w:rsid w:val="00C41E76"/>
    <w:rsid w:val="00C44200"/>
    <w:rsid w:val="00C44388"/>
    <w:rsid w:val="00C44874"/>
    <w:rsid w:val="00C45AF4"/>
    <w:rsid w:val="00C45DDE"/>
    <w:rsid w:val="00C467B0"/>
    <w:rsid w:val="00C47EBE"/>
    <w:rsid w:val="00C5007E"/>
    <w:rsid w:val="00C507FB"/>
    <w:rsid w:val="00C50996"/>
    <w:rsid w:val="00C546E4"/>
    <w:rsid w:val="00C549D5"/>
    <w:rsid w:val="00C55B91"/>
    <w:rsid w:val="00C5692A"/>
    <w:rsid w:val="00C574B9"/>
    <w:rsid w:val="00C602FF"/>
    <w:rsid w:val="00C605FD"/>
    <w:rsid w:val="00C61174"/>
    <w:rsid w:val="00C6148F"/>
    <w:rsid w:val="00C616A2"/>
    <w:rsid w:val="00C618CD"/>
    <w:rsid w:val="00C62F7A"/>
    <w:rsid w:val="00C632CE"/>
    <w:rsid w:val="00C63468"/>
    <w:rsid w:val="00C63B9C"/>
    <w:rsid w:val="00C648B1"/>
    <w:rsid w:val="00C6606F"/>
    <w:rsid w:val="00C665BE"/>
    <w:rsid w:val="00C66723"/>
    <w:rsid w:val="00C6682F"/>
    <w:rsid w:val="00C676CE"/>
    <w:rsid w:val="00C67970"/>
    <w:rsid w:val="00C713E3"/>
    <w:rsid w:val="00C7275E"/>
    <w:rsid w:val="00C72EB3"/>
    <w:rsid w:val="00C73056"/>
    <w:rsid w:val="00C739E6"/>
    <w:rsid w:val="00C74227"/>
    <w:rsid w:val="00C74C5D"/>
    <w:rsid w:val="00C7695E"/>
    <w:rsid w:val="00C76E88"/>
    <w:rsid w:val="00C776CB"/>
    <w:rsid w:val="00C777A4"/>
    <w:rsid w:val="00C77E01"/>
    <w:rsid w:val="00C808F6"/>
    <w:rsid w:val="00C81D3C"/>
    <w:rsid w:val="00C863C4"/>
    <w:rsid w:val="00C86DD6"/>
    <w:rsid w:val="00C87D54"/>
    <w:rsid w:val="00C91420"/>
    <w:rsid w:val="00C934BF"/>
    <w:rsid w:val="00C93927"/>
    <w:rsid w:val="00C93C3E"/>
    <w:rsid w:val="00C952A3"/>
    <w:rsid w:val="00C95C8C"/>
    <w:rsid w:val="00CA038A"/>
    <w:rsid w:val="00CA0987"/>
    <w:rsid w:val="00CA0A1C"/>
    <w:rsid w:val="00CA10A6"/>
    <w:rsid w:val="00CA12E3"/>
    <w:rsid w:val="00CA2136"/>
    <w:rsid w:val="00CA4F04"/>
    <w:rsid w:val="00CA5EDF"/>
    <w:rsid w:val="00CA5EF6"/>
    <w:rsid w:val="00CA6611"/>
    <w:rsid w:val="00CA6727"/>
    <w:rsid w:val="00CA7233"/>
    <w:rsid w:val="00CB01C9"/>
    <w:rsid w:val="00CB0D6E"/>
    <w:rsid w:val="00CB0E87"/>
    <w:rsid w:val="00CB177C"/>
    <w:rsid w:val="00CB1C32"/>
    <w:rsid w:val="00CB1DC2"/>
    <w:rsid w:val="00CB2C94"/>
    <w:rsid w:val="00CB5154"/>
    <w:rsid w:val="00CB5B6B"/>
    <w:rsid w:val="00CB622A"/>
    <w:rsid w:val="00CC0327"/>
    <w:rsid w:val="00CC04BC"/>
    <w:rsid w:val="00CC1B4D"/>
    <w:rsid w:val="00CC1F68"/>
    <w:rsid w:val="00CC2BFD"/>
    <w:rsid w:val="00CC4AA6"/>
    <w:rsid w:val="00CC5165"/>
    <w:rsid w:val="00CC545A"/>
    <w:rsid w:val="00CC5A35"/>
    <w:rsid w:val="00CC6D9D"/>
    <w:rsid w:val="00CD0292"/>
    <w:rsid w:val="00CD05FF"/>
    <w:rsid w:val="00CD1358"/>
    <w:rsid w:val="00CD14C9"/>
    <w:rsid w:val="00CD26B2"/>
    <w:rsid w:val="00CD3476"/>
    <w:rsid w:val="00CD39F9"/>
    <w:rsid w:val="00CD64DF"/>
    <w:rsid w:val="00CD718A"/>
    <w:rsid w:val="00CD7870"/>
    <w:rsid w:val="00CE1145"/>
    <w:rsid w:val="00CE1213"/>
    <w:rsid w:val="00CE2A97"/>
    <w:rsid w:val="00CE2BC3"/>
    <w:rsid w:val="00CE339A"/>
    <w:rsid w:val="00CE374A"/>
    <w:rsid w:val="00CE5399"/>
    <w:rsid w:val="00CE5541"/>
    <w:rsid w:val="00CE57CF"/>
    <w:rsid w:val="00CE6C73"/>
    <w:rsid w:val="00CE6E0E"/>
    <w:rsid w:val="00CE74C1"/>
    <w:rsid w:val="00CE750D"/>
    <w:rsid w:val="00CF10EA"/>
    <w:rsid w:val="00CF111A"/>
    <w:rsid w:val="00CF1F1E"/>
    <w:rsid w:val="00CF2422"/>
    <w:rsid w:val="00CF2AD1"/>
    <w:rsid w:val="00CF2F50"/>
    <w:rsid w:val="00CF36EB"/>
    <w:rsid w:val="00CF3C87"/>
    <w:rsid w:val="00CF4782"/>
    <w:rsid w:val="00CF563F"/>
    <w:rsid w:val="00D02919"/>
    <w:rsid w:val="00D032F0"/>
    <w:rsid w:val="00D03FA0"/>
    <w:rsid w:val="00D04C61"/>
    <w:rsid w:val="00D04D8E"/>
    <w:rsid w:val="00D05B8D"/>
    <w:rsid w:val="00D064C1"/>
    <w:rsid w:val="00D06612"/>
    <w:rsid w:val="00D074DE"/>
    <w:rsid w:val="00D076BA"/>
    <w:rsid w:val="00D07A86"/>
    <w:rsid w:val="00D07C4F"/>
    <w:rsid w:val="00D07EC0"/>
    <w:rsid w:val="00D07F00"/>
    <w:rsid w:val="00D07F4A"/>
    <w:rsid w:val="00D122E6"/>
    <w:rsid w:val="00D13314"/>
    <w:rsid w:val="00D1638A"/>
    <w:rsid w:val="00D16CA8"/>
    <w:rsid w:val="00D203F5"/>
    <w:rsid w:val="00D208B9"/>
    <w:rsid w:val="00D210CF"/>
    <w:rsid w:val="00D21873"/>
    <w:rsid w:val="00D22CC2"/>
    <w:rsid w:val="00D26884"/>
    <w:rsid w:val="00D26AB5"/>
    <w:rsid w:val="00D277C3"/>
    <w:rsid w:val="00D3174E"/>
    <w:rsid w:val="00D33E72"/>
    <w:rsid w:val="00D350CD"/>
    <w:rsid w:val="00D35BD6"/>
    <w:rsid w:val="00D361B5"/>
    <w:rsid w:val="00D366D5"/>
    <w:rsid w:val="00D36ADD"/>
    <w:rsid w:val="00D4031F"/>
    <w:rsid w:val="00D411A2"/>
    <w:rsid w:val="00D42463"/>
    <w:rsid w:val="00D42625"/>
    <w:rsid w:val="00D430E3"/>
    <w:rsid w:val="00D443D8"/>
    <w:rsid w:val="00D45D1E"/>
    <w:rsid w:val="00D47BF6"/>
    <w:rsid w:val="00D50986"/>
    <w:rsid w:val="00D50B9C"/>
    <w:rsid w:val="00D51362"/>
    <w:rsid w:val="00D52351"/>
    <w:rsid w:val="00D52D73"/>
    <w:rsid w:val="00D52E58"/>
    <w:rsid w:val="00D5571C"/>
    <w:rsid w:val="00D560D9"/>
    <w:rsid w:val="00D56C68"/>
    <w:rsid w:val="00D57F45"/>
    <w:rsid w:val="00D60289"/>
    <w:rsid w:val="00D61392"/>
    <w:rsid w:val="00D656B8"/>
    <w:rsid w:val="00D65720"/>
    <w:rsid w:val="00D664E3"/>
    <w:rsid w:val="00D6698A"/>
    <w:rsid w:val="00D66FB6"/>
    <w:rsid w:val="00D714CC"/>
    <w:rsid w:val="00D71C00"/>
    <w:rsid w:val="00D75EA7"/>
    <w:rsid w:val="00D77064"/>
    <w:rsid w:val="00D777CB"/>
    <w:rsid w:val="00D77CB6"/>
    <w:rsid w:val="00D81DDD"/>
    <w:rsid w:val="00D81F21"/>
    <w:rsid w:val="00D82017"/>
    <w:rsid w:val="00D8283D"/>
    <w:rsid w:val="00D82A15"/>
    <w:rsid w:val="00D840FD"/>
    <w:rsid w:val="00D8492F"/>
    <w:rsid w:val="00D91A58"/>
    <w:rsid w:val="00D91F92"/>
    <w:rsid w:val="00D926C5"/>
    <w:rsid w:val="00D95470"/>
    <w:rsid w:val="00D97A33"/>
    <w:rsid w:val="00D97CC0"/>
    <w:rsid w:val="00DA01AF"/>
    <w:rsid w:val="00DA056D"/>
    <w:rsid w:val="00DA08CF"/>
    <w:rsid w:val="00DA0C49"/>
    <w:rsid w:val="00DA0FE5"/>
    <w:rsid w:val="00DA2619"/>
    <w:rsid w:val="00DA2939"/>
    <w:rsid w:val="00DA2C4C"/>
    <w:rsid w:val="00DA3265"/>
    <w:rsid w:val="00DA4239"/>
    <w:rsid w:val="00DA44FF"/>
    <w:rsid w:val="00DA75A2"/>
    <w:rsid w:val="00DB0B61"/>
    <w:rsid w:val="00DB0EF3"/>
    <w:rsid w:val="00DB2F85"/>
    <w:rsid w:val="00DB314A"/>
    <w:rsid w:val="00DB33D5"/>
    <w:rsid w:val="00DB38CA"/>
    <w:rsid w:val="00DB3ABE"/>
    <w:rsid w:val="00DB45DB"/>
    <w:rsid w:val="00DB6210"/>
    <w:rsid w:val="00DB6419"/>
    <w:rsid w:val="00DB64FE"/>
    <w:rsid w:val="00DB7824"/>
    <w:rsid w:val="00DC090B"/>
    <w:rsid w:val="00DC2CF1"/>
    <w:rsid w:val="00DC3CF1"/>
    <w:rsid w:val="00DC3EEB"/>
    <w:rsid w:val="00DC4344"/>
    <w:rsid w:val="00DC49BC"/>
    <w:rsid w:val="00DC4A61"/>
    <w:rsid w:val="00DC4FCF"/>
    <w:rsid w:val="00DC50E0"/>
    <w:rsid w:val="00DC6368"/>
    <w:rsid w:val="00DC6386"/>
    <w:rsid w:val="00DC7128"/>
    <w:rsid w:val="00DD1130"/>
    <w:rsid w:val="00DD1951"/>
    <w:rsid w:val="00DD2883"/>
    <w:rsid w:val="00DD2F8B"/>
    <w:rsid w:val="00DD38C8"/>
    <w:rsid w:val="00DD3E6F"/>
    <w:rsid w:val="00DD42A7"/>
    <w:rsid w:val="00DD5581"/>
    <w:rsid w:val="00DD57ED"/>
    <w:rsid w:val="00DD6628"/>
    <w:rsid w:val="00DE02C4"/>
    <w:rsid w:val="00DE0B13"/>
    <w:rsid w:val="00DE135A"/>
    <w:rsid w:val="00DE16EC"/>
    <w:rsid w:val="00DE1CE3"/>
    <w:rsid w:val="00DE25BF"/>
    <w:rsid w:val="00DE2645"/>
    <w:rsid w:val="00DE2806"/>
    <w:rsid w:val="00DE3250"/>
    <w:rsid w:val="00DE3C96"/>
    <w:rsid w:val="00DE6028"/>
    <w:rsid w:val="00DE64B4"/>
    <w:rsid w:val="00DE6D11"/>
    <w:rsid w:val="00DE7391"/>
    <w:rsid w:val="00DE7808"/>
    <w:rsid w:val="00DE78A3"/>
    <w:rsid w:val="00DF0228"/>
    <w:rsid w:val="00DF16F9"/>
    <w:rsid w:val="00DF1A71"/>
    <w:rsid w:val="00DF2268"/>
    <w:rsid w:val="00DF3FB5"/>
    <w:rsid w:val="00DF46F3"/>
    <w:rsid w:val="00DF4858"/>
    <w:rsid w:val="00DF68C7"/>
    <w:rsid w:val="00E006FA"/>
    <w:rsid w:val="00E03F36"/>
    <w:rsid w:val="00E0526F"/>
    <w:rsid w:val="00E05DA5"/>
    <w:rsid w:val="00E067EA"/>
    <w:rsid w:val="00E068D7"/>
    <w:rsid w:val="00E06A45"/>
    <w:rsid w:val="00E114C6"/>
    <w:rsid w:val="00E11EF7"/>
    <w:rsid w:val="00E131B1"/>
    <w:rsid w:val="00E13D1F"/>
    <w:rsid w:val="00E1411C"/>
    <w:rsid w:val="00E14B0A"/>
    <w:rsid w:val="00E1673B"/>
    <w:rsid w:val="00E1694E"/>
    <w:rsid w:val="00E170DC"/>
    <w:rsid w:val="00E171D6"/>
    <w:rsid w:val="00E17F4D"/>
    <w:rsid w:val="00E212C7"/>
    <w:rsid w:val="00E2142C"/>
    <w:rsid w:val="00E2250B"/>
    <w:rsid w:val="00E24D85"/>
    <w:rsid w:val="00E25AE6"/>
    <w:rsid w:val="00E25FD5"/>
    <w:rsid w:val="00E2644A"/>
    <w:rsid w:val="00E26818"/>
    <w:rsid w:val="00E27312"/>
    <w:rsid w:val="00E2770A"/>
    <w:rsid w:val="00E27BDF"/>
    <w:rsid w:val="00E27C65"/>
    <w:rsid w:val="00E27EB9"/>
    <w:rsid w:val="00E27FFC"/>
    <w:rsid w:val="00E30B15"/>
    <w:rsid w:val="00E32FA1"/>
    <w:rsid w:val="00E3635E"/>
    <w:rsid w:val="00E36AF2"/>
    <w:rsid w:val="00E37D94"/>
    <w:rsid w:val="00E40181"/>
    <w:rsid w:val="00E412EA"/>
    <w:rsid w:val="00E41D10"/>
    <w:rsid w:val="00E4334C"/>
    <w:rsid w:val="00E434E4"/>
    <w:rsid w:val="00E435BD"/>
    <w:rsid w:val="00E43DB5"/>
    <w:rsid w:val="00E45BB6"/>
    <w:rsid w:val="00E4661C"/>
    <w:rsid w:val="00E46998"/>
    <w:rsid w:val="00E46FC8"/>
    <w:rsid w:val="00E47454"/>
    <w:rsid w:val="00E47A1E"/>
    <w:rsid w:val="00E47C2D"/>
    <w:rsid w:val="00E5090F"/>
    <w:rsid w:val="00E521BB"/>
    <w:rsid w:val="00E5228E"/>
    <w:rsid w:val="00E5238B"/>
    <w:rsid w:val="00E5426D"/>
    <w:rsid w:val="00E559BF"/>
    <w:rsid w:val="00E55EDF"/>
    <w:rsid w:val="00E57E90"/>
    <w:rsid w:val="00E61516"/>
    <w:rsid w:val="00E61DDE"/>
    <w:rsid w:val="00E629A1"/>
    <w:rsid w:val="00E63343"/>
    <w:rsid w:val="00E64E6B"/>
    <w:rsid w:val="00E65D59"/>
    <w:rsid w:val="00E66296"/>
    <w:rsid w:val="00E664D7"/>
    <w:rsid w:val="00E67152"/>
    <w:rsid w:val="00E67A2F"/>
    <w:rsid w:val="00E7020F"/>
    <w:rsid w:val="00E726B9"/>
    <w:rsid w:val="00E73173"/>
    <w:rsid w:val="00E733D2"/>
    <w:rsid w:val="00E73CB2"/>
    <w:rsid w:val="00E7578A"/>
    <w:rsid w:val="00E767FD"/>
    <w:rsid w:val="00E76B55"/>
    <w:rsid w:val="00E77E47"/>
    <w:rsid w:val="00E8111C"/>
    <w:rsid w:val="00E81135"/>
    <w:rsid w:val="00E82C55"/>
    <w:rsid w:val="00E83E05"/>
    <w:rsid w:val="00E8519A"/>
    <w:rsid w:val="00E851B1"/>
    <w:rsid w:val="00E86AB2"/>
    <w:rsid w:val="00E875D3"/>
    <w:rsid w:val="00E87980"/>
    <w:rsid w:val="00E87DC8"/>
    <w:rsid w:val="00E87E47"/>
    <w:rsid w:val="00E9108B"/>
    <w:rsid w:val="00E91AE3"/>
    <w:rsid w:val="00E92AC3"/>
    <w:rsid w:val="00E94889"/>
    <w:rsid w:val="00E954F7"/>
    <w:rsid w:val="00E95A32"/>
    <w:rsid w:val="00E95C2E"/>
    <w:rsid w:val="00E96F1F"/>
    <w:rsid w:val="00E971EA"/>
    <w:rsid w:val="00E97555"/>
    <w:rsid w:val="00E97782"/>
    <w:rsid w:val="00E97F66"/>
    <w:rsid w:val="00EA2761"/>
    <w:rsid w:val="00EA335A"/>
    <w:rsid w:val="00EA38CC"/>
    <w:rsid w:val="00EA6128"/>
    <w:rsid w:val="00EA6C9F"/>
    <w:rsid w:val="00EB00E0"/>
    <w:rsid w:val="00EB1448"/>
    <w:rsid w:val="00EB363D"/>
    <w:rsid w:val="00EB43FF"/>
    <w:rsid w:val="00EB4ED2"/>
    <w:rsid w:val="00EB5286"/>
    <w:rsid w:val="00EB6BFA"/>
    <w:rsid w:val="00EB7008"/>
    <w:rsid w:val="00EB732D"/>
    <w:rsid w:val="00EB7894"/>
    <w:rsid w:val="00EB7EC8"/>
    <w:rsid w:val="00EC059F"/>
    <w:rsid w:val="00EC0B6C"/>
    <w:rsid w:val="00EC0E57"/>
    <w:rsid w:val="00EC1E99"/>
    <w:rsid w:val="00EC1F24"/>
    <w:rsid w:val="00EC3BB5"/>
    <w:rsid w:val="00EC406A"/>
    <w:rsid w:val="00ED0983"/>
    <w:rsid w:val="00ED12E2"/>
    <w:rsid w:val="00ED214F"/>
    <w:rsid w:val="00ED2C92"/>
    <w:rsid w:val="00ED329A"/>
    <w:rsid w:val="00ED3A81"/>
    <w:rsid w:val="00ED462E"/>
    <w:rsid w:val="00ED52E3"/>
    <w:rsid w:val="00ED5B9B"/>
    <w:rsid w:val="00ED64CC"/>
    <w:rsid w:val="00ED6B1B"/>
    <w:rsid w:val="00ED6BAD"/>
    <w:rsid w:val="00ED7447"/>
    <w:rsid w:val="00ED786D"/>
    <w:rsid w:val="00ED7B69"/>
    <w:rsid w:val="00ED7E29"/>
    <w:rsid w:val="00EE045F"/>
    <w:rsid w:val="00EE0753"/>
    <w:rsid w:val="00EE1488"/>
    <w:rsid w:val="00EE15BD"/>
    <w:rsid w:val="00EE2179"/>
    <w:rsid w:val="00EE3166"/>
    <w:rsid w:val="00EE3A90"/>
    <w:rsid w:val="00EE4C95"/>
    <w:rsid w:val="00EE4D5D"/>
    <w:rsid w:val="00EE4ECD"/>
    <w:rsid w:val="00EE5623"/>
    <w:rsid w:val="00EE62E6"/>
    <w:rsid w:val="00EE6B36"/>
    <w:rsid w:val="00EE6FFD"/>
    <w:rsid w:val="00EE7812"/>
    <w:rsid w:val="00EE7A6A"/>
    <w:rsid w:val="00EF109B"/>
    <w:rsid w:val="00EF3463"/>
    <w:rsid w:val="00EF362A"/>
    <w:rsid w:val="00EF36AF"/>
    <w:rsid w:val="00EF4588"/>
    <w:rsid w:val="00EF54A7"/>
    <w:rsid w:val="00F0015B"/>
    <w:rsid w:val="00F00F9C"/>
    <w:rsid w:val="00F02ABA"/>
    <w:rsid w:val="00F03B95"/>
    <w:rsid w:val="00F0437A"/>
    <w:rsid w:val="00F04E25"/>
    <w:rsid w:val="00F0580A"/>
    <w:rsid w:val="00F05A62"/>
    <w:rsid w:val="00F05BD9"/>
    <w:rsid w:val="00F11037"/>
    <w:rsid w:val="00F12912"/>
    <w:rsid w:val="00F12B38"/>
    <w:rsid w:val="00F14316"/>
    <w:rsid w:val="00F163E2"/>
    <w:rsid w:val="00F1738A"/>
    <w:rsid w:val="00F2230A"/>
    <w:rsid w:val="00F2280C"/>
    <w:rsid w:val="00F22EF4"/>
    <w:rsid w:val="00F23F97"/>
    <w:rsid w:val="00F250A9"/>
    <w:rsid w:val="00F2559D"/>
    <w:rsid w:val="00F25C0F"/>
    <w:rsid w:val="00F26844"/>
    <w:rsid w:val="00F30FF4"/>
    <w:rsid w:val="00F31633"/>
    <w:rsid w:val="00F32CC4"/>
    <w:rsid w:val="00F331AD"/>
    <w:rsid w:val="00F3570D"/>
    <w:rsid w:val="00F36398"/>
    <w:rsid w:val="00F37B1D"/>
    <w:rsid w:val="00F4112A"/>
    <w:rsid w:val="00F41DB4"/>
    <w:rsid w:val="00F42A8B"/>
    <w:rsid w:val="00F42ED7"/>
    <w:rsid w:val="00F43A37"/>
    <w:rsid w:val="00F43F66"/>
    <w:rsid w:val="00F4641B"/>
    <w:rsid w:val="00F46943"/>
    <w:rsid w:val="00F46EB8"/>
    <w:rsid w:val="00F47277"/>
    <w:rsid w:val="00F472D4"/>
    <w:rsid w:val="00F47826"/>
    <w:rsid w:val="00F5075C"/>
    <w:rsid w:val="00F50E61"/>
    <w:rsid w:val="00F511E4"/>
    <w:rsid w:val="00F51FBD"/>
    <w:rsid w:val="00F52D09"/>
    <w:rsid w:val="00F52E08"/>
    <w:rsid w:val="00F53D0B"/>
    <w:rsid w:val="00F554E1"/>
    <w:rsid w:val="00F55B21"/>
    <w:rsid w:val="00F56EF6"/>
    <w:rsid w:val="00F57576"/>
    <w:rsid w:val="00F63BDF"/>
    <w:rsid w:val="00F63C6E"/>
    <w:rsid w:val="00F63CF0"/>
    <w:rsid w:val="00F64696"/>
    <w:rsid w:val="00F65AA9"/>
    <w:rsid w:val="00F65EA8"/>
    <w:rsid w:val="00F666CC"/>
    <w:rsid w:val="00F6684C"/>
    <w:rsid w:val="00F6768F"/>
    <w:rsid w:val="00F67C33"/>
    <w:rsid w:val="00F70402"/>
    <w:rsid w:val="00F71E0D"/>
    <w:rsid w:val="00F72219"/>
    <w:rsid w:val="00F72C2C"/>
    <w:rsid w:val="00F73838"/>
    <w:rsid w:val="00F74539"/>
    <w:rsid w:val="00F745FA"/>
    <w:rsid w:val="00F7656C"/>
    <w:rsid w:val="00F7692E"/>
    <w:rsid w:val="00F76CAB"/>
    <w:rsid w:val="00F76E49"/>
    <w:rsid w:val="00F772C6"/>
    <w:rsid w:val="00F77708"/>
    <w:rsid w:val="00F77DC2"/>
    <w:rsid w:val="00F80ACB"/>
    <w:rsid w:val="00F80EAD"/>
    <w:rsid w:val="00F812BF"/>
    <w:rsid w:val="00F829A4"/>
    <w:rsid w:val="00F82ACC"/>
    <w:rsid w:val="00F830B6"/>
    <w:rsid w:val="00F83748"/>
    <w:rsid w:val="00F85195"/>
    <w:rsid w:val="00F85D74"/>
    <w:rsid w:val="00F87D99"/>
    <w:rsid w:val="00F901B8"/>
    <w:rsid w:val="00F92598"/>
    <w:rsid w:val="00F938BA"/>
    <w:rsid w:val="00F93F85"/>
    <w:rsid w:val="00F94A4E"/>
    <w:rsid w:val="00F95E74"/>
    <w:rsid w:val="00F967A2"/>
    <w:rsid w:val="00F9697E"/>
    <w:rsid w:val="00F978C7"/>
    <w:rsid w:val="00FA01E6"/>
    <w:rsid w:val="00FA128C"/>
    <w:rsid w:val="00FA1411"/>
    <w:rsid w:val="00FA23D1"/>
    <w:rsid w:val="00FA2C46"/>
    <w:rsid w:val="00FA3DC4"/>
    <w:rsid w:val="00FA5E0C"/>
    <w:rsid w:val="00FA649F"/>
    <w:rsid w:val="00FB030E"/>
    <w:rsid w:val="00FB18F2"/>
    <w:rsid w:val="00FB3531"/>
    <w:rsid w:val="00FB391F"/>
    <w:rsid w:val="00FB3BD4"/>
    <w:rsid w:val="00FB4CDA"/>
    <w:rsid w:val="00FB52DE"/>
    <w:rsid w:val="00FB6576"/>
    <w:rsid w:val="00FB7459"/>
    <w:rsid w:val="00FC0F81"/>
    <w:rsid w:val="00FC0FAB"/>
    <w:rsid w:val="00FC1413"/>
    <w:rsid w:val="00FC1D37"/>
    <w:rsid w:val="00FC2283"/>
    <w:rsid w:val="00FC2369"/>
    <w:rsid w:val="00FC395C"/>
    <w:rsid w:val="00FC5522"/>
    <w:rsid w:val="00FC5972"/>
    <w:rsid w:val="00FC7768"/>
    <w:rsid w:val="00FD0114"/>
    <w:rsid w:val="00FD06C4"/>
    <w:rsid w:val="00FD0B69"/>
    <w:rsid w:val="00FD11E0"/>
    <w:rsid w:val="00FD2FEB"/>
    <w:rsid w:val="00FD3294"/>
    <w:rsid w:val="00FD3766"/>
    <w:rsid w:val="00FD43DD"/>
    <w:rsid w:val="00FD43E3"/>
    <w:rsid w:val="00FD47C4"/>
    <w:rsid w:val="00FD6388"/>
    <w:rsid w:val="00FD655E"/>
    <w:rsid w:val="00FD7957"/>
    <w:rsid w:val="00FE03B0"/>
    <w:rsid w:val="00FE19A5"/>
    <w:rsid w:val="00FE24AE"/>
    <w:rsid w:val="00FE2DCF"/>
    <w:rsid w:val="00FE3947"/>
    <w:rsid w:val="00FE3C2E"/>
    <w:rsid w:val="00FE45EA"/>
    <w:rsid w:val="00FE57C8"/>
    <w:rsid w:val="00FF0582"/>
    <w:rsid w:val="00FF0D2B"/>
    <w:rsid w:val="00FF12A7"/>
    <w:rsid w:val="00FF20EA"/>
    <w:rsid w:val="00FF2FCE"/>
    <w:rsid w:val="00FF32E1"/>
    <w:rsid w:val="00FF3425"/>
    <w:rsid w:val="00FF4F7D"/>
    <w:rsid w:val="00FF5139"/>
    <w:rsid w:val="00FF58B4"/>
    <w:rsid w:val="00FF5998"/>
    <w:rsid w:val="00FF6D9D"/>
    <w:rsid w:val="00FF7431"/>
    <w:rsid w:val="00FF7F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59393"/>
    <o:shapelayout v:ext="edit">
      <o:idmap v:ext="edit" data="1"/>
    </o:shapelayout>
  </w:shapeDefaults>
  <w:decimalSymbol w:val="."/>
  <w:listSeparator w:val=","/>
  <w14:docId w14:val="6469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07F4A"/>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1"/>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1"/>
    <w:unhideWhenUsed/>
    <w:qFormat/>
    <w:rsid w:val="00DC7128"/>
    <w:pPr>
      <w:keepNext/>
      <w:keepLines/>
      <w:spacing w:before="200"/>
      <w:outlineLvl w:val="5"/>
    </w:pPr>
    <w:rPr>
      <w:rFonts w:asciiTheme="majorHAnsi" w:eastAsiaTheme="majorEastAsia" w:hAnsiTheme="majorHAnsi" w:cstheme="majorBidi"/>
      <w:i/>
      <w:iCs/>
      <w:color w:val="003866" w:themeColor="accent1" w:themeShade="7F"/>
    </w:rPr>
  </w:style>
  <w:style w:type="paragraph" w:styleId="Heading7">
    <w:name w:val="heading 7"/>
    <w:basedOn w:val="Normal"/>
    <w:next w:val="Normal"/>
    <w:link w:val="Heading7Char"/>
    <w:uiPriority w:val="1"/>
    <w:semiHidden/>
    <w:qFormat/>
    <w:rsid w:val="00920E29"/>
    <w:pPr>
      <w:keepNext/>
      <w:keepLines/>
      <w:spacing w:line="240" w:lineRule="atLeast"/>
      <w:ind w:left="1296" w:hanging="1296"/>
      <w:outlineLvl w:val="6"/>
    </w:pPr>
    <w:rPr>
      <w:rFonts w:ascii="Verdana" w:eastAsiaTheme="majorEastAsia" w:hAnsi="Verdana" w:cstheme="majorBidi"/>
      <w:b/>
      <w:iCs/>
      <w:sz w:val="18"/>
      <w:szCs w:val="18"/>
    </w:rPr>
  </w:style>
  <w:style w:type="paragraph" w:styleId="Heading8">
    <w:name w:val="heading 8"/>
    <w:basedOn w:val="Normal"/>
    <w:next w:val="Normal"/>
    <w:link w:val="Heading8Char"/>
    <w:uiPriority w:val="1"/>
    <w:semiHidden/>
    <w:qFormat/>
    <w:rsid w:val="00920E29"/>
    <w:pPr>
      <w:keepNext/>
      <w:keepLines/>
      <w:spacing w:line="240" w:lineRule="atLeast"/>
      <w:ind w:left="1440" w:hanging="1440"/>
      <w:outlineLvl w:val="7"/>
    </w:pPr>
    <w:rPr>
      <w:rFonts w:ascii="Verdana" w:eastAsiaTheme="majorEastAsia" w:hAnsi="Verdana" w:cstheme="majorBidi"/>
      <w:b/>
      <w:sz w:val="18"/>
    </w:rPr>
  </w:style>
  <w:style w:type="paragraph" w:styleId="Heading9">
    <w:name w:val="heading 9"/>
    <w:basedOn w:val="Normal"/>
    <w:next w:val="Normal"/>
    <w:link w:val="Heading9Char"/>
    <w:uiPriority w:val="1"/>
    <w:semiHidden/>
    <w:qFormat/>
    <w:rsid w:val="00920E29"/>
    <w:pPr>
      <w:keepNext/>
      <w:keepLines/>
      <w:spacing w:line="240" w:lineRule="atLeast"/>
      <w:ind w:left="1584" w:hanging="1584"/>
      <w:outlineLvl w:val="8"/>
    </w:pPr>
    <w:rPr>
      <w:rFonts w:ascii="Verdana" w:eastAsiaTheme="majorEastAsia" w:hAnsi="Verdana" w:cstheme="majorBidi"/>
      <w:b/>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9"/>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aliases w:val="fr,(NECG) Footnote Reference,Ref,de nota al pie"/>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aliases w:val="Footnote Text Char1 Char,Footnote Text Char Char1 Char,Footnote Text Char Char Char Char Char1,Char Char,Footnote Text Char Char Char,Footnote Text Char Char Char Char,fn,FT,ft,SD Footnote Text,Footnote Text AG,(NECG) Footnote Text"/>
    <w:link w:val="FootnoteTextChar"/>
    <w:qFormat/>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aliases w:val="Footnote Text Char1 Char Char,Footnote Text Char Char1 Char Char,Footnote Text Char Char Char Char Char1 Char,Char Char Char,Footnote Text Char Char Char Char1,Footnote Text Char Char Char Char Char,fn Char,FT Char,ft Char"/>
    <w:link w:val="FootnoteText"/>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76199E"/>
    <w:rPr>
      <w:rFonts w:ascii="Tahoma" w:hAnsi="Tahoma" w:cs="Tahoma"/>
      <w:sz w:val="16"/>
      <w:szCs w:val="16"/>
    </w:rPr>
  </w:style>
  <w:style w:type="character" w:customStyle="1" w:styleId="BalloonTextChar">
    <w:name w:val="Balloon Text Char"/>
    <w:basedOn w:val="DefaultParagraphFont"/>
    <w:link w:val="BalloonText"/>
    <w:uiPriority w:val="99"/>
    <w:semiHidden/>
    <w:rsid w:val="0076199E"/>
    <w:rPr>
      <w:rFonts w:ascii="Tahoma" w:hAnsi="Tahoma" w:cs="Tahoma"/>
      <w:sz w:val="16"/>
      <w:szCs w:val="16"/>
      <w:lang w:eastAsia="en-US"/>
    </w:rPr>
  </w:style>
  <w:style w:type="character" w:styleId="CommentReference">
    <w:name w:val="annotation reference"/>
    <w:basedOn w:val="DefaultParagraphFont"/>
    <w:uiPriority w:val="99"/>
    <w:semiHidden/>
    <w:unhideWhenUsed/>
    <w:rsid w:val="00501B34"/>
    <w:rPr>
      <w:sz w:val="16"/>
      <w:szCs w:val="16"/>
    </w:rPr>
  </w:style>
  <w:style w:type="paragraph" w:styleId="CommentText">
    <w:name w:val="annotation text"/>
    <w:basedOn w:val="Normal"/>
    <w:link w:val="CommentTextChar"/>
    <w:uiPriority w:val="99"/>
    <w:unhideWhenUsed/>
    <w:rsid w:val="00501B34"/>
  </w:style>
  <w:style w:type="character" w:customStyle="1" w:styleId="CommentTextChar">
    <w:name w:val="Comment Text Char"/>
    <w:basedOn w:val="DefaultParagraphFont"/>
    <w:link w:val="CommentText"/>
    <w:uiPriority w:val="99"/>
    <w:rsid w:val="00501B3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01B34"/>
    <w:rPr>
      <w:b/>
      <w:bCs/>
    </w:rPr>
  </w:style>
  <w:style w:type="character" w:customStyle="1" w:styleId="CommentSubjectChar">
    <w:name w:val="Comment Subject Char"/>
    <w:basedOn w:val="CommentTextChar"/>
    <w:link w:val="CommentSubject"/>
    <w:uiPriority w:val="99"/>
    <w:semiHidden/>
    <w:rsid w:val="00501B34"/>
    <w:rPr>
      <w:rFonts w:ascii="Cambria" w:hAnsi="Cambria"/>
      <w:b/>
      <w:bCs/>
      <w:lang w:eastAsia="en-US"/>
    </w:rPr>
  </w:style>
  <w:style w:type="character" w:customStyle="1" w:styleId="Heading6Char">
    <w:name w:val="Heading 6 Char"/>
    <w:basedOn w:val="DefaultParagraphFont"/>
    <w:link w:val="Heading6"/>
    <w:uiPriority w:val="9"/>
    <w:rsid w:val="00DC7128"/>
    <w:rPr>
      <w:rFonts w:asciiTheme="majorHAnsi" w:eastAsiaTheme="majorEastAsia" w:hAnsiTheme="majorHAnsi" w:cstheme="majorBidi"/>
      <w:i/>
      <w:iCs/>
      <w:color w:val="003866" w:themeColor="accent1" w:themeShade="7F"/>
      <w:lang w:eastAsia="en-US"/>
    </w:rPr>
  </w:style>
  <w:style w:type="character" w:styleId="Emphasis">
    <w:name w:val="Emphasis"/>
    <w:basedOn w:val="DefaultParagraphFont"/>
    <w:uiPriority w:val="20"/>
    <w:qFormat/>
    <w:rsid w:val="00860CB4"/>
    <w:rPr>
      <w:i/>
      <w:iCs/>
    </w:rPr>
  </w:style>
  <w:style w:type="paragraph" w:customStyle="1" w:styleId="Default">
    <w:name w:val="Default"/>
    <w:rsid w:val="00AC61C3"/>
    <w:pPr>
      <w:autoSpaceDE w:val="0"/>
      <w:autoSpaceDN w:val="0"/>
      <w:adjustRightInd w:val="0"/>
    </w:pPr>
    <w:rPr>
      <w:rFonts w:ascii="VIC" w:hAnsi="VIC" w:cs="VIC"/>
      <w:color w:val="000000"/>
      <w:sz w:val="24"/>
      <w:szCs w:val="24"/>
    </w:rPr>
  </w:style>
  <w:style w:type="paragraph" w:customStyle="1" w:styleId="Pa4">
    <w:name w:val="Pa4"/>
    <w:basedOn w:val="Default"/>
    <w:next w:val="Default"/>
    <w:uiPriority w:val="99"/>
    <w:rsid w:val="00AC61C3"/>
    <w:pPr>
      <w:spacing w:line="171" w:lineRule="atLeast"/>
    </w:pPr>
    <w:rPr>
      <w:rFonts w:cs="Times New Roman"/>
      <w:color w:val="auto"/>
    </w:rPr>
  </w:style>
  <w:style w:type="character" w:customStyle="1" w:styleId="A9">
    <w:name w:val="A9"/>
    <w:uiPriority w:val="99"/>
    <w:rsid w:val="00EF3463"/>
    <w:rPr>
      <w:rFonts w:cs="VIC"/>
      <w:color w:val="000000"/>
      <w:sz w:val="10"/>
      <w:szCs w:val="10"/>
    </w:rPr>
  </w:style>
  <w:style w:type="character" w:customStyle="1" w:styleId="A8">
    <w:name w:val="A8"/>
    <w:uiPriority w:val="99"/>
    <w:rsid w:val="00EF3463"/>
    <w:rPr>
      <w:rFonts w:cs="VIC"/>
      <w:color w:val="000000"/>
      <w:sz w:val="17"/>
      <w:szCs w:val="17"/>
    </w:rPr>
  </w:style>
  <w:style w:type="character" w:customStyle="1" w:styleId="A10">
    <w:name w:val="A10"/>
    <w:uiPriority w:val="99"/>
    <w:rsid w:val="00EF3463"/>
    <w:rPr>
      <w:rFonts w:cs="VIC"/>
      <w:color w:val="000000"/>
      <w:sz w:val="8"/>
      <w:szCs w:val="8"/>
    </w:rPr>
  </w:style>
  <w:style w:type="paragraph" w:customStyle="1" w:styleId="DraftHeading2">
    <w:name w:val="Draft Heading 2"/>
    <w:basedOn w:val="Normal"/>
    <w:next w:val="Normal"/>
    <w:rsid w:val="00BC01F9"/>
    <w:pPr>
      <w:overflowPunct w:val="0"/>
      <w:autoSpaceDE w:val="0"/>
      <w:autoSpaceDN w:val="0"/>
      <w:adjustRightInd w:val="0"/>
      <w:spacing w:before="120"/>
    </w:pPr>
    <w:rPr>
      <w:rFonts w:ascii="Times New Roman" w:hAnsi="Times New Roman"/>
      <w:sz w:val="24"/>
    </w:rPr>
  </w:style>
  <w:style w:type="paragraph" w:customStyle="1" w:styleId="DraftHeading3">
    <w:name w:val="Draft Heading 3"/>
    <w:basedOn w:val="Normal"/>
    <w:next w:val="Normal"/>
    <w:link w:val="DraftHeading3Char"/>
    <w:rsid w:val="00BC01F9"/>
    <w:pPr>
      <w:overflowPunct w:val="0"/>
      <w:autoSpaceDE w:val="0"/>
      <w:autoSpaceDN w:val="0"/>
      <w:adjustRightInd w:val="0"/>
      <w:spacing w:before="120"/>
    </w:pPr>
    <w:rPr>
      <w:rFonts w:ascii="Times New Roman" w:hAnsi="Times New Roman"/>
      <w:sz w:val="24"/>
    </w:rPr>
  </w:style>
  <w:style w:type="character" w:customStyle="1" w:styleId="FooterChar">
    <w:name w:val="Footer Char"/>
    <w:basedOn w:val="DefaultParagraphFont"/>
    <w:link w:val="Footer"/>
    <w:rsid w:val="00150B93"/>
    <w:rPr>
      <w:rFonts w:asciiTheme="majorHAnsi" w:hAnsiTheme="majorHAnsi" w:cs="Arial"/>
      <w:lang w:eastAsia="en-US"/>
    </w:rPr>
  </w:style>
  <w:style w:type="paragraph" w:customStyle="1" w:styleId="BodySectionSub">
    <w:name w:val="Body Section (Sub)"/>
    <w:next w:val="Normal"/>
    <w:rsid w:val="00150B93"/>
    <w:pPr>
      <w:overflowPunct w:val="0"/>
      <w:autoSpaceDE w:val="0"/>
      <w:autoSpaceDN w:val="0"/>
      <w:adjustRightInd w:val="0"/>
      <w:spacing w:before="120"/>
      <w:ind w:left="1361"/>
      <w:textAlignment w:val="baseline"/>
    </w:pPr>
    <w:rPr>
      <w:sz w:val="24"/>
      <w:lang w:eastAsia="en-US"/>
    </w:rPr>
  </w:style>
  <w:style w:type="paragraph" w:customStyle="1" w:styleId="Heading-PART">
    <w:name w:val="Heading - PART"/>
    <w:next w:val="Normal"/>
    <w:link w:val="Heading-PARTChar"/>
    <w:rsid w:val="00150B93"/>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150B93"/>
    <w:rPr>
      <w:caps w:val="0"/>
    </w:rPr>
  </w:style>
  <w:style w:type="paragraph" w:customStyle="1" w:styleId="AmendHeading1">
    <w:name w:val="Amend. Heading 1"/>
    <w:basedOn w:val="Normal"/>
    <w:next w:val="Normal"/>
    <w:rsid w:val="00150B93"/>
    <w:pPr>
      <w:overflowPunct w:val="0"/>
      <w:autoSpaceDE w:val="0"/>
      <w:autoSpaceDN w:val="0"/>
      <w:adjustRightInd w:val="0"/>
      <w:spacing w:before="120"/>
      <w:textAlignment w:val="baseline"/>
    </w:pPr>
    <w:rPr>
      <w:rFonts w:ascii="Times New Roman" w:hAnsi="Times New Roman"/>
      <w:sz w:val="24"/>
    </w:rPr>
  </w:style>
  <w:style w:type="paragraph" w:customStyle="1" w:styleId="DraftDefinition2">
    <w:name w:val="Draft Definition 2"/>
    <w:next w:val="Normal"/>
    <w:link w:val="DraftDefinition2Char"/>
    <w:rsid w:val="00150B9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1">
    <w:name w:val="Draft Heading 1"/>
    <w:basedOn w:val="Normal"/>
    <w:next w:val="Normal"/>
    <w:link w:val="DraftHeading1Char"/>
    <w:rsid w:val="00150B93"/>
    <w:pPr>
      <w:overflowPunct w:val="0"/>
      <w:autoSpaceDE w:val="0"/>
      <w:autoSpaceDN w:val="0"/>
      <w:adjustRightInd w:val="0"/>
      <w:spacing w:before="120"/>
      <w:textAlignment w:val="baseline"/>
      <w:outlineLvl w:val="2"/>
    </w:pPr>
    <w:rPr>
      <w:rFonts w:ascii="Times New Roman" w:hAnsi="Times New Roman"/>
      <w:b/>
      <w:sz w:val="24"/>
      <w:szCs w:val="24"/>
    </w:rPr>
  </w:style>
  <w:style w:type="paragraph" w:customStyle="1" w:styleId="Normal-Schedule">
    <w:name w:val="Normal - Schedule"/>
    <w:rsid w:val="00150B9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rmalPart">
    <w:name w:val="Normal Part"/>
    <w:next w:val="Normal"/>
    <w:link w:val="NormalPartChar"/>
    <w:rsid w:val="00150B93"/>
    <w:pPr>
      <w:spacing w:before="240" w:after="120"/>
      <w:jc w:val="center"/>
    </w:pPr>
    <w:rPr>
      <w:b/>
      <w:sz w:val="32"/>
      <w:lang w:eastAsia="en-US"/>
    </w:rPr>
  </w:style>
  <w:style w:type="character" w:customStyle="1" w:styleId="Heading-PARTChar">
    <w:name w:val="Heading - PART Char"/>
    <w:basedOn w:val="DefaultParagraphFont"/>
    <w:link w:val="Heading-PART"/>
    <w:rsid w:val="00150B93"/>
    <w:rPr>
      <w:b/>
      <w:caps/>
      <w:sz w:val="22"/>
      <w:lang w:eastAsia="en-US"/>
    </w:rPr>
  </w:style>
  <w:style w:type="character" w:customStyle="1" w:styleId="NormalPartChar">
    <w:name w:val="Normal Part Char"/>
    <w:basedOn w:val="Heading-PARTChar"/>
    <w:link w:val="NormalPart"/>
    <w:rsid w:val="00150B93"/>
    <w:rPr>
      <w:b/>
      <w:caps w:val="0"/>
      <w:sz w:val="32"/>
      <w:lang w:eastAsia="en-US"/>
    </w:rPr>
  </w:style>
  <w:style w:type="character" w:customStyle="1" w:styleId="DraftDefinition2Char">
    <w:name w:val="Draft Definition 2 Char"/>
    <w:basedOn w:val="DefaultParagraphFont"/>
    <w:link w:val="DraftDefinition2"/>
    <w:locked/>
    <w:rsid w:val="00150B93"/>
    <w:rPr>
      <w:sz w:val="24"/>
      <w:lang w:eastAsia="en-US"/>
    </w:rPr>
  </w:style>
  <w:style w:type="paragraph" w:styleId="TOCHeading">
    <w:name w:val="TOC Heading"/>
    <w:basedOn w:val="Heading1"/>
    <w:next w:val="Normal"/>
    <w:uiPriority w:val="39"/>
    <w:unhideWhenUsed/>
    <w:qFormat/>
    <w:rsid w:val="006F3F01"/>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customStyle="1" w:styleId="ng-scope">
    <w:name w:val="ng-scope"/>
    <w:basedOn w:val="DefaultParagraphFont"/>
    <w:rsid w:val="00412B26"/>
  </w:style>
  <w:style w:type="paragraph" w:customStyle="1" w:styleId="Char1CharCharChar">
    <w:name w:val="Char1 Char Char Char"/>
    <w:basedOn w:val="Normal"/>
    <w:rsid w:val="00AF7922"/>
    <w:rPr>
      <w:rFonts w:ascii="Arial" w:hAnsi="Arial"/>
      <w:sz w:val="22"/>
    </w:rPr>
  </w:style>
  <w:style w:type="paragraph" w:customStyle="1" w:styleId="DPCbodytext">
    <w:name w:val="DPC body text"/>
    <w:basedOn w:val="Normal"/>
    <w:link w:val="DPCbodytextChar"/>
    <w:autoRedefine/>
    <w:qFormat/>
    <w:rsid w:val="000C4A15"/>
    <w:pPr>
      <w:spacing w:line="280" w:lineRule="exact"/>
    </w:pPr>
    <w:rPr>
      <w:rFonts w:ascii="Arial" w:eastAsia="Arial" w:hAnsi="Arial"/>
      <w:sz w:val="22"/>
      <w:szCs w:val="22"/>
      <w:lang w:eastAsia="en-AU"/>
    </w:rPr>
  </w:style>
  <w:style w:type="character" w:customStyle="1" w:styleId="DPCbodytextChar">
    <w:name w:val="DPC body text Char"/>
    <w:basedOn w:val="DefaultParagraphFont"/>
    <w:link w:val="DPCbodytext"/>
    <w:rsid w:val="000C4A15"/>
    <w:rPr>
      <w:rFonts w:ascii="Arial" w:eastAsia="Arial" w:hAnsi="Arial"/>
      <w:sz w:val="22"/>
      <w:szCs w:val="22"/>
    </w:rPr>
  </w:style>
  <w:style w:type="paragraph" w:styleId="BodyText">
    <w:name w:val="Body Text"/>
    <w:basedOn w:val="Normal"/>
    <w:next w:val="Normal"/>
    <w:link w:val="BodyTextChar"/>
    <w:uiPriority w:val="99"/>
    <w:unhideWhenUsed/>
    <w:rsid w:val="00AC4496"/>
    <w:rPr>
      <w:rFonts w:ascii="Arial" w:eastAsia="Arial" w:hAnsi="Arial"/>
      <w:sz w:val="24"/>
      <w:szCs w:val="24"/>
      <w:lang w:val="en-US"/>
    </w:rPr>
  </w:style>
  <w:style w:type="character" w:customStyle="1" w:styleId="BodyTextChar">
    <w:name w:val="Body Text Char"/>
    <w:basedOn w:val="DefaultParagraphFont"/>
    <w:link w:val="BodyText"/>
    <w:uiPriority w:val="99"/>
    <w:rsid w:val="00AC4496"/>
    <w:rPr>
      <w:rFonts w:ascii="Arial" w:eastAsia="Arial" w:hAnsi="Arial"/>
      <w:sz w:val="24"/>
      <w:szCs w:val="24"/>
      <w:lang w:val="en-US" w:eastAsia="en-US"/>
    </w:rPr>
  </w:style>
  <w:style w:type="character" w:customStyle="1" w:styleId="TitleChar">
    <w:name w:val="Title Char"/>
    <w:basedOn w:val="DefaultParagraphFont"/>
    <w:link w:val="Title"/>
    <w:uiPriority w:val="10"/>
    <w:rsid w:val="00AC4496"/>
    <w:rPr>
      <w:rFonts w:ascii="Arial" w:hAnsi="Arial"/>
      <w:bCs/>
      <w:color w:val="857363"/>
      <w:kern w:val="28"/>
      <w:sz w:val="56"/>
      <w:szCs w:val="32"/>
      <w:lang w:val="en-US" w:eastAsia="en-US" w:bidi="ar-SA"/>
    </w:rPr>
  </w:style>
  <w:style w:type="paragraph" w:styleId="Title">
    <w:name w:val="Title"/>
    <w:basedOn w:val="Normal"/>
    <w:next w:val="Normal"/>
    <w:link w:val="TitleChar"/>
    <w:uiPriority w:val="10"/>
    <w:qFormat/>
    <w:rsid w:val="00AC4496"/>
    <w:pPr>
      <w:contextualSpacing/>
    </w:pPr>
    <w:rPr>
      <w:rFonts w:ascii="Arial" w:hAnsi="Arial"/>
      <w:bCs/>
      <w:color w:val="857363"/>
      <w:kern w:val="28"/>
      <w:sz w:val="56"/>
      <w:szCs w:val="32"/>
      <w:lang w:val="en-US"/>
    </w:rPr>
  </w:style>
  <w:style w:type="character" w:customStyle="1" w:styleId="TitleChar1">
    <w:name w:val="Title Char1"/>
    <w:basedOn w:val="DefaultParagraphFont"/>
    <w:uiPriority w:val="10"/>
    <w:rsid w:val="00AC4496"/>
    <w:rPr>
      <w:rFonts w:asciiTheme="majorHAnsi" w:eastAsiaTheme="majorEastAsia" w:hAnsiTheme="majorHAnsi" w:cstheme="majorBidi"/>
      <w:spacing w:val="-10"/>
      <w:kern w:val="28"/>
      <w:sz w:val="56"/>
      <w:szCs w:val="56"/>
      <w:lang w:eastAsia="en-US"/>
    </w:rPr>
  </w:style>
  <w:style w:type="paragraph" w:customStyle="1" w:styleId="DPCbodywithbullets">
    <w:name w:val="DPC body with bullets"/>
    <w:basedOn w:val="DPCbodytext"/>
    <w:link w:val="DPCbodywithbulletsChar"/>
    <w:qFormat/>
    <w:rsid w:val="003529D1"/>
    <w:pPr>
      <w:tabs>
        <w:tab w:val="num" w:pos="360"/>
      </w:tabs>
    </w:pPr>
  </w:style>
  <w:style w:type="character" w:customStyle="1" w:styleId="DPCbodywithbulletsChar">
    <w:name w:val="DPC body with bullets Char"/>
    <w:basedOn w:val="DPCbodytextChar"/>
    <w:link w:val="DPCbodywithbullets"/>
    <w:rsid w:val="003529D1"/>
    <w:rPr>
      <w:rFonts w:ascii="Arial" w:eastAsia="Arial" w:hAnsi="Arial"/>
      <w:sz w:val="22"/>
      <w:szCs w:val="24"/>
    </w:rPr>
  </w:style>
  <w:style w:type="paragraph" w:customStyle="1" w:styleId="Sectionintro">
    <w:name w:val="Section intro"/>
    <w:basedOn w:val="Normal"/>
    <w:next w:val="Normal"/>
    <w:uiPriority w:val="2"/>
    <w:qFormat/>
    <w:rsid w:val="000E38E2"/>
    <w:pPr>
      <w:spacing w:after="360" w:line="360" w:lineRule="atLeast"/>
      <w:contextualSpacing/>
    </w:pPr>
    <w:rPr>
      <w:rFonts w:ascii="Verdana" w:eastAsiaTheme="minorHAnsi" w:hAnsi="Verdana" w:cstheme="minorBidi"/>
      <w:sz w:val="28"/>
      <w:szCs w:val="18"/>
    </w:rPr>
  </w:style>
  <w:style w:type="paragraph" w:customStyle="1" w:styleId="HeadingLevel3NoNumber">
    <w:name w:val="HeadingLevel3NoNumber"/>
    <w:basedOn w:val="Heading3"/>
    <w:next w:val="BodyText"/>
    <w:qFormat/>
    <w:rsid w:val="000E38E2"/>
    <w:pPr>
      <w:spacing w:before="240" w:after="120"/>
    </w:pPr>
    <w:rPr>
      <w:rFonts w:ascii="Arial" w:eastAsiaTheme="majorEastAsia" w:hAnsi="Arial" w:cstheme="majorBidi"/>
      <w:b w:val="0"/>
      <w:bCs w:val="0"/>
      <w:i/>
      <w:color w:val="0063A6"/>
      <w:sz w:val="24"/>
      <w:szCs w:val="24"/>
    </w:rPr>
  </w:style>
  <w:style w:type="paragraph" w:styleId="ListParagraph">
    <w:name w:val="List Paragraph"/>
    <w:basedOn w:val="Normal"/>
    <w:uiPriority w:val="34"/>
    <w:qFormat/>
    <w:rsid w:val="000E38E2"/>
    <w:pPr>
      <w:spacing w:after="160" w:line="259" w:lineRule="auto"/>
      <w:ind w:left="720"/>
      <w:contextualSpacing/>
    </w:pPr>
    <w:rPr>
      <w:rFonts w:asciiTheme="minorHAnsi" w:eastAsiaTheme="minorHAnsi" w:hAnsiTheme="minorHAnsi" w:cstheme="minorBidi"/>
      <w:color w:val="000000" w:themeColor="text1"/>
      <w:sz w:val="22"/>
      <w:szCs w:val="22"/>
    </w:rPr>
  </w:style>
  <w:style w:type="character" w:customStyle="1" w:styleId="Heading7Char">
    <w:name w:val="Heading 7 Char"/>
    <w:basedOn w:val="DefaultParagraphFont"/>
    <w:link w:val="Heading7"/>
    <w:uiPriority w:val="1"/>
    <w:semiHidden/>
    <w:rsid w:val="00920E29"/>
    <w:rPr>
      <w:rFonts w:ascii="Verdana" w:eastAsiaTheme="majorEastAsia" w:hAnsi="Verdana" w:cstheme="majorBidi"/>
      <w:b/>
      <w:iCs/>
      <w:sz w:val="18"/>
      <w:szCs w:val="18"/>
      <w:lang w:eastAsia="en-US"/>
    </w:rPr>
  </w:style>
  <w:style w:type="character" w:customStyle="1" w:styleId="Heading8Char">
    <w:name w:val="Heading 8 Char"/>
    <w:basedOn w:val="DefaultParagraphFont"/>
    <w:link w:val="Heading8"/>
    <w:uiPriority w:val="1"/>
    <w:semiHidden/>
    <w:rsid w:val="00920E29"/>
    <w:rPr>
      <w:rFonts w:ascii="Verdana" w:eastAsiaTheme="majorEastAsia" w:hAnsi="Verdana" w:cstheme="majorBidi"/>
      <w:b/>
      <w:sz w:val="18"/>
      <w:lang w:eastAsia="en-US"/>
    </w:rPr>
  </w:style>
  <w:style w:type="character" w:customStyle="1" w:styleId="Heading9Char">
    <w:name w:val="Heading 9 Char"/>
    <w:basedOn w:val="DefaultParagraphFont"/>
    <w:link w:val="Heading9"/>
    <w:uiPriority w:val="1"/>
    <w:semiHidden/>
    <w:rsid w:val="00920E29"/>
    <w:rPr>
      <w:rFonts w:ascii="Verdana" w:eastAsiaTheme="majorEastAsia" w:hAnsi="Verdana" w:cstheme="majorBidi"/>
      <w:b/>
      <w:iCs/>
      <w:sz w:val="18"/>
      <w:lang w:eastAsia="en-US"/>
    </w:rPr>
  </w:style>
  <w:style w:type="paragraph" w:customStyle="1" w:styleId="SchedulePenaly">
    <w:name w:val="Schedule Penaly"/>
    <w:basedOn w:val="Normal"/>
    <w:next w:val="Normal"/>
    <w:rsid w:val="00DE16E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hAnsi="Times New Roman"/>
    </w:rPr>
  </w:style>
  <w:style w:type="character" w:customStyle="1" w:styleId="DraftHeading1Char">
    <w:name w:val="Draft Heading 1 Char"/>
    <w:basedOn w:val="DefaultParagraphFont"/>
    <w:link w:val="DraftHeading1"/>
    <w:locked/>
    <w:rsid w:val="00DE16EC"/>
    <w:rPr>
      <w:b/>
      <w:sz w:val="24"/>
      <w:szCs w:val="24"/>
      <w:lang w:eastAsia="en-US"/>
    </w:rPr>
  </w:style>
  <w:style w:type="paragraph" w:styleId="Revision">
    <w:name w:val="Revision"/>
    <w:hidden/>
    <w:uiPriority w:val="71"/>
    <w:rsid w:val="00B52B31"/>
    <w:rPr>
      <w:rFonts w:ascii="Cambria" w:hAnsi="Cambria"/>
      <w:lang w:eastAsia="en-US"/>
    </w:rPr>
  </w:style>
  <w:style w:type="paragraph" w:customStyle="1" w:styleId="BulletListPB">
    <w:name w:val="Bullet List PB"/>
    <w:basedOn w:val="Normal"/>
    <w:uiPriority w:val="1"/>
    <w:qFormat/>
    <w:rsid w:val="00E25FD5"/>
    <w:pPr>
      <w:numPr>
        <w:numId w:val="53"/>
      </w:numPr>
      <w:tabs>
        <w:tab w:val="left" w:pos="454"/>
      </w:tabs>
      <w:contextualSpacing/>
    </w:pPr>
    <w:rPr>
      <w:rFonts w:ascii="Arial" w:hAnsi="Arial"/>
      <w:sz w:val="24"/>
    </w:rPr>
  </w:style>
  <w:style w:type="paragraph" w:customStyle="1" w:styleId="Char1CharCharChar0">
    <w:name w:val="Char1 Char Char Char"/>
    <w:basedOn w:val="Normal"/>
    <w:rsid w:val="00111B80"/>
    <w:rPr>
      <w:rFonts w:ascii="Arial" w:hAnsi="Arial"/>
      <w:sz w:val="22"/>
    </w:rPr>
  </w:style>
  <w:style w:type="character" w:customStyle="1" w:styleId="DraftHeading3Char">
    <w:name w:val="Draft Heading 3 Char"/>
    <w:link w:val="DraftHeading3"/>
    <w:rsid w:val="0054415D"/>
    <w:rPr>
      <w:sz w:val="24"/>
      <w:lang w:eastAsia="en-US"/>
    </w:rPr>
  </w:style>
  <w:style w:type="paragraph" w:styleId="NormalWeb">
    <w:name w:val="Normal (Web)"/>
    <w:basedOn w:val="Normal"/>
    <w:uiPriority w:val="99"/>
    <w:unhideWhenUsed/>
    <w:rsid w:val="00315169"/>
    <w:pPr>
      <w:spacing w:before="100" w:beforeAutospacing="1" w:after="100" w:afterAutospacing="1"/>
    </w:pPr>
    <w:rPr>
      <w:rFonts w:ascii="Times New Roman" w:hAnsi="Times New Roman"/>
      <w:sz w:val="24"/>
      <w:szCs w:val="24"/>
      <w:lang w:eastAsia="en-AU"/>
    </w:rPr>
  </w:style>
  <w:style w:type="character" w:customStyle="1" w:styleId="rpl-text-label">
    <w:name w:val="rpl-text-label"/>
    <w:basedOn w:val="DefaultParagraphFont"/>
    <w:rsid w:val="00315169"/>
  </w:style>
  <w:style w:type="character" w:styleId="Strong">
    <w:name w:val="Strong"/>
    <w:basedOn w:val="DefaultParagraphFont"/>
    <w:uiPriority w:val="22"/>
    <w:qFormat/>
    <w:rsid w:val="00315169"/>
    <w:rPr>
      <w:b/>
      <w:bCs/>
    </w:rPr>
  </w:style>
  <w:style w:type="character" w:styleId="UnresolvedMention">
    <w:name w:val="Unresolved Mention"/>
    <w:basedOn w:val="DefaultParagraphFont"/>
    <w:uiPriority w:val="99"/>
    <w:unhideWhenUsed/>
    <w:rsid w:val="00845046"/>
    <w:rPr>
      <w:color w:val="605E5C"/>
      <w:shd w:val="clear" w:color="auto" w:fill="E1DFDD"/>
    </w:rPr>
  </w:style>
  <w:style w:type="paragraph" w:customStyle="1" w:styleId="Char1CharCharChar1">
    <w:name w:val="Char1 Char Char Char"/>
    <w:basedOn w:val="Normal"/>
    <w:rsid w:val="00A47AE1"/>
    <w:rPr>
      <w:rFonts w:ascii="Arial" w:hAnsi="Arial"/>
      <w:sz w:val="22"/>
    </w:rPr>
  </w:style>
  <w:style w:type="character" w:styleId="Mention">
    <w:name w:val="Mention"/>
    <w:basedOn w:val="DefaultParagraphFont"/>
    <w:uiPriority w:val="99"/>
    <w:unhideWhenUsed/>
    <w:rsid w:val="003D0DBB"/>
    <w:rPr>
      <w:color w:val="2B579A"/>
      <w:shd w:val="clear" w:color="auto" w:fill="E1DFDD"/>
    </w:rPr>
  </w:style>
  <w:style w:type="paragraph" w:customStyle="1" w:styleId="Char1CharCharChar00">
    <w:name w:val="Char1 Char Char Char0"/>
    <w:basedOn w:val="Normal"/>
    <w:rsid w:val="00163CED"/>
    <w:rPr>
      <w:rFonts w:ascii="Arial" w:hAnsi="Arial"/>
      <w:sz w:val="22"/>
    </w:rPr>
  </w:style>
  <w:style w:type="paragraph" w:customStyle="1" w:styleId="Char1CharCharChar10">
    <w:name w:val="Char1 Char Char Char1"/>
    <w:basedOn w:val="Normal"/>
    <w:rsid w:val="00163CED"/>
    <w:rPr>
      <w:rFonts w:ascii="Arial" w:hAnsi="Arial"/>
      <w:sz w:val="22"/>
    </w:rPr>
  </w:style>
  <w:style w:type="paragraph" w:customStyle="1" w:styleId="Char1CharCharChar000">
    <w:name w:val="Char1 Char Char Char00"/>
    <w:basedOn w:val="Normal"/>
    <w:rsid w:val="0088451E"/>
    <w:rPr>
      <w:rFonts w:ascii="Arial" w:hAnsi="Arial"/>
      <w:sz w:val="22"/>
    </w:rPr>
  </w:style>
  <w:style w:type="paragraph" w:customStyle="1" w:styleId="Char1CharCharChar100">
    <w:name w:val="Char1 Char Char Char10"/>
    <w:basedOn w:val="Normal"/>
    <w:rsid w:val="0088451E"/>
    <w:rPr>
      <w:rFonts w:ascii="Arial" w:hAnsi="Arial"/>
      <w:sz w:val="22"/>
    </w:rPr>
  </w:style>
  <w:style w:type="paragraph" w:customStyle="1" w:styleId="Char1CharCharChar0000">
    <w:name w:val="Char1 Char Char Char000"/>
    <w:basedOn w:val="Normal"/>
    <w:rsid w:val="00C808F6"/>
    <w:rPr>
      <w:rFonts w:ascii="Arial" w:hAnsi="Arial"/>
      <w:sz w:val="22"/>
    </w:rPr>
  </w:style>
  <w:style w:type="paragraph" w:customStyle="1" w:styleId="Char1CharCharChar1000">
    <w:name w:val="Char1 Char Char Char100"/>
    <w:basedOn w:val="Normal"/>
    <w:rsid w:val="00C808F6"/>
    <w:rPr>
      <w:rFonts w:ascii="Arial" w:hAnsi="Arial"/>
      <w:sz w:val="22"/>
    </w:rPr>
  </w:style>
  <w:style w:type="paragraph" w:customStyle="1" w:styleId="Char1CharCharChar00000">
    <w:name w:val="Char1 Char Char Char0000"/>
    <w:basedOn w:val="Normal"/>
    <w:rsid w:val="00A02348"/>
    <w:rPr>
      <w:rFonts w:ascii="Arial" w:hAnsi="Arial"/>
      <w:sz w:val="22"/>
    </w:rPr>
  </w:style>
  <w:style w:type="paragraph" w:customStyle="1" w:styleId="Char1CharCharChar10000">
    <w:name w:val="Char1 Char Char Char1000"/>
    <w:basedOn w:val="Normal"/>
    <w:rsid w:val="00A02348"/>
    <w:rPr>
      <w:rFonts w:ascii="Arial" w:hAnsi="Arial"/>
      <w:sz w:val="22"/>
    </w:rPr>
  </w:style>
  <w:style w:type="paragraph" w:customStyle="1" w:styleId="SideNote">
    <w:name w:val="Side Note"/>
    <w:basedOn w:val="Normal"/>
    <w:rsid w:val="00CF563F"/>
    <w:pPr>
      <w:framePr w:w="964" w:h="340" w:hSpace="284" w:wrap="around" w:vAnchor="text" w:hAnchor="page" w:xAlign="outside" w:y="1"/>
      <w:suppressLineNumbers/>
      <w:overflowPunct w:val="0"/>
      <w:autoSpaceDE w:val="0"/>
      <w:autoSpaceDN w:val="0"/>
      <w:adjustRightInd w:val="0"/>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5474">
      <w:bodyDiv w:val="1"/>
      <w:marLeft w:val="0"/>
      <w:marRight w:val="0"/>
      <w:marTop w:val="0"/>
      <w:marBottom w:val="0"/>
      <w:divBdr>
        <w:top w:val="none" w:sz="0" w:space="0" w:color="auto"/>
        <w:left w:val="none" w:sz="0" w:space="0" w:color="auto"/>
        <w:bottom w:val="none" w:sz="0" w:space="0" w:color="auto"/>
        <w:right w:val="none" w:sz="0" w:space="0" w:color="auto"/>
      </w:divBdr>
    </w:div>
    <w:div w:id="149254732">
      <w:bodyDiv w:val="1"/>
      <w:marLeft w:val="0"/>
      <w:marRight w:val="0"/>
      <w:marTop w:val="0"/>
      <w:marBottom w:val="0"/>
      <w:divBdr>
        <w:top w:val="none" w:sz="0" w:space="0" w:color="auto"/>
        <w:left w:val="none" w:sz="0" w:space="0" w:color="auto"/>
        <w:bottom w:val="none" w:sz="0" w:space="0" w:color="auto"/>
        <w:right w:val="none" w:sz="0" w:space="0" w:color="auto"/>
      </w:divBdr>
    </w:div>
    <w:div w:id="169569022">
      <w:bodyDiv w:val="1"/>
      <w:marLeft w:val="0"/>
      <w:marRight w:val="0"/>
      <w:marTop w:val="0"/>
      <w:marBottom w:val="0"/>
      <w:divBdr>
        <w:top w:val="none" w:sz="0" w:space="0" w:color="auto"/>
        <w:left w:val="none" w:sz="0" w:space="0" w:color="auto"/>
        <w:bottom w:val="none" w:sz="0" w:space="0" w:color="auto"/>
        <w:right w:val="none" w:sz="0" w:space="0" w:color="auto"/>
      </w:divBdr>
    </w:div>
    <w:div w:id="196964911">
      <w:bodyDiv w:val="1"/>
      <w:marLeft w:val="0"/>
      <w:marRight w:val="0"/>
      <w:marTop w:val="0"/>
      <w:marBottom w:val="0"/>
      <w:divBdr>
        <w:top w:val="none" w:sz="0" w:space="0" w:color="auto"/>
        <w:left w:val="none" w:sz="0" w:space="0" w:color="auto"/>
        <w:bottom w:val="none" w:sz="0" w:space="0" w:color="auto"/>
        <w:right w:val="none" w:sz="0" w:space="0" w:color="auto"/>
      </w:divBdr>
    </w:div>
    <w:div w:id="341710764">
      <w:bodyDiv w:val="1"/>
      <w:marLeft w:val="0"/>
      <w:marRight w:val="0"/>
      <w:marTop w:val="0"/>
      <w:marBottom w:val="0"/>
      <w:divBdr>
        <w:top w:val="none" w:sz="0" w:space="0" w:color="auto"/>
        <w:left w:val="none" w:sz="0" w:space="0" w:color="auto"/>
        <w:bottom w:val="none" w:sz="0" w:space="0" w:color="auto"/>
        <w:right w:val="none" w:sz="0" w:space="0" w:color="auto"/>
      </w:divBdr>
    </w:div>
    <w:div w:id="398938521">
      <w:bodyDiv w:val="1"/>
      <w:marLeft w:val="0"/>
      <w:marRight w:val="0"/>
      <w:marTop w:val="0"/>
      <w:marBottom w:val="0"/>
      <w:divBdr>
        <w:top w:val="none" w:sz="0" w:space="0" w:color="auto"/>
        <w:left w:val="none" w:sz="0" w:space="0" w:color="auto"/>
        <w:bottom w:val="none" w:sz="0" w:space="0" w:color="auto"/>
        <w:right w:val="none" w:sz="0" w:space="0" w:color="auto"/>
      </w:divBdr>
    </w:div>
    <w:div w:id="399837714">
      <w:bodyDiv w:val="1"/>
      <w:marLeft w:val="0"/>
      <w:marRight w:val="0"/>
      <w:marTop w:val="0"/>
      <w:marBottom w:val="0"/>
      <w:divBdr>
        <w:top w:val="none" w:sz="0" w:space="0" w:color="auto"/>
        <w:left w:val="none" w:sz="0" w:space="0" w:color="auto"/>
        <w:bottom w:val="none" w:sz="0" w:space="0" w:color="auto"/>
        <w:right w:val="none" w:sz="0" w:space="0" w:color="auto"/>
      </w:divBdr>
    </w:div>
    <w:div w:id="738212045">
      <w:bodyDiv w:val="1"/>
      <w:marLeft w:val="0"/>
      <w:marRight w:val="0"/>
      <w:marTop w:val="0"/>
      <w:marBottom w:val="0"/>
      <w:divBdr>
        <w:top w:val="none" w:sz="0" w:space="0" w:color="auto"/>
        <w:left w:val="none" w:sz="0" w:space="0" w:color="auto"/>
        <w:bottom w:val="none" w:sz="0" w:space="0" w:color="auto"/>
        <w:right w:val="none" w:sz="0" w:space="0" w:color="auto"/>
      </w:divBdr>
    </w:div>
    <w:div w:id="745808432">
      <w:bodyDiv w:val="1"/>
      <w:marLeft w:val="0"/>
      <w:marRight w:val="0"/>
      <w:marTop w:val="0"/>
      <w:marBottom w:val="0"/>
      <w:divBdr>
        <w:top w:val="none" w:sz="0" w:space="0" w:color="auto"/>
        <w:left w:val="none" w:sz="0" w:space="0" w:color="auto"/>
        <w:bottom w:val="none" w:sz="0" w:space="0" w:color="auto"/>
        <w:right w:val="none" w:sz="0" w:space="0" w:color="auto"/>
      </w:divBdr>
    </w:div>
    <w:div w:id="900872008">
      <w:bodyDiv w:val="1"/>
      <w:marLeft w:val="0"/>
      <w:marRight w:val="0"/>
      <w:marTop w:val="0"/>
      <w:marBottom w:val="0"/>
      <w:divBdr>
        <w:top w:val="none" w:sz="0" w:space="0" w:color="auto"/>
        <w:left w:val="none" w:sz="0" w:space="0" w:color="auto"/>
        <w:bottom w:val="none" w:sz="0" w:space="0" w:color="auto"/>
        <w:right w:val="none" w:sz="0" w:space="0" w:color="auto"/>
      </w:divBdr>
    </w:div>
    <w:div w:id="910189754">
      <w:bodyDiv w:val="1"/>
      <w:marLeft w:val="0"/>
      <w:marRight w:val="0"/>
      <w:marTop w:val="0"/>
      <w:marBottom w:val="0"/>
      <w:divBdr>
        <w:top w:val="none" w:sz="0" w:space="0" w:color="auto"/>
        <w:left w:val="none" w:sz="0" w:space="0" w:color="auto"/>
        <w:bottom w:val="none" w:sz="0" w:space="0" w:color="auto"/>
        <w:right w:val="none" w:sz="0" w:space="0" w:color="auto"/>
      </w:divBdr>
    </w:div>
    <w:div w:id="923760406">
      <w:bodyDiv w:val="1"/>
      <w:marLeft w:val="0"/>
      <w:marRight w:val="0"/>
      <w:marTop w:val="0"/>
      <w:marBottom w:val="0"/>
      <w:divBdr>
        <w:top w:val="none" w:sz="0" w:space="0" w:color="auto"/>
        <w:left w:val="none" w:sz="0" w:space="0" w:color="auto"/>
        <w:bottom w:val="none" w:sz="0" w:space="0" w:color="auto"/>
        <w:right w:val="none" w:sz="0" w:space="0" w:color="auto"/>
      </w:divBdr>
    </w:div>
    <w:div w:id="938830444">
      <w:bodyDiv w:val="1"/>
      <w:marLeft w:val="0"/>
      <w:marRight w:val="0"/>
      <w:marTop w:val="0"/>
      <w:marBottom w:val="0"/>
      <w:divBdr>
        <w:top w:val="none" w:sz="0" w:space="0" w:color="auto"/>
        <w:left w:val="none" w:sz="0" w:space="0" w:color="auto"/>
        <w:bottom w:val="none" w:sz="0" w:space="0" w:color="auto"/>
        <w:right w:val="none" w:sz="0" w:space="0" w:color="auto"/>
      </w:divBdr>
    </w:div>
    <w:div w:id="1002242626">
      <w:bodyDiv w:val="1"/>
      <w:marLeft w:val="0"/>
      <w:marRight w:val="0"/>
      <w:marTop w:val="0"/>
      <w:marBottom w:val="0"/>
      <w:divBdr>
        <w:top w:val="none" w:sz="0" w:space="0" w:color="auto"/>
        <w:left w:val="none" w:sz="0" w:space="0" w:color="auto"/>
        <w:bottom w:val="none" w:sz="0" w:space="0" w:color="auto"/>
        <w:right w:val="none" w:sz="0" w:space="0" w:color="auto"/>
      </w:divBdr>
    </w:div>
    <w:div w:id="1064640999">
      <w:bodyDiv w:val="1"/>
      <w:marLeft w:val="0"/>
      <w:marRight w:val="0"/>
      <w:marTop w:val="0"/>
      <w:marBottom w:val="0"/>
      <w:divBdr>
        <w:top w:val="none" w:sz="0" w:space="0" w:color="auto"/>
        <w:left w:val="none" w:sz="0" w:space="0" w:color="auto"/>
        <w:bottom w:val="none" w:sz="0" w:space="0" w:color="auto"/>
        <w:right w:val="none" w:sz="0" w:space="0" w:color="auto"/>
      </w:divBdr>
    </w:div>
    <w:div w:id="1212158128">
      <w:bodyDiv w:val="1"/>
      <w:marLeft w:val="0"/>
      <w:marRight w:val="0"/>
      <w:marTop w:val="0"/>
      <w:marBottom w:val="0"/>
      <w:divBdr>
        <w:top w:val="none" w:sz="0" w:space="0" w:color="auto"/>
        <w:left w:val="none" w:sz="0" w:space="0" w:color="auto"/>
        <w:bottom w:val="none" w:sz="0" w:space="0" w:color="auto"/>
        <w:right w:val="none" w:sz="0" w:space="0" w:color="auto"/>
      </w:divBdr>
    </w:div>
    <w:div w:id="1296762417">
      <w:bodyDiv w:val="1"/>
      <w:marLeft w:val="0"/>
      <w:marRight w:val="0"/>
      <w:marTop w:val="0"/>
      <w:marBottom w:val="0"/>
      <w:divBdr>
        <w:top w:val="none" w:sz="0" w:space="0" w:color="auto"/>
        <w:left w:val="none" w:sz="0" w:space="0" w:color="auto"/>
        <w:bottom w:val="none" w:sz="0" w:space="0" w:color="auto"/>
        <w:right w:val="none" w:sz="0" w:space="0" w:color="auto"/>
      </w:divBdr>
    </w:div>
    <w:div w:id="1316373034">
      <w:bodyDiv w:val="1"/>
      <w:marLeft w:val="0"/>
      <w:marRight w:val="0"/>
      <w:marTop w:val="0"/>
      <w:marBottom w:val="0"/>
      <w:divBdr>
        <w:top w:val="none" w:sz="0" w:space="0" w:color="auto"/>
        <w:left w:val="none" w:sz="0" w:space="0" w:color="auto"/>
        <w:bottom w:val="none" w:sz="0" w:space="0" w:color="auto"/>
        <w:right w:val="none" w:sz="0" w:space="0" w:color="auto"/>
      </w:divBdr>
    </w:div>
    <w:div w:id="1645504549">
      <w:bodyDiv w:val="1"/>
      <w:marLeft w:val="0"/>
      <w:marRight w:val="0"/>
      <w:marTop w:val="0"/>
      <w:marBottom w:val="0"/>
      <w:divBdr>
        <w:top w:val="none" w:sz="0" w:space="0" w:color="auto"/>
        <w:left w:val="none" w:sz="0" w:space="0" w:color="auto"/>
        <w:bottom w:val="none" w:sz="0" w:space="0" w:color="auto"/>
        <w:right w:val="none" w:sz="0" w:space="0" w:color="auto"/>
      </w:divBdr>
    </w:div>
    <w:div w:id="1668633213">
      <w:bodyDiv w:val="1"/>
      <w:marLeft w:val="0"/>
      <w:marRight w:val="0"/>
      <w:marTop w:val="0"/>
      <w:marBottom w:val="0"/>
      <w:divBdr>
        <w:top w:val="none" w:sz="0" w:space="0" w:color="auto"/>
        <w:left w:val="none" w:sz="0" w:space="0" w:color="auto"/>
        <w:bottom w:val="none" w:sz="0" w:space="0" w:color="auto"/>
        <w:right w:val="none" w:sz="0" w:space="0" w:color="auto"/>
      </w:divBdr>
    </w:div>
    <w:div w:id="1676298669">
      <w:bodyDiv w:val="1"/>
      <w:marLeft w:val="0"/>
      <w:marRight w:val="0"/>
      <w:marTop w:val="0"/>
      <w:marBottom w:val="0"/>
      <w:divBdr>
        <w:top w:val="none" w:sz="0" w:space="0" w:color="auto"/>
        <w:left w:val="none" w:sz="0" w:space="0" w:color="auto"/>
        <w:bottom w:val="none" w:sz="0" w:space="0" w:color="auto"/>
        <w:right w:val="none" w:sz="0" w:space="0" w:color="auto"/>
      </w:divBdr>
    </w:div>
    <w:div w:id="1767843262">
      <w:bodyDiv w:val="1"/>
      <w:marLeft w:val="0"/>
      <w:marRight w:val="0"/>
      <w:marTop w:val="0"/>
      <w:marBottom w:val="0"/>
      <w:divBdr>
        <w:top w:val="none" w:sz="0" w:space="0" w:color="auto"/>
        <w:left w:val="none" w:sz="0" w:space="0" w:color="auto"/>
        <w:bottom w:val="none" w:sz="0" w:space="0" w:color="auto"/>
        <w:right w:val="none" w:sz="0" w:space="0" w:color="auto"/>
      </w:divBdr>
      <w:divsChild>
        <w:div w:id="519706898">
          <w:marLeft w:val="0"/>
          <w:marRight w:val="0"/>
          <w:marTop w:val="0"/>
          <w:marBottom w:val="0"/>
          <w:divBdr>
            <w:top w:val="none" w:sz="0" w:space="0" w:color="auto"/>
            <w:left w:val="none" w:sz="0" w:space="0" w:color="auto"/>
            <w:bottom w:val="none" w:sz="0" w:space="0" w:color="auto"/>
            <w:right w:val="none" w:sz="0" w:space="0" w:color="auto"/>
          </w:divBdr>
        </w:div>
      </w:divsChild>
    </w:div>
    <w:div w:id="1771311555">
      <w:bodyDiv w:val="1"/>
      <w:marLeft w:val="0"/>
      <w:marRight w:val="0"/>
      <w:marTop w:val="0"/>
      <w:marBottom w:val="0"/>
      <w:divBdr>
        <w:top w:val="none" w:sz="0" w:space="0" w:color="auto"/>
        <w:left w:val="none" w:sz="0" w:space="0" w:color="auto"/>
        <w:bottom w:val="none" w:sz="0" w:space="0" w:color="auto"/>
        <w:right w:val="none" w:sz="0" w:space="0" w:color="auto"/>
      </w:divBdr>
    </w:div>
    <w:div w:id="1980648666">
      <w:bodyDiv w:val="1"/>
      <w:marLeft w:val="0"/>
      <w:marRight w:val="0"/>
      <w:marTop w:val="0"/>
      <w:marBottom w:val="0"/>
      <w:divBdr>
        <w:top w:val="none" w:sz="0" w:space="0" w:color="auto"/>
        <w:left w:val="none" w:sz="0" w:space="0" w:color="auto"/>
        <w:bottom w:val="none" w:sz="0" w:space="0" w:color="auto"/>
        <w:right w:val="none" w:sz="0" w:space="0" w:color="auto"/>
      </w:divBdr>
    </w:div>
    <w:div w:id="20104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ngage.vic.gov.au/" TargetMode="External"/><Relationship Id="rId17" Type="http://schemas.openxmlformats.org/officeDocument/2006/relationships/hyperlink" Target="mailto:GeneralOrdersLegislativeInstruments@dpc.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vic.gov.au/requirements-updating-subordinate-legislation-legislativ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neralOrdersLegislativeInstruments@dpc.vic.gov.a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etterregulation.vic.gov.au/files/98181269-905c-4893-bff3-%20a6bb009df93c/Victorian-Guide-to-Regulation-PDF-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48F0180-1AAA-4C7F-B5F1-DC1F2B76954D}">
  <ds:schemaRefs>
    <ds:schemaRef ds:uri="http://schemas.openxmlformats.org/officeDocument/2006/bibliography"/>
  </ds:schemaRefs>
</ds:datastoreItem>
</file>

<file path=customXml/itemProps2.xml><?xml version="1.0" encoding="utf-8"?>
<ds:datastoreItem xmlns:ds="http://schemas.openxmlformats.org/officeDocument/2006/customXml" ds:itemID="{13CD9F36-418E-4437-A980-654AE95668B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21049</Words>
  <Characters>119985</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140753</CharactersWithSpaces>
  <SharedDoc>false</SharedDoc>
  <HyperlinkBase/>
  <HLinks>
    <vt:vector size="426" baseType="variant">
      <vt:variant>
        <vt:i4>589857</vt:i4>
      </vt:variant>
      <vt:variant>
        <vt:i4>408</vt:i4>
      </vt:variant>
      <vt:variant>
        <vt:i4>0</vt:i4>
      </vt:variant>
      <vt:variant>
        <vt:i4>5</vt:i4>
      </vt:variant>
      <vt:variant>
        <vt:lpwstr>mailto:GeneralOrdersLegislativeInstruments@dpc.vic.gov.au</vt:lpwstr>
      </vt:variant>
      <vt:variant>
        <vt:lpwstr/>
      </vt:variant>
      <vt:variant>
        <vt:i4>2621551</vt:i4>
      </vt:variant>
      <vt:variant>
        <vt:i4>405</vt:i4>
      </vt:variant>
      <vt:variant>
        <vt:i4>0</vt:i4>
      </vt:variant>
      <vt:variant>
        <vt:i4>5</vt:i4>
      </vt:variant>
      <vt:variant>
        <vt:lpwstr>http://www.vic.gov.au/requirements-updating-subordinate-legislation-legislative</vt:lpwstr>
      </vt:variant>
      <vt:variant>
        <vt:lpwstr/>
      </vt:variant>
      <vt:variant>
        <vt:i4>2031664</vt:i4>
      </vt:variant>
      <vt:variant>
        <vt:i4>398</vt:i4>
      </vt:variant>
      <vt:variant>
        <vt:i4>0</vt:i4>
      </vt:variant>
      <vt:variant>
        <vt:i4>5</vt:i4>
      </vt:variant>
      <vt:variant>
        <vt:lpwstr/>
      </vt:variant>
      <vt:variant>
        <vt:lpwstr>_Toc69737664</vt:lpwstr>
      </vt:variant>
      <vt:variant>
        <vt:i4>1572912</vt:i4>
      </vt:variant>
      <vt:variant>
        <vt:i4>392</vt:i4>
      </vt:variant>
      <vt:variant>
        <vt:i4>0</vt:i4>
      </vt:variant>
      <vt:variant>
        <vt:i4>5</vt:i4>
      </vt:variant>
      <vt:variant>
        <vt:lpwstr/>
      </vt:variant>
      <vt:variant>
        <vt:lpwstr>_Toc69737663</vt:lpwstr>
      </vt:variant>
      <vt:variant>
        <vt:i4>1638448</vt:i4>
      </vt:variant>
      <vt:variant>
        <vt:i4>386</vt:i4>
      </vt:variant>
      <vt:variant>
        <vt:i4>0</vt:i4>
      </vt:variant>
      <vt:variant>
        <vt:i4>5</vt:i4>
      </vt:variant>
      <vt:variant>
        <vt:lpwstr/>
      </vt:variant>
      <vt:variant>
        <vt:lpwstr>_Toc69737662</vt:lpwstr>
      </vt:variant>
      <vt:variant>
        <vt:i4>1703984</vt:i4>
      </vt:variant>
      <vt:variant>
        <vt:i4>380</vt:i4>
      </vt:variant>
      <vt:variant>
        <vt:i4>0</vt:i4>
      </vt:variant>
      <vt:variant>
        <vt:i4>5</vt:i4>
      </vt:variant>
      <vt:variant>
        <vt:lpwstr/>
      </vt:variant>
      <vt:variant>
        <vt:lpwstr>_Toc69737661</vt:lpwstr>
      </vt:variant>
      <vt:variant>
        <vt:i4>1769520</vt:i4>
      </vt:variant>
      <vt:variant>
        <vt:i4>374</vt:i4>
      </vt:variant>
      <vt:variant>
        <vt:i4>0</vt:i4>
      </vt:variant>
      <vt:variant>
        <vt:i4>5</vt:i4>
      </vt:variant>
      <vt:variant>
        <vt:lpwstr/>
      </vt:variant>
      <vt:variant>
        <vt:lpwstr>_Toc69737660</vt:lpwstr>
      </vt:variant>
      <vt:variant>
        <vt:i4>1179699</vt:i4>
      </vt:variant>
      <vt:variant>
        <vt:i4>368</vt:i4>
      </vt:variant>
      <vt:variant>
        <vt:i4>0</vt:i4>
      </vt:variant>
      <vt:variant>
        <vt:i4>5</vt:i4>
      </vt:variant>
      <vt:variant>
        <vt:lpwstr/>
      </vt:variant>
      <vt:variant>
        <vt:lpwstr>_Toc69737659</vt:lpwstr>
      </vt:variant>
      <vt:variant>
        <vt:i4>1245235</vt:i4>
      </vt:variant>
      <vt:variant>
        <vt:i4>362</vt:i4>
      </vt:variant>
      <vt:variant>
        <vt:i4>0</vt:i4>
      </vt:variant>
      <vt:variant>
        <vt:i4>5</vt:i4>
      </vt:variant>
      <vt:variant>
        <vt:lpwstr/>
      </vt:variant>
      <vt:variant>
        <vt:lpwstr>_Toc69737658</vt:lpwstr>
      </vt:variant>
      <vt:variant>
        <vt:i4>1835059</vt:i4>
      </vt:variant>
      <vt:variant>
        <vt:i4>356</vt:i4>
      </vt:variant>
      <vt:variant>
        <vt:i4>0</vt:i4>
      </vt:variant>
      <vt:variant>
        <vt:i4>5</vt:i4>
      </vt:variant>
      <vt:variant>
        <vt:lpwstr/>
      </vt:variant>
      <vt:variant>
        <vt:lpwstr>_Toc69737657</vt:lpwstr>
      </vt:variant>
      <vt:variant>
        <vt:i4>1900595</vt:i4>
      </vt:variant>
      <vt:variant>
        <vt:i4>350</vt:i4>
      </vt:variant>
      <vt:variant>
        <vt:i4>0</vt:i4>
      </vt:variant>
      <vt:variant>
        <vt:i4>5</vt:i4>
      </vt:variant>
      <vt:variant>
        <vt:lpwstr/>
      </vt:variant>
      <vt:variant>
        <vt:lpwstr>_Toc69737656</vt:lpwstr>
      </vt:variant>
      <vt:variant>
        <vt:i4>1966131</vt:i4>
      </vt:variant>
      <vt:variant>
        <vt:i4>344</vt:i4>
      </vt:variant>
      <vt:variant>
        <vt:i4>0</vt:i4>
      </vt:variant>
      <vt:variant>
        <vt:i4>5</vt:i4>
      </vt:variant>
      <vt:variant>
        <vt:lpwstr/>
      </vt:variant>
      <vt:variant>
        <vt:lpwstr>_Toc69737655</vt:lpwstr>
      </vt:variant>
      <vt:variant>
        <vt:i4>2031667</vt:i4>
      </vt:variant>
      <vt:variant>
        <vt:i4>338</vt:i4>
      </vt:variant>
      <vt:variant>
        <vt:i4>0</vt:i4>
      </vt:variant>
      <vt:variant>
        <vt:i4>5</vt:i4>
      </vt:variant>
      <vt:variant>
        <vt:lpwstr/>
      </vt:variant>
      <vt:variant>
        <vt:lpwstr>_Toc69737654</vt:lpwstr>
      </vt:variant>
      <vt:variant>
        <vt:i4>1572915</vt:i4>
      </vt:variant>
      <vt:variant>
        <vt:i4>332</vt:i4>
      </vt:variant>
      <vt:variant>
        <vt:i4>0</vt:i4>
      </vt:variant>
      <vt:variant>
        <vt:i4>5</vt:i4>
      </vt:variant>
      <vt:variant>
        <vt:lpwstr/>
      </vt:variant>
      <vt:variant>
        <vt:lpwstr>_Toc69737653</vt:lpwstr>
      </vt:variant>
      <vt:variant>
        <vt:i4>1638451</vt:i4>
      </vt:variant>
      <vt:variant>
        <vt:i4>326</vt:i4>
      </vt:variant>
      <vt:variant>
        <vt:i4>0</vt:i4>
      </vt:variant>
      <vt:variant>
        <vt:i4>5</vt:i4>
      </vt:variant>
      <vt:variant>
        <vt:lpwstr/>
      </vt:variant>
      <vt:variant>
        <vt:lpwstr>_Toc69737652</vt:lpwstr>
      </vt:variant>
      <vt:variant>
        <vt:i4>1703987</vt:i4>
      </vt:variant>
      <vt:variant>
        <vt:i4>320</vt:i4>
      </vt:variant>
      <vt:variant>
        <vt:i4>0</vt:i4>
      </vt:variant>
      <vt:variant>
        <vt:i4>5</vt:i4>
      </vt:variant>
      <vt:variant>
        <vt:lpwstr/>
      </vt:variant>
      <vt:variant>
        <vt:lpwstr>_Toc69737651</vt:lpwstr>
      </vt:variant>
      <vt:variant>
        <vt:i4>1769523</vt:i4>
      </vt:variant>
      <vt:variant>
        <vt:i4>314</vt:i4>
      </vt:variant>
      <vt:variant>
        <vt:i4>0</vt:i4>
      </vt:variant>
      <vt:variant>
        <vt:i4>5</vt:i4>
      </vt:variant>
      <vt:variant>
        <vt:lpwstr/>
      </vt:variant>
      <vt:variant>
        <vt:lpwstr>_Toc69737650</vt:lpwstr>
      </vt:variant>
      <vt:variant>
        <vt:i4>1179698</vt:i4>
      </vt:variant>
      <vt:variant>
        <vt:i4>308</vt:i4>
      </vt:variant>
      <vt:variant>
        <vt:i4>0</vt:i4>
      </vt:variant>
      <vt:variant>
        <vt:i4>5</vt:i4>
      </vt:variant>
      <vt:variant>
        <vt:lpwstr/>
      </vt:variant>
      <vt:variant>
        <vt:lpwstr>_Toc69737649</vt:lpwstr>
      </vt:variant>
      <vt:variant>
        <vt:i4>1245234</vt:i4>
      </vt:variant>
      <vt:variant>
        <vt:i4>302</vt:i4>
      </vt:variant>
      <vt:variant>
        <vt:i4>0</vt:i4>
      </vt:variant>
      <vt:variant>
        <vt:i4>5</vt:i4>
      </vt:variant>
      <vt:variant>
        <vt:lpwstr/>
      </vt:variant>
      <vt:variant>
        <vt:lpwstr>_Toc69737648</vt:lpwstr>
      </vt:variant>
      <vt:variant>
        <vt:i4>1835058</vt:i4>
      </vt:variant>
      <vt:variant>
        <vt:i4>296</vt:i4>
      </vt:variant>
      <vt:variant>
        <vt:i4>0</vt:i4>
      </vt:variant>
      <vt:variant>
        <vt:i4>5</vt:i4>
      </vt:variant>
      <vt:variant>
        <vt:lpwstr/>
      </vt:variant>
      <vt:variant>
        <vt:lpwstr>_Toc69737647</vt:lpwstr>
      </vt:variant>
      <vt:variant>
        <vt:i4>1900594</vt:i4>
      </vt:variant>
      <vt:variant>
        <vt:i4>290</vt:i4>
      </vt:variant>
      <vt:variant>
        <vt:i4>0</vt:i4>
      </vt:variant>
      <vt:variant>
        <vt:i4>5</vt:i4>
      </vt:variant>
      <vt:variant>
        <vt:lpwstr/>
      </vt:variant>
      <vt:variant>
        <vt:lpwstr>_Toc69737646</vt:lpwstr>
      </vt:variant>
      <vt:variant>
        <vt:i4>1966130</vt:i4>
      </vt:variant>
      <vt:variant>
        <vt:i4>284</vt:i4>
      </vt:variant>
      <vt:variant>
        <vt:i4>0</vt:i4>
      </vt:variant>
      <vt:variant>
        <vt:i4>5</vt:i4>
      </vt:variant>
      <vt:variant>
        <vt:lpwstr/>
      </vt:variant>
      <vt:variant>
        <vt:lpwstr>_Toc69737645</vt:lpwstr>
      </vt:variant>
      <vt:variant>
        <vt:i4>2031666</vt:i4>
      </vt:variant>
      <vt:variant>
        <vt:i4>278</vt:i4>
      </vt:variant>
      <vt:variant>
        <vt:i4>0</vt:i4>
      </vt:variant>
      <vt:variant>
        <vt:i4>5</vt:i4>
      </vt:variant>
      <vt:variant>
        <vt:lpwstr/>
      </vt:variant>
      <vt:variant>
        <vt:lpwstr>_Toc69737644</vt:lpwstr>
      </vt:variant>
      <vt:variant>
        <vt:i4>1572914</vt:i4>
      </vt:variant>
      <vt:variant>
        <vt:i4>272</vt:i4>
      </vt:variant>
      <vt:variant>
        <vt:i4>0</vt:i4>
      </vt:variant>
      <vt:variant>
        <vt:i4>5</vt:i4>
      </vt:variant>
      <vt:variant>
        <vt:lpwstr/>
      </vt:variant>
      <vt:variant>
        <vt:lpwstr>_Toc69737643</vt:lpwstr>
      </vt:variant>
      <vt:variant>
        <vt:i4>1638450</vt:i4>
      </vt:variant>
      <vt:variant>
        <vt:i4>266</vt:i4>
      </vt:variant>
      <vt:variant>
        <vt:i4>0</vt:i4>
      </vt:variant>
      <vt:variant>
        <vt:i4>5</vt:i4>
      </vt:variant>
      <vt:variant>
        <vt:lpwstr/>
      </vt:variant>
      <vt:variant>
        <vt:lpwstr>_Toc69737642</vt:lpwstr>
      </vt:variant>
      <vt:variant>
        <vt:i4>1703986</vt:i4>
      </vt:variant>
      <vt:variant>
        <vt:i4>260</vt:i4>
      </vt:variant>
      <vt:variant>
        <vt:i4>0</vt:i4>
      </vt:variant>
      <vt:variant>
        <vt:i4>5</vt:i4>
      </vt:variant>
      <vt:variant>
        <vt:lpwstr/>
      </vt:variant>
      <vt:variant>
        <vt:lpwstr>_Toc69737641</vt:lpwstr>
      </vt:variant>
      <vt:variant>
        <vt:i4>1769522</vt:i4>
      </vt:variant>
      <vt:variant>
        <vt:i4>254</vt:i4>
      </vt:variant>
      <vt:variant>
        <vt:i4>0</vt:i4>
      </vt:variant>
      <vt:variant>
        <vt:i4>5</vt:i4>
      </vt:variant>
      <vt:variant>
        <vt:lpwstr/>
      </vt:variant>
      <vt:variant>
        <vt:lpwstr>_Toc69737640</vt:lpwstr>
      </vt:variant>
      <vt:variant>
        <vt:i4>1179701</vt:i4>
      </vt:variant>
      <vt:variant>
        <vt:i4>248</vt:i4>
      </vt:variant>
      <vt:variant>
        <vt:i4>0</vt:i4>
      </vt:variant>
      <vt:variant>
        <vt:i4>5</vt:i4>
      </vt:variant>
      <vt:variant>
        <vt:lpwstr/>
      </vt:variant>
      <vt:variant>
        <vt:lpwstr>_Toc69737639</vt:lpwstr>
      </vt:variant>
      <vt:variant>
        <vt:i4>1245237</vt:i4>
      </vt:variant>
      <vt:variant>
        <vt:i4>242</vt:i4>
      </vt:variant>
      <vt:variant>
        <vt:i4>0</vt:i4>
      </vt:variant>
      <vt:variant>
        <vt:i4>5</vt:i4>
      </vt:variant>
      <vt:variant>
        <vt:lpwstr/>
      </vt:variant>
      <vt:variant>
        <vt:lpwstr>_Toc69737638</vt:lpwstr>
      </vt:variant>
      <vt:variant>
        <vt:i4>1835061</vt:i4>
      </vt:variant>
      <vt:variant>
        <vt:i4>236</vt:i4>
      </vt:variant>
      <vt:variant>
        <vt:i4>0</vt:i4>
      </vt:variant>
      <vt:variant>
        <vt:i4>5</vt:i4>
      </vt:variant>
      <vt:variant>
        <vt:lpwstr/>
      </vt:variant>
      <vt:variant>
        <vt:lpwstr>_Toc69737637</vt:lpwstr>
      </vt:variant>
      <vt:variant>
        <vt:i4>1900597</vt:i4>
      </vt:variant>
      <vt:variant>
        <vt:i4>230</vt:i4>
      </vt:variant>
      <vt:variant>
        <vt:i4>0</vt:i4>
      </vt:variant>
      <vt:variant>
        <vt:i4>5</vt:i4>
      </vt:variant>
      <vt:variant>
        <vt:lpwstr/>
      </vt:variant>
      <vt:variant>
        <vt:lpwstr>_Toc69737636</vt:lpwstr>
      </vt:variant>
      <vt:variant>
        <vt:i4>1966133</vt:i4>
      </vt:variant>
      <vt:variant>
        <vt:i4>224</vt:i4>
      </vt:variant>
      <vt:variant>
        <vt:i4>0</vt:i4>
      </vt:variant>
      <vt:variant>
        <vt:i4>5</vt:i4>
      </vt:variant>
      <vt:variant>
        <vt:lpwstr/>
      </vt:variant>
      <vt:variant>
        <vt:lpwstr>_Toc69737635</vt:lpwstr>
      </vt:variant>
      <vt:variant>
        <vt:i4>2031669</vt:i4>
      </vt:variant>
      <vt:variant>
        <vt:i4>218</vt:i4>
      </vt:variant>
      <vt:variant>
        <vt:i4>0</vt:i4>
      </vt:variant>
      <vt:variant>
        <vt:i4>5</vt:i4>
      </vt:variant>
      <vt:variant>
        <vt:lpwstr/>
      </vt:variant>
      <vt:variant>
        <vt:lpwstr>_Toc69737634</vt:lpwstr>
      </vt:variant>
      <vt:variant>
        <vt:i4>1572917</vt:i4>
      </vt:variant>
      <vt:variant>
        <vt:i4>212</vt:i4>
      </vt:variant>
      <vt:variant>
        <vt:i4>0</vt:i4>
      </vt:variant>
      <vt:variant>
        <vt:i4>5</vt:i4>
      </vt:variant>
      <vt:variant>
        <vt:lpwstr/>
      </vt:variant>
      <vt:variant>
        <vt:lpwstr>_Toc69737633</vt:lpwstr>
      </vt:variant>
      <vt:variant>
        <vt:i4>1638453</vt:i4>
      </vt:variant>
      <vt:variant>
        <vt:i4>206</vt:i4>
      </vt:variant>
      <vt:variant>
        <vt:i4>0</vt:i4>
      </vt:variant>
      <vt:variant>
        <vt:i4>5</vt:i4>
      </vt:variant>
      <vt:variant>
        <vt:lpwstr/>
      </vt:variant>
      <vt:variant>
        <vt:lpwstr>_Toc69737632</vt:lpwstr>
      </vt:variant>
      <vt:variant>
        <vt:i4>1703989</vt:i4>
      </vt:variant>
      <vt:variant>
        <vt:i4>200</vt:i4>
      </vt:variant>
      <vt:variant>
        <vt:i4>0</vt:i4>
      </vt:variant>
      <vt:variant>
        <vt:i4>5</vt:i4>
      </vt:variant>
      <vt:variant>
        <vt:lpwstr/>
      </vt:variant>
      <vt:variant>
        <vt:lpwstr>_Toc69737631</vt:lpwstr>
      </vt:variant>
      <vt:variant>
        <vt:i4>1769525</vt:i4>
      </vt:variant>
      <vt:variant>
        <vt:i4>194</vt:i4>
      </vt:variant>
      <vt:variant>
        <vt:i4>0</vt:i4>
      </vt:variant>
      <vt:variant>
        <vt:i4>5</vt:i4>
      </vt:variant>
      <vt:variant>
        <vt:lpwstr/>
      </vt:variant>
      <vt:variant>
        <vt:lpwstr>_Toc69737630</vt:lpwstr>
      </vt:variant>
      <vt:variant>
        <vt:i4>1179700</vt:i4>
      </vt:variant>
      <vt:variant>
        <vt:i4>188</vt:i4>
      </vt:variant>
      <vt:variant>
        <vt:i4>0</vt:i4>
      </vt:variant>
      <vt:variant>
        <vt:i4>5</vt:i4>
      </vt:variant>
      <vt:variant>
        <vt:lpwstr/>
      </vt:variant>
      <vt:variant>
        <vt:lpwstr>_Toc69737629</vt:lpwstr>
      </vt:variant>
      <vt:variant>
        <vt:i4>1245236</vt:i4>
      </vt:variant>
      <vt:variant>
        <vt:i4>182</vt:i4>
      </vt:variant>
      <vt:variant>
        <vt:i4>0</vt:i4>
      </vt:variant>
      <vt:variant>
        <vt:i4>5</vt:i4>
      </vt:variant>
      <vt:variant>
        <vt:lpwstr/>
      </vt:variant>
      <vt:variant>
        <vt:lpwstr>_Toc69737628</vt:lpwstr>
      </vt:variant>
      <vt:variant>
        <vt:i4>1835060</vt:i4>
      </vt:variant>
      <vt:variant>
        <vt:i4>176</vt:i4>
      </vt:variant>
      <vt:variant>
        <vt:i4>0</vt:i4>
      </vt:variant>
      <vt:variant>
        <vt:i4>5</vt:i4>
      </vt:variant>
      <vt:variant>
        <vt:lpwstr/>
      </vt:variant>
      <vt:variant>
        <vt:lpwstr>_Toc69737627</vt:lpwstr>
      </vt:variant>
      <vt:variant>
        <vt:i4>1900596</vt:i4>
      </vt:variant>
      <vt:variant>
        <vt:i4>170</vt:i4>
      </vt:variant>
      <vt:variant>
        <vt:i4>0</vt:i4>
      </vt:variant>
      <vt:variant>
        <vt:i4>5</vt:i4>
      </vt:variant>
      <vt:variant>
        <vt:lpwstr/>
      </vt:variant>
      <vt:variant>
        <vt:lpwstr>_Toc69737626</vt:lpwstr>
      </vt:variant>
      <vt:variant>
        <vt:i4>1966132</vt:i4>
      </vt:variant>
      <vt:variant>
        <vt:i4>164</vt:i4>
      </vt:variant>
      <vt:variant>
        <vt:i4>0</vt:i4>
      </vt:variant>
      <vt:variant>
        <vt:i4>5</vt:i4>
      </vt:variant>
      <vt:variant>
        <vt:lpwstr/>
      </vt:variant>
      <vt:variant>
        <vt:lpwstr>_Toc69737625</vt:lpwstr>
      </vt:variant>
      <vt:variant>
        <vt:i4>2031668</vt:i4>
      </vt:variant>
      <vt:variant>
        <vt:i4>158</vt:i4>
      </vt:variant>
      <vt:variant>
        <vt:i4>0</vt:i4>
      </vt:variant>
      <vt:variant>
        <vt:i4>5</vt:i4>
      </vt:variant>
      <vt:variant>
        <vt:lpwstr/>
      </vt:variant>
      <vt:variant>
        <vt:lpwstr>_Toc69737624</vt:lpwstr>
      </vt:variant>
      <vt:variant>
        <vt:i4>1572916</vt:i4>
      </vt:variant>
      <vt:variant>
        <vt:i4>152</vt:i4>
      </vt:variant>
      <vt:variant>
        <vt:i4>0</vt:i4>
      </vt:variant>
      <vt:variant>
        <vt:i4>5</vt:i4>
      </vt:variant>
      <vt:variant>
        <vt:lpwstr/>
      </vt:variant>
      <vt:variant>
        <vt:lpwstr>_Toc69737623</vt:lpwstr>
      </vt:variant>
      <vt:variant>
        <vt:i4>1638452</vt:i4>
      </vt:variant>
      <vt:variant>
        <vt:i4>146</vt:i4>
      </vt:variant>
      <vt:variant>
        <vt:i4>0</vt:i4>
      </vt:variant>
      <vt:variant>
        <vt:i4>5</vt:i4>
      </vt:variant>
      <vt:variant>
        <vt:lpwstr/>
      </vt:variant>
      <vt:variant>
        <vt:lpwstr>_Toc69737622</vt:lpwstr>
      </vt:variant>
      <vt:variant>
        <vt:i4>1703988</vt:i4>
      </vt:variant>
      <vt:variant>
        <vt:i4>140</vt:i4>
      </vt:variant>
      <vt:variant>
        <vt:i4>0</vt:i4>
      </vt:variant>
      <vt:variant>
        <vt:i4>5</vt:i4>
      </vt:variant>
      <vt:variant>
        <vt:lpwstr/>
      </vt:variant>
      <vt:variant>
        <vt:lpwstr>_Toc69737621</vt:lpwstr>
      </vt:variant>
      <vt:variant>
        <vt:i4>1769524</vt:i4>
      </vt:variant>
      <vt:variant>
        <vt:i4>134</vt:i4>
      </vt:variant>
      <vt:variant>
        <vt:i4>0</vt:i4>
      </vt:variant>
      <vt:variant>
        <vt:i4>5</vt:i4>
      </vt:variant>
      <vt:variant>
        <vt:lpwstr/>
      </vt:variant>
      <vt:variant>
        <vt:lpwstr>_Toc69737620</vt:lpwstr>
      </vt:variant>
      <vt:variant>
        <vt:i4>1179703</vt:i4>
      </vt:variant>
      <vt:variant>
        <vt:i4>128</vt:i4>
      </vt:variant>
      <vt:variant>
        <vt:i4>0</vt:i4>
      </vt:variant>
      <vt:variant>
        <vt:i4>5</vt:i4>
      </vt:variant>
      <vt:variant>
        <vt:lpwstr/>
      </vt:variant>
      <vt:variant>
        <vt:lpwstr>_Toc69737619</vt:lpwstr>
      </vt:variant>
      <vt:variant>
        <vt:i4>1245239</vt:i4>
      </vt:variant>
      <vt:variant>
        <vt:i4>122</vt:i4>
      </vt:variant>
      <vt:variant>
        <vt:i4>0</vt:i4>
      </vt:variant>
      <vt:variant>
        <vt:i4>5</vt:i4>
      </vt:variant>
      <vt:variant>
        <vt:lpwstr/>
      </vt:variant>
      <vt:variant>
        <vt:lpwstr>_Toc69737618</vt:lpwstr>
      </vt:variant>
      <vt:variant>
        <vt:i4>1835063</vt:i4>
      </vt:variant>
      <vt:variant>
        <vt:i4>116</vt:i4>
      </vt:variant>
      <vt:variant>
        <vt:i4>0</vt:i4>
      </vt:variant>
      <vt:variant>
        <vt:i4>5</vt:i4>
      </vt:variant>
      <vt:variant>
        <vt:lpwstr/>
      </vt:variant>
      <vt:variant>
        <vt:lpwstr>_Toc69737617</vt:lpwstr>
      </vt:variant>
      <vt:variant>
        <vt:i4>1900599</vt:i4>
      </vt:variant>
      <vt:variant>
        <vt:i4>110</vt:i4>
      </vt:variant>
      <vt:variant>
        <vt:i4>0</vt:i4>
      </vt:variant>
      <vt:variant>
        <vt:i4>5</vt:i4>
      </vt:variant>
      <vt:variant>
        <vt:lpwstr/>
      </vt:variant>
      <vt:variant>
        <vt:lpwstr>_Toc69737616</vt:lpwstr>
      </vt:variant>
      <vt:variant>
        <vt:i4>1966135</vt:i4>
      </vt:variant>
      <vt:variant>
        <vt:i4>104</vt:i4>
      </vt:variant>
      <vt:variant>
        <vt:i4>0</vt:i4>
      </vt:variant>
      <vt:variant>
        <vt:i4>5</vt:i4>
      </vt:variant>
      <vt:variant>
        <vt:lpwstr/>
      </vt:variant>
      <vt:variant>
        <vt:lpwstr>_Toc69737615</vt:lpwstr>
      </vt:variant>
      <vt:variant>
        <vt:i4>2031671</vt:i4>
      </vt:variant>
      <vt:variant>
        <vt:i4>98</vt:i4>
      </vt:variant>
      <vt:variant>
        <vt:i4>0</vt:i4>
      </vt:variant>
      <vt:variant>
        <vt:i4>5</vt:i4>
      </vt:variant>
      <vt:variant>
        <vt:lpwstr/>
      </vt:variant>
      <vt:variant>
        <vt:lpwstr>_Toc69737614</vt:lpwstr>
      </vt:variant>
      <vt:variant>
        <vt:i4>1572919</vt:i4>
      </vt:variant>
      <vt:variant>
        <vt:i4>92</vt:i4>
      </vt:variant>
      <vt:variant>
        <vt:i4>0</vt:i4>
      </vt:variant>
      <vt:variant>
        <vt:i4>5</vt:i4>
      </vt:variant>
      <vt:variant>
        <vt:lpwstr/>
      </vt:variant>
      <vt:variant>
        <vt:lpwstr>_Toc69737613</vt:lpwstr>
      </vt:variant>
      <vt:variant>
        <vt:i4>1638455</vt:i4>
      </vt:variant>
      <vt:variant>
        <vt:i4>86</vt:i4>
      </vt:variant>
      <vt:variant>
        <vt:i4>0</vt:i4>
      </vt:variant>
      <vt:variant>
        <vt:i4>5</vt:i4>
      </vt:variant>
      <vt:variant>
        <vt:lpwstr/>
      </vt:variant>
      <vt:variant>
        <vt:lpwstr>_Toc69737612</vt:lpwstr>
      </vt:variant>
      <vt:variant>
        <vt:i4>1703991</vt:i4>
      </vt:variant>
      <vt:variant>
        <vt:i4>80</vt:i4>
      </vt:variant>
      <vt:variant>
        <vt:i4>0</vt:i4>
      </vt:variant>
      <vt:variant>
        <vt:i4>5</vt:i4>
      </vt:variant>
      <vt:variant>
        <vt:lpwstr/>
      </vt:variant>
      <vt:variant>
        <vt:lpwstr>_Toc69737611</vt:lpwstr>
      </vt:variant>
      <vt:variant>
        <vt:i4>1769527</vt:i4>
      </vt:variant>
      <vt:variant>
        <vt:i4>74</vt:i4>
      </vt:variant>
      <vt:variant>
        <vt:i4>0</vt:i4>
      </vt:variant>
      <vt:variant>
        <vt:i4>5</vt:i4>
      </vt:variant>
      <vt:variant>
        <vt:lpwstr/>
      </vt:variant>
      <vt:variant>
        <vt:lpwstr>_Toc69737610</vt:lpwstr>
      </vt:variant>
      <vt:variant>
        <vt:i4>1179702</vt:i4>
      </vt:variant>
      <vt:variant>
        <vt:i4>68</vt:i4>
      </vt:variant>
      <vt:variant>
        <vt:i4>0</vt:i4>
      </vt:variant>
      <vt:variant>
        <vt:i4>5</vt:i4>
      </vt:variant>
      <vt:variant>
        <vt:lpwstr/>
      </vt:variant>
      <vt:variant>
        <vt:lpwstr>_Toc69737609</vt:lpwstr>
      </vt:variant>
      <vt:variant>
        <vt:i4>1245238</vt:i4>
      </vt:variant>
      <vt:variant>
        <vt:i4>62</vt:i4>
      </vt:variant>
      <vt:variant>
        <vt:i4>0</vt:i4>
      </vt:variant>
      <vt:variant>
        <vt:i4>5</vt:i4>
      </vt:variant>
      <vt:variant>
        <vt:lpwstr/>
      </vt:variant>
      <vt:variant>
        <vt:lpwstr>_Toc69737608</vt:lpwstr>
      </vt:variant>
      <vt:variant>
        <vt:i4>1835062</vt:i4>
      </vt:variant>
      <vt:variant>
        <vt:i4>56</vt:i4>
      </vt:variant>
      <vt:variant>
        <vt:i4>0</vt:i4>
      </vt:variant>
      <vt:variant>
        <vt:i4>5</vt:i4>
      </vt:variant>
      <vt:variant>
        <vt:lpwstr/>
      </vt:variant>
      <vt:variant>
        <vt:lpwstr>_Toc69737607</vt:lpwstr>
      </vt:variant>
      <vt:variant>
        <vt:i4>1900598</vt:i4>
      </vt:variant>
      <vt:variant>
        <vt:i4>50</vt:i4>
      </vt:variant>
      <vt:variant>
        <vt:i4>0</vt:i4>
      </vt:variant>
      <vt:variant>
        <vt:i4>5</vt:i4>
      </vt:variant>
      <vt:variant>
        <vt:lpwstr/>
      </vt:variant>
      <vt:variant>
        <vt:lpwstr>_Toc69737606</vt:lpwstr>
      </vt:variant>
      <vt:variant>
        <vt:i4>1966134</vt:i4>
      </vt:variant>
      <vt:variant>
        <vt:i4>44</vt:i4>
      </vt:variant>
      <vt:variant>
        <vt:i4>0</vt:i4>
      </vt:variant>
      <vt:variant>
        <vt:i4>5</vt:i4>
      </vt:variant>
      <vt:variant>
        <vt:lpwstr/>
      </vt:variant>
      <vt:variant>
        <vt:lpwstr>_Toc69737605</vt:lpwstr>
      </vt:variant>
      <vt:variant>
        <vt:i4>2031670</vt:i4>
      </vt:variant>
      <vt:variant>
        <vt:i4>38</vt:i4>
      </vt:variant>
      <vt:variant>
        <vt:i4>0</vt:i4>
      </vt:variant>
      <vt:variant>
        <vt:i4>5</vt:i4>
      </vt:variant>
      <vt:variant>
        <vt:lpwstr/>
      </vt:variant>
      <vt:variant>
        <vt:lpwstr>_Toc69737604</vt:lpwstr>
      </vt:variant>
      <vt:variant>
        <vt:i4>1572918</vt:i4>
      </vt:variant>
      <vt:variant>
        <vt:i4>32</vt:i4>
      </vt:variant>
      <vt:variant>
        <vt:i4>0</vt:i4>
      </vt:variant>
      <vt:variant>
        <vt:i4>5</vt:i4>
      </vt:variant>
      <vt:variant>
        <vt:lpwstr/>
      </vt:variant>
      <vt:variant>
        <vt:lpwstr>_Toc69737603</vt:lpwstr>
      </vt:variant>
      <vt:variant>
        <vt:i4>1638454</vt:i4>
      </vt:variant>
      <vt:variant>
        <vt:i4>26</vt:i4>
      </vt:variant>
      <vt:variant>
        <vt:i4>0</vt:i4>
      </vt:variant>
      <vt:variant>
        <vt:i4>5</vt:i4>
      </vt:variant>
      <vt:variant>
        <vt:lpwstr/>
      </vt:variant>
      <vt:variant>
        <vt:lpwstr>_Toc69737602</vt:lpwstr>
      </vt:variant>
      <vt:variant>
        <vt:i4>1703990</vt:i4>
      </vt:variant>
      <vt:variant>
        <vt:i4>20</vt:i4>
      </vt:variant>
      <vt:variant>
        <vt:i4>0</vt:i4>
      </vt:variant>
      <vt:variant>
        <vt:i4>5</vt:i4>
      </vt:variant>
      <vt:variant>
        <vt:lpwstr/>
      </vt:variant>
      <vt:variant>
        <vt:lpwstr>_Toc69737601</vt:lpwstr>
      </vt:variant>
      <vt:variant>
        <vt:i4>1769526</vt:i4>
      </vt:variant>
      <vt:variant>
        <vt:i4>14</vt:i4>
      </vt:variant>
      <vt:variant>
        <vt:i4>0</vt:i4>
      </vt:variant>
      <vt:variant>
        <vt:i4>5</vt:i4>
      </vt:variant>
      <vt:variant>
        <vt:lpwstr/>
      </vt:variant>
      <vt:variant>
        <vt:lpwstr>_Toc69737600</vt:lpwstr>
      </vt:variant>
      <vt:variant>
        <vt:i4>1114175</vt:i4>
      </vt:variant>
      <vt:variant>
        <vt:i4>8</vt:i4>
      </vt:variant>
      <vt:variant>
        <vt:i4>0</vt:i4>
      </vt:variant>
      <vt:variant>
        <vt:i4>5</vt:i4>
      </vt:variant>
      <vt:variant>
        <vt:lpwstr/>
      </vt:variant>
      <vt:variant>
        <vt:lpwstr>_Toc69737599</vt:lpwstr>
      </vt:variant>
      <vt:variant>
        <vt:i4>3211384</vt:i4>
      </vt:variant>
      <vt:variant>
        <vt:i4>3</vt:i4>
      </vt:variant>
      <vt:variant>
        <vt:i4>0</vt:i4>
      </vt:variant>
      <vt:variant>
        <vt:i4>5</vt:i4>
      </vt:variant>
      <vt:variant>
        <vt:lpwstr>https://engage.vic.gov.au/</vt:lpwstr>
      </vt:variant>
      <vt:variant>
        <vt:lpwstr/>
      </vt:variant>
      <vt:variant>
        <vt:i4>589857</vt:i4>
      </vt:variant>
      <vt:variant>
        <vt:i4>0</vt:i4>
      </vt:variant>
      <vt:variant>
        <vt:i4>0</vt:i4>
      </vt:variant>
      <vt:variant>
        <vt:i4>5</vt:i4>
      </vt:variant>
      <vt:variant>
        <vt:lpwstr>mailto:GeneralOrdersLegislativeInstruments@dpc.vic.gov.au</vt:lpwstr>
      </vt:variant>
      <vt:variant>
        <vt:lpwstr/>
      </vt:variant>
      <vt:variant>
        <vt:i4>3997792</vt:i4>
      </vt:variant>
      <vt:variant>
        <vt:i4>0</vt:i4>
      </vt:variant>
      <vt:variant>
        <vt:i4>0</vt:i4>
      </vt:variant>
      <vt:variant>
        <vt:i4>5</vt:i4>
      </vt:variant>
      <vt:variant>
        <vt:lpwstr>http://www.betterregulation.vic.gov.au/files/98181269-905c-4893-bff3- a6bb009df93c/Victorian-Guide-to-Regulation-PDF-final.pdf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2021-04-23T06:22:00Z</dcterms:created>
  <dcterms:modified xsi:type="dcterms:W3CDTF">2021-04-23T06:23:00Z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2021-04-23T06:23:55Z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f029f9eb-f1ba-4e12-ad94-d55f08759aa2</vt:lpwstr>
  </property>
  <property fmtid="{D5CDD505-2E9C-101B-9397-08002B2CF9AE}" pid="8" name="MSIP_Label_7158ebbd-6c5e-441f-bfc9-4eb8c11e3978_ContentBits">
    <vt:lpwstr>2</vt:lpwstr>
  </property>
</Properties>
</file>