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9221BE" w14:textId="77A2EE8D" w:rsidR="001E349B" w:rsidRPr="00806743" w:rsidRDefault="00696214" w:rsidP="00391E07">
      <w:pPr>
        <w:tabs>
          <w:tab w:val="left" w:pos="142"/>
        </w:tabs>
        <w:rPr>
          <w:rFonts w:asciiTheme="majorHAnsi" w:hAnsiTheme="majorHAnsi"/>
          <w:sz w:val="17"/>
          <w:szCs w:val="17"/>
        </w:rPr>
      </w:pPr>
      <w:bookmarkStart w:id="0" w:name="Frontpage_Logo_Negativ"/>
      <w:r w:rsidRPr="00806743">
        <w:rPr>
          <w:rFonts w:asciiTheme="majorHAnsi" w:hAnsiTheme="majorHAnsi"/>
          <w:noProof/>
          <w:sz w:val="17"/>
          <w:szCs w:val="17"/>
          <w:lang w:eastAsia="en-AU"/>
        </w:rPr>
        <w:drawing>
          <wp:anchor distT="0" distB="0" distL="0" distR="0" simplePos="0" relativeHeight="251658243" behindDoc="0" locked="0" layoutInCell="1" allowOverlap="1" wp14:anchorId="2A9224C7" wp14:editId="0941FB65">
            <wp:simplePos x="0" y="0"/>
            <wp:positionH relativeFrom="margin">
              <wp:align>left</wp:align>
            </wp:positionH>
            <wp:positionV relativeFrom="topMargin">
              <wp:align>bottom</wp:align>
            </wp:positionV>
            <wp:extent cx="2085975" cy="934571"/>
            <wp:effectExtent l="0" t="0" r="0" b="0"/>
            <wp:wrapNone/>
            <wp:docPr id="4" name="Frontpage_Logo_Negativ">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89793624" name="Frontpage_Logo_Negativ"/>
                    <pic:cNvPicPr/>
                  </pic:nvPicPr>
                  <pic:blipFill>
                    <a:blip r:embed="rId13"/>
                    <a:srcRect/>
                    <a:stretch/>
                  </pic:blipFill>
                  <pic:spPr>
                    <a:xfrm>
                      <a:off x="0" y="0"/>
                      <a:ext cx="2085975" cy="934571"/>
                    </a:xfrm>
                    <a:prstGeom prst="rect">
                      <a:avLst/>
                    </a:prstGeom>
                  </pic:spPr>
                </pic:pic>
              </a:graphicData>
            </a:graphic>
            <wp14:sizeRelV relativeFrom="margin">
              <wp14:pctHeight>0</wp14:pctHeight>
            </wp14:sizeRelV>
          </wp:anchor>
        </w:drawing>
      </w:r>
      <w:r w:rsidR="00FB2C3E" w:rsidRPr="00806743">
        <w:rPr>
          <w:rFonts w:asciiTheme="majorHAnsi" w:hAnsiTheme="majorHAnsi"/>
          <w:noProof/>
          <w:sz w:val="17"/>
          <w:szCs w:val="17"/>
          <w:lang w:eastAsia="en-AU"/>
        </w:rPr>
        <w:drawing>
          <wp:anchor distT="0" distB="0" distL="114300" distR="114300" simplePos="0" relativeHeight="251658244" behindDoc="0" locked="0" layoutInCell="1" allowOverlap="1" wp14:anchorId="2A9224C5" wp14:editId="298E4613">
            <wp:simplePos x="0" y="0"/>
            <wp:positionH relativeFrom="page">
              <wp:posOffset>428625</wp:posOffset>
            </wp:positionH>
            <wp:positionV relativeFrom="page">
              <wp:posOffset>427990</wp:posOffset>
            </wp:positionV>
            <wp:extent cx="2084070" cy="914400"/>
            <wp:effectExtent l="0" t="0" r="0" b="0"/>
            <wp:wrapNone/>
            <wp:docPr id="1" name="Frontpage_Logo_Positiv"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66776721" name="Frontpage_Logo_Positiv"/>
                    <pic:cNvPicPr/>
                  </pic:nvPicPr>
                  <pic:blipFill>
                    <a:blip r:embed="rId14" cstate="print">
                      <a:extLst>
                        <a:ext uri="{28A0092B-C50C-407E-A947-70E740481C1C}">
                          <a14:useLocalDpi xmlns:a14="http://schemas.microsoft.com/office/drawing/2010/main" val="0"/>
                        </a:ext>
                      </a:extLst>
                    </a:blip>
                    <a:srcRect/>
                    <a:stretch/>
                  </pic:blipFill>
                  <pic:spPr>
                    <a:xfrm>
                      <a:off x="0" y="0"/>
                      <a:ext cx="2084070" cy="914400"/>
                    </a:xfrm>
                    <a:prstGeom prst="rect">
                      <a:avLst/>
                    </a:prstGeom>
                  </pic:spPr>
                </pic:pic>
              </a:graphicData>
            </a:graphic>
          </wp:anchor>
        </w:drawing>
      </w:r>
      <w:bookmarkEnd w:id="0"/>
      <w:r w:rsidR="00810485">
        <w:rPr>
          <w:rFonts w:asciiTheme="majorHAnsi" w:hAnsiTheme="majorHAnsi"/>
          <w:sz w:val="17"/>
          <w:szCs w:val="17"/>
        </w:rPr>
        <w:t>STNDARDS</w:t>
      </w:r>
    </w:p>
    <w:p w14:paraId="2A9221BF" w14:textId="52A96C79" w:rsidR="001E349B" w:rsidRPr="00806743" w:rsidRDefault="002634E4" w:rsidP="001E349B">
      <w:pPr>
        <w:rPr>
          <w:rFonts w:asciiTheme="majorHAnsi" w:hAnsiTheme="majorHAnsi"/>
          <w:sz w:val="17"/>
          <w:szCs w:val="17"/>
        </w:rPr>
      </w:pPr>
      <w:r w:rsidRPr="002634E4">
        <w:rPr>
          <w:b/>
          <w:noProof/>
          <w:lang w:eastAsia="en-AU"/>
        </w:rPr>
        <w:drawing>
          <wp:anchor distT="0" distB="0" distL="114300" distR="114300" simplePos="0" relativeHeight="251658245" behindDoc="0" locked="0" layoutInCell="1" allowOverlap="1" wp14:anchorId="3005A40C" wp14:editId="43560099">
            <wp:simplePos x="0" y="0"/>
            <wp:positionH relativeFrom="margin">
              <wp:posOffset>355600</wp:posOffset>
            </wp:positionH>
            <wp:positionV relativeFrom="margin">
              <wp:posOffset>472332</wp:posOffset>
            </wp:positionV>
            <wp:extent cx="6055995" cy="6030595"/>
            <wp:effectExtent l="0" t="0" r="1905" b="8255"/>
            <wp:wrapTopAndBottom/>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hall\Downloads\shutterstock_140683453_-_Copy_l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5995" cy="6030595"/>
                    </a:xfrm>
                    <a:prstGeom prst="rect">
                      <a:avLst/>
                    </a:prstGeom>
                    <a:noFill/>
                    <a:ln>
                      <a:noFill/>
                    </a:ln>
                  </pic:spPr>
                </pic:pic>
              </a:graphicData>
            </a:graphic>
          </wp:anchor>
        </w:drawing>
      </w:r>
      <w:r w:rsidR="00031008" w:rsidRPr="00806743">
        <w:rPr>
          <w:rFonts w:asciiTheme="majorHAnsi" w:hAnsiTheme="majorHAnsi"/>
          <w:noProof/>
          <w:sz w:val="17"/>
          <w:szCs w:val="17"/>
          <w:lang w:eastAsia="en-AU"/>
        </w:rPr>
        <w:drawing>
          <wp:anchor distT="0" distB="0" distL="114300" distR="114300" simplePos="0" relativeHeight="251658246" behindDoc="0" locked="0" layoutInCell="1" allowOverlap="1" wp14:anchorId="2A9224C9" wp14:editId="52231BCC">
            <wp:simplePos x="0" y="0"/>
            <wp:positionH relativeFrom="page">
              <wp:posOffset>5148580</wp:posOffset>
            </wp:positionH>
            <wp:positionV relativeFrom="page">
              <wp:posOffset>9595485</wp:posOffset>
            </wp:positionV>
            <wp:extent cx="2005200" cy="529200"/>
            <wp:effectExtent l="0" t="0" r="0" b="0"/>
            <wp:wrapNone/>
            <wp:docPr id="475882791" name="Frontpage_Logo_Positiv"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75882791" name="Frontpage_Logo_Positiv"/>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5200" cy="529200"/>
                    </a:xfrm>
                    <a:prstGeom prst="rect">
                      <a:avLst/>
                    </a:prstGeom>
                  </pic:spPr>
                </pic:pic>
              </a:graphicData>
            </a:graphic>
            <wp14:sizeRelH relativeFrom="margin">
              <wp14:pctWidth>0</wp14:pctWidth>
            </wp14:sizeRelH>
            <wp14:sizeRelV relativeFrom="margin">
              <wp14:pctHeight>0</wp14:pctHeight>
            </wp14:sizeRelV>
          </wp:anchor>
        </w:drawing>
      </w:r>
      <w:r w:rsidR="001E349B" w:rsidRPr="00806743">
        <w:rPr>
          <w:rFonts w:asciiTheme="majorHAnsi" w:hAnsiTheme="majorHAnsi"/>
          <w:noProof/>
          <w:sz w:val="17"/>
          <w:szCs w:val="17"/>
          <w:lang w:eastAsia="en-AU"/>
        </w:rPr>
        <mc:AlternateContent>
          <mc:Choice Requires="wps">
            <w:drawing>
              <wp:anchor distT="0" distB="0" distL="114300" distR="114300" simplePos="0" relativeHeight="251658241" behindDoc="1" locked="1" layoutInCell="1" allowOverlap="1" wp14:anchorId="2A9224CB" wp14:editId="27EE333C">
                <wp:simplePos x="0" y="0"/>
                <wp:positionH relativeFrom="page">
                  <wp:align>left</wp:align>
                </wp:positionH>
                <wp:positionV relativeFrom="page">
                  <wp:align>top</wp:align>
                </wp:positionV>
                <wp:extent cx="7596000" cy="10728000"/>
                <wp:effectExtent l="0" t="0" r="5080" b="0"/>
                <wp:wrapNone/>
                <wp:docPr id="35" name="Frontpag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6000" cy="10728000"/>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B797E5" w14:textId="77777777" w:rsidR="0082085F" w:rsidRDefault="0082085F" w:rsidP="00F12EFB">
                            <w:pPr>
                              <w:jc w:val="center"/>
                              <w:rPr>
                                <w:noProof/>
                                <w:lang w:eastAsia="en-AU"/>
                              </w:rPr>
                            </w:pPr>
                          </w:p>
                          <w:p w14:paraId="769245CC" w14:textId="77777777" w:rsidR="0082085F" w:rsidRDefault="0082085F" w:rsidP="00F12EFB">
                            <w:pPr>
                              <w:jc w:val="center"/>
                              <w:rPr>
                                <w:noProof/>
                                <w:lang w:eastAsia="en-AU"/>
                              </w:rPr>
                            </w:pPr>
                          </w:p>
                          <w:p w14:paraId="2A7E594D" w14:textId="77777777" w:rsidR="0082085F" w:rsidRDefault="0082085F" w:rsidP="00F12EFB">
                            <w:pPr>
                              <w:jc w:val="center"/>
                              <w:rPr>
                                <w:noProof/>
                                <w:lang w:eastAsia="en-AU"/>
                              </w:rPr>
                            </w:pPr>
                          </w:p>
                          <w:p w14:paraId="2A922535" w14:textId="760CF95E" w:rsidR="0082085F" w:rsidRPr="002634E4" w:rsidRDefault="0082085F" w:rsidP="00F12EFB">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224CB" id="FrontpageBackground" o:spid="_x0000_s1026" style="position:absolute;margin-left:0;margin-top:0;width:598.1pt;height:844.7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" fillcolor="black" stroked="f" strokeweight="2pt">
                <v:textbox>
                  <w:txbxContent>
                    <w:p w14:paraId="77B797E5" w14:textId="77777777" w:rsidR="0082085F" w:rsidRDefault="0082085F" w:rsidP="00F12EFB">
                      <w:pPr>
                        <w:jc w:val="center"/>
                        <w:rPr>
                          <w:noProof/>
                          <w:lang w:eastAsia="en-AU"/>
                        </w:rPr>
                      </w:pPr>
                    </w:p>
                    <w:p w14:paraId="769245CC" w14:textId="77777777" w:rsidR="0082085F" w:rsidRDefault="0082085F" w:rsidP="00F12EFB">
                      <w:pPr>
                        <w:jc w:val="center"/>
                        <w:rPr>
                          <w:noProof/>
                          <w:lang w:eastAsia="en-AU"/>
                        </w:rPr>
                      </w:pPr>
                    </w:p>
                    <w:p w14:paraId="2A7E594D" w14:textId="77777777" w:rsidR="0082085F" w:rsidRDefault="0082085F" w:rsidP="00F12EFB">
                      <w:pPr>
                        <w:jc w:val="center"/>
                        <w:rPr>
                          <w:noProof/>
                          <w:lang w:eastAsia="en-AU"/>
                        </w:rPr>
                      </w:pPr>
                    </w:p>
                    <w:p w14:paraId="2A922535" w14:textId="760CF95E" w:rsidR="0082085F" w:rsidRPr="002634E4" w:rsidRDefault="0082085F" w:rsidP="00F12EFB">
                      <w:pPr>
                        <w:jc w:val="center"/>
                        <w:rPr>
                          <w:b/>
                        </w:rPr>
                      </w:pPr>
                    </w:p>
                  </w:txbxContent>
                </v:textbox>
                <w10:wrap anchorx="page" anchory="page"/>
                <w10:anchorlock/>
              </v:rect>
            </w:pict>
          </mc:Fallback>
        </mc:AlternateContent>
      </w:r>
      <w:r w:rsidR="001E349B" w:rsidRPr="00806743">
        <w:rPr>
          <w:rFonts w:asciiTheme="majorHAnsi" w:hAnsiTheme="majorHAnsi"/>
          <w:noProof/>
          <w:sz w:val="17"/>
          <w:szCs w:val="17"/>
          <w:lang w:eastAsia="en-AU"/>
        </w:rPr>
        <mc:AlternateContent>
          <mc:Choice Requires="wps">
            <w:drawing>
              <wp:anchor distT="0" distB="0" distL="114300" distR="114300" simplePos="0" relativeHeight="251658242" behindDoc="0" locked="1" layoutInCell="1" allowOverlap="1" wp14:anchorId="2A9224CD" wp14:editId="78303B44">
                <wp:simplePos x="0" y="0"/>
                <wp:positionH relativeFrom="page">
                  <wp:posOffset>431165</wp:posOffset>
                </wp:positionH>
                <wp:positionV relativeFrom="page">
                  <wp:posOffset>360680</wp:posOffset>
                </wp:positionV>
                <wp:extent cx="6746875" cy="10095865"/>
                <wp:effectExtent l="0" t="0" r="0" b="635"/>
                <wp:wrapNone/>
                <wp:docPr id="36" name="Logo and frontpag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46875" cy="10095865"/>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ayout w:type="fixed"/>
                              <w:tblLook w:val="04A0" w:firstRow="1" w:lastRow="0" w:firstColumn="1" w:lastColumn="0" w:noHBand="0" w:noVBand="1"/>
                            </w:tblPr>
                            <w:tblGrid>
                              <w:gridCol w:w="10603"/>
                            </w:tblGrid>
                            <w:tr w:rsidR="0082085F" w:rsidRPr="00507AB2" w14:paraId="2A922537" w14:textId="77777777" w:rsidTr="00D34B9D">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2A922536" w14:textId="77777777" w:rsidR="0082085F" w:rsidRPr="000276F0" w:rsidRDefault="0082085F" w:rsidP="00D34B9D">
                                  <w:pPr>
                                    <w:rPr>
                                      <w:color w:val="FFFFFF" w:themeColor="background1"/>
                                    </w:rPr>
                                  </w:pPr>
                                </w:p>
                              </w:tc>
                            </w:tr>
                            <w:tr w:rsidR="0082085F" w:rsidRPr="00507AB2" w14:paraId="2A922539" w14:textId="77777777" w:rsidTr="00981018">
                              <w:trPr>
                                <w:trHeight w:hRule="exact" w:val="10603"/>
                              </w:trPr>
                              <w:tc>
                                <w:tcPr>
                                  <w:tcW w:w="10603" w:type="dxa"/>
                                </w:tcPr>
                                <w:p w14:paraId="2A922538" w14:textId="2CF5696B" w:rsidR="0082085F" w:rsidRPr="000276F0" w:rsidRDefault="0082085F" w:rsidP="00CC4A0B">
                                  <w:pPr>
                                    <w:pStyle w:val="FPPicture"/>
                                    <w:ind w:left="0"/>
                                    <w:rPr>
                                      <w:color w:val="FFFFFF" w:themeColor="background1"/>
                                    </w:rPr>
                                  </w:pPr>
                                </w:p>
                              </w:tc>
                            </w:tr>
                          </w:tbl>
                          <w:p w14:paraId="01A450BC" w14:textId="77777777" w:rsidR="0082085F" w:rsidRDefault="0082085F" w:rsidP="00981018">
                            <w:pPr>
                              <w:pStyle w:val="NoSpacing"/>
                              <w:rPr>
                                <w:color w:val="FFFFFF" w:themeColor="background1"/>
                              </w:rPr>
                            </w:pPr>
                          </w:p>
                          <w:p w14:paraId="54F67C2B" w14:textId="77777777" w:rsidR="0082085F" w:rsidRDefault="0082085F" w:rsidP="00981018">
                            <w:pPr>
                              <w:pStyle w:val="NoSpacing"/>
                              <w:rPr>
                                <w:color w:val="FFFFFF" w:themeColor="background1"/>
                              </w:rPr>
                            </w:pPr>
                          </w:p>
                          <w:p w14:paraId="032656B2" w14:textId="77777777" w:rsidR="0082085F" w:rsidRDefault="0082085F" w:rsidP="00981018">
                            <w:pPr>
                              <w:pStyle w:val="NoSpacing"/>
                              <w:rPr>
                                <w:color w:val="FFFFFF" w:themeColor="background1"/>
                              </w:rPr>
                            </w:pPr>
                          </w:p>
                          <w:p w14:paraId="3FAAEE9A" w14:textId="77777777" w:rsidR="0082085F" w:rsidRDefault="0082085F" w:rsidP="00981018">
                            <w:pPr>
                              <w:pStyle w:val="NoSpacing"/>
                              <w:rPr>
                                <w:color w:val="FFFFFF" w:themeColor="background1"/>
                              </w:rPr>
                            </w:pPr>
                          </w:p>
                          <w:p w14:paraId="09F28E7E" w14:textId="3951337E" w:rsidR="0082085F" w:rsidRDefault="0082085F" w:rsidP="00981018">
                            <w:pPr>
                              <w:pStyle w:val="NoSpacing"/>
                              <w:rPr>
                                <w:color w:val="FFFFFF" w:themeColor="background1"/>
                              </w:rPr>
                            </w:pPr>
                          </w:p>
                          <w:p w14:paraId="6F178A3A" w14:textId="751EC868" w:rsidR="0082085F" w:rsidRDefault="0082085F" w:rsidP="00981018">
                            <w:pPr>
                              <w:pStyle w:val="NoSpacing"/>
                              <w:rPr>
                                <w:color w:val="FFFFFF" w:themeColor="background1"/>
                              </w:rPr>
                            </w:pPr>
                          </w:p>
                          <w:p w14:paraId="38FB2901" w14:textId="1660E282" w:rsidR="0082085F" w:rsidRDefault="0082085F" w:rsidP="00981018">
                            <w:pPr>
                              <w:pStyle w:val="NoSpacing"/>
                              <w:rPr>
                                <w:color w:val="FFFFFF" w:themeColor="background1"/>
                              </w:rPr>
                            </w:pPr>
                          </w:p>
                          <w:p w14:paraId="2A92253A" w14:textId="1B904D4F" w:rsidR="0082085F" w:rsidRPr="00473E4D" w:rsidRDefault="0082085F" w:rsidP="00981018">
                            <w:pPr>
                              <w:pStyle w:val="NoSpacing"/>
                              <w:rPr>
                                <w:color w:val="FFFFFF" w:themeColor="background1"/>
                                <w:sz w:val="36"/>
                                <w:szCs w:val="36"/>
                              </w:rPr>
                            </w:pPr>
                            <w:r w:rsidRPr="00473E4D">
                              <w:rPr>
                                <w:color w:val="FFFFFF" w:themeColor="background1"/>
                                <w:sz w:val="36"/>
                                <w:szCs w:val="36"/>
                              </w:rPr>
                              <w:t>Regulatory Impact Statement</w:t>
                            </w:r>
                          </w:p>
                          <w:p w14:paraId="235D7486" w14:textId="534BF0A6" w:rsidR="0082085F" w:rsidRPr="00473E4D" w:rsidRDefault="0082085F" w:rsidP="00981018">
                            <w:pPr>
                              <w:pStyle w:val="NoSpacing"/>
                              <w:rPr>
                                <w:color w:val="FFFFFF" w:themeColor="background1"/>
                                <w:sz w:val="36"/>
                                <w:szCs w:val="36"/>
                              </w:rPr>
                            </w:pPr>
                          </w:p>
                          <w:p w14:paraId="498C9664" w14:textId="77777777" w:rsidR="0082085F" w:rsidRDefault="0082085F" w:rsidP="00981018">
                            <w:pPr>
                              <w:pStyle w:val="NoSpacing"/>
                              <w:rPr>
                                <w:color w:val="FFFFFF" w:themeColor="background1"/>
                                <w:sz w:val="36"/>
                                <w:szCs w:val="36"/>
                              </w:rPr>
                            </w:pPr>
                            <w:r w:rsidRPr="00473E4D">
                              <w:rPr>
                                <w:color w:val="FFFFFF" w:themeColor="background1"/>
                                <w:sz w:val="36"/>
                                <w:szCs w:val="36"/>
                              </w:rPr>
                              <w:t xml:space="preserve">Phase out of Open Flued </w:t>
                            </w:r>
                          </w:p>
                          <w:p w14:paraId="34C1D0C3" w14:textId="18A6941B" w:rsidR="0082085F" w:rsidRPr="00473E4D" w:rsidRDefault="0082085F" w:rsidP="00981018">
                            <w:pPr>
                              <w:pStyle w:val="NoSpacing"/>
                              <w:rPr>
                                <w:color w:val="FFFFFF" w:themeColor="background1"/>
                                <w:sz w:val="36"/>
                                <w:szCs w:val="36"/>
                              </w:rPr>
                            </w:pPr>
                            <w:r w:rsidRPr="00473E4D">
                              <w:rPr>
                                <w:color w:val="FFFFFF" w:themeColor="background1"/>
                                <w:sz w:val="36"/>
                                <w:szCs w:val="36"/>
                              </w:rPr>
                              <w:t>Gas Space Heaters</w:t>
                            </w:r>
                          </w:p>
                          <w:p w14:paraId="5B8A9CA3" w14:textId="6FA80A5B" w:rsidR="0082085F" w:rsidRDefault="0082085F" w:rsidP="00981018">
                            <w:pPr>
                              <w:pStyle w:val="NoSpacing"/>
                              <w:rPr>
                                <w:color w:val="FFFFFF" w:themeColor="background1"/>
                              </w:rPr>
                            </w:pPr>
                          </w:p>
                          <w:p w14:paraId="1CA2298A" w14:textId="14205CF1" w:rsidR="0082085F" w:rsidRDefault="0082085F" w:rsidP="00981018">
                            <w:pPr>
                              <w:pStyle w:val="NoSpacing"/>
                              <w:rPr>
                                <w:color w:val="FFFFFF" w:themeColor="background1"/>
                              </w:rPr>
                            </w:pPr>
                          </w:p>
                          <w:p w14:paraId="389A39CE" w14:textId="0FA86CC7" w:rsidR="0082085F" w:rsidRDefault="0082085F" w:rsidP="00981018">
                            <w:pPr>
                              <w:pStyle w:val="NoSpacing"/>
                              <w:rPr>
                                <w:color w:val="FFFFFF" w:themeColor="background1"/>
                              </w:rPr>
                            </w:pPr>
                          </w:p>
                          <w:p w14:paraId="4B61D912" w14:textId="03D16C06" w:rsidR="0082085F" w:rsidRDefault="0082085F" w:rsidP="00981018">
                            <w:pPr>
                              <w:pStyle w:val="NoSpacing"/>
                              <w:rPr>
                                <w:color w:val="FFFFFF" w:themeColor="background1"/>
                              </w:rPr>
                            </w:pPr>
                          </w:p>
                          <w:p w14:paraId="1429C58D" w14:textId="218C5B83" w:rsidR="0082085F" w:rsidRDefault="0082085F" w:rsidP="00981018">
                            <w:pPr>
                              <w:pStyle w:val="NoSpacing"/>
                              <w:rPr>
                                <w:color w:val="FFFFFF" w:themeColor="background1"/>
                              </w:rPr>
                            </w:pPr>
                          </w:p>
                          <w:p w14:paraId="209F674A" w14:textId="77777777" w:rsidR="0082085F" w:rsidRPr="000276F0" w:rsidRDefault="0082085F" w:rsidP="00981018">
                            <w:pPr>
                              <w:pStyle w:val="NoSpacing"/>
                              <w:rPr>
                                <w:color w:val="FFFFFF" w:themeColor="background1"/>
                              </w:rPr>
                            </w:pPr>
                          </w:p>
                          <w:p w14:paraId="2A92253B" w14:textId="4E07E2FF" w:rsidR="0082085F" w:rsidRPr="000276F0" w:rsidRDefault="0082085F" w:rsidP="00981018">
                            <w:pPr>
                              <w:pStyle w:val="NoSpacing"/>
                              <w:rPr>
                                <w:color w:val="FFFFFF" w:themeColor="background1"/>
                              </w:rPr>
                            </w:pPr>
                          </w:p>
                          <w:p w14:paraId="1F9C217D" w14:textId="5B1B2E5F" w:rsidR="0082085F" w:rsidRPr="000276F0" w:rsidRDefault="0082085F" w:rsidP="00981018">
                            <w:pPr>
                              <w:pStyle w:val="NoSpacing"/>
                              <w:rPr>
                                <w:color w:val="FFFFFF" w:themeColor="background1"/>
                              </w:rPr>
                            </w:pPr>
                          </w:p>
                          <w:p w14:paraId="3CCECBAD" w14:textId="77777777" w:rsidR="0082085F" w:rsidRPr="000276F0" w:rsidRDefault="0082085F" w:rsidP="00981018">
                            <w:pPr>
                              <w:pStyle w:val="NoSpacing"/>
                              <w:rPr>
                                <w:color w:val="FFFFFF" w:themeColor="background1"/>
                              </w:rPr>
                            </w:pPr>
                          </w:p>
                          <w:tbl>
                            <w:tblPr>
                              <w:tblStyle w:val="Tabel-Gitter1"/>
                              <w:tblOverlap w:val="never"/>
                              <w:tblW w:w="0" w:type="auto"/>
                              <w:tblLayout w:type="fixed"/>
                              <w:tblLook w:val="04A0" w:firstRow="1" w:lastRow="0" w:firstColumn="1" w:lastColumn="0" w:noHBand="0" w:noVBand="1"/>
                            </w:tblPr>
                            <w:tblGrid>
                              <w:gridCol w:w="20"/>
                            </w:tblGrid>
                            <w:tr w:rsidR="0082085F" w:rsidRPr="00507AB2" w14:paraId="2A92253F" w14:textId="77777777" w:rsidTr="00096B3A">
                              <w:trPr>
                                <w:cnfStyle w:val="100000000000" w:firstRow="1" w:lastRow="0" w:firstColumn="0" w:lastColumn="0" w:oddVBand="0" w:evenVBand="0" w:oddHBand="0" w:evenHBand="0" w:firstRowFirstColumn="0" w:firstRowLastColumn="0" w:lastRowFirstColumn="0" w:lastRowLastColumn="0"/>
                                <w:trHeight w:val="2438"/>
                              </w:trPr>
                              <w:tc>
                                <w:tcPr>
                                  <w:tcW w:w="0" w:type="dxa"/>
                                  <w:vAlign w:val="bottom"/>
                                  <w:hideMark/>
                                </w:tcPr>
                                <w:bookmarkStart w:id="1" w:name="start" w:displacedByCustomXml="next"/>
                                <w:sdt>
                                  <w:sdtPr>
                                    <w:rPr>
                                      <w:color w:val="FFFFFF" w:themeColor="background1"/>
                                    </w:rPr>
                                    <w:alias w:val="Titel"/>
                                    <w:id w:val="-749505301"/>
                                    <w:dataBinding w:prefixMappings="xmlns:ns0='http://purl.org/dc/elements/1.1/' xmlns:ns1='http://schemas.openxmlformats.org/package/2006/metadata/core-properties' " w:xpath="/ns1:coreProperties[1]/ns0:title[1]" w:storeItemID="{6C3C8BC8-F283-45AE-878A-BAB7291924A1}"/>
                                    <w:text/>
                                  </w:sdtPr>
                                  <w:sdtEndPr/>
                                  <w:sdtContent>
                                    <w:p w14:paraId="2A92253C" w14:textId="22EA74BB" w:rsidR="0082085F" w:rsidRPr="000276F0" w:rsidRDefault="0082085F" w:rsidP="007C4146">
                                      <w:pPr>
                                        <w:pStyle w:val="Documenttitle"/>
                                        <w:rPr>
                                          <w:color w:val="FFFFFF" w:themeColor="background1"/>
                                        </w:rPr>
                                      </w:pPr>
                                      <w:r>
                                        <w:rPr>
                                          <w:color w:val="FFFFFF" w:themeColor="background1"/>
                                        </w:rPr>
                                        <w:t>Regulatory Impact Statement: Open Flued Gas Space Heaters</w:t>
                                      </w:r>
                                    </w:p>
                                  </w:sdtContent>
                                </w:sdt>
                                <w:bookmarkEnd w:id="1" w:displacedByCustomXml="prev"/>
                                <w:p w14:paraId="2A92253D" w14:textId="1AC77B9D" w:rsidR="0082085F" w:rsidRPr="000276F0" w:rsidRDefault="0082085F" w:rsidP="005D3CA2">
                                  <w:pPr>
                                    <w:pStyle w:val="Documentsubtitle"/>
                                    <w:rPr>
                                      <w:color w:val="FFFFFF" w:themeColor="background1"/>
                                    </w:rPr>
                                  </w:pPr>
                                  <w:r w:rsidRPr="000276F0">
                                    <w:rPr>
                                      <w:color w:val="FFFFFF" w:themeColor="background1"/>
                                    </w:rPr>
                                    <w:t xml:space="preserve">Department of Environment, Land, Water and Planning  </w:t>
                                  </w:r>
                                </w:p>
                                <w:p w14:paraId="2A92253E" w14:textId="12762B3B" w:rsidR="0082085F" w:rsidRPr="000276F0" w:rsidRDefault="0082085F" w:rsidP="00DC652B">
                                  <w:pPr>
                                    <w:pStyle w:val="Documentdate"/>
                                    <w:rPr>
                                      <w:color w:val="FFFFFF" w:themeColor="background1"/>
                                    </w:rPr>
                                  </w:pPr>
                                  <w:r w:rsidRPr="000276F0">
                                    <w:rPr>
                                      <w:color w:val="FFFFFF" w:themeColor="background1"/>
                                    </w:rPr>
                                    <w:t>November 2020</w:t>
                                  </w:r>
                                </w:p>
                              </w:tc>
                            </w:tr>
                          </w:tbl>
                          <w:p w14:paraId="2A922540" w14:textId="27CE4646" w:rsidR="0082085F" w:rsidRPr="000276F0" w:rsidRDefault="0082085F" w:rsidP="001E349B">
                            <w:pPr>
                              <w:rPr>
                                <w:color w:val="FFFFFF" w:themeColor="background1"/>
                              </w:rPr>
                            </w:pPr>
                            <w:r>
                              <w:rPr>
                                <w:color w:val="FFFFFF" w:themeColor="background1"/>
                              </w:rPr>
                              <w: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224CD" id="_x0000_t202" coordsize="21600,21600" o:spt="202" path="m,l,21600r21600,l21600,xe">
                <v:stroke joinstyle="miter"/>
                <v:path gradientshapeok="t" o:connecttype="rect"/>
              </v:shapetype>
              <v:shape id="Logo and frontpagepicture" o:spid="_x0000_s1027" type="#_x0000_t202" style="position:absolute;margin-left:33.95pt;margin-top:28.4pt;width:531.25pt;height:794.9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" filled="f" fillcolor="white [3201]" stroked="f" strokeweight=".5pt">
                <v:textbox inset="0,0,0,0">
                  <w:txbxContent>
                    <w:tbl>
                      <w:tblPr>
                        <w:tblStyle w:val="TableGrid"/>
                        <w:tblW w:w="0" w:type="auto"/>
                        <w:tblLayout w:type="fixed"/>
                        <w:tblLook w:val="04A0" w:firstRow="1" w:lastRow="0" w:firstColumn="1" w:lastColumn="0" w:noHBand="0" w:noVBand="1"/>
                      </w:tblPr>
                      <w:tblGrid>
                        <w:gridCol w:w="10603"/>
                      </w:tblGrid>
                      <w:tr w:rsidR="0082085F" w:rsidRPr="00507AB2" w14:paraId="2A922537" w14:textId="77777777" w:rsidTr="00D34B9D">
                        <w:trPr>
                          <w:cnfStyle w:val="100000000000" w:firstRow="1" w:lastRow="0" w:firstColumn="0" w:lastColumn="0" w:oddVBand="0" w:evenVBand="0" w:oddHBand="0" w:evenHBand="0" w:firstRowFirstColumn="0" w:firstRowLastColumn="0" w:lastRowFirstColumn="0" w:lastRowLastColumn="0"/>
                          <w:trHeight w:val="1604"/>
                        </w:trPr>
                        <w:tc>
                          <w:tcPr>
                            <w:tcW w:w="10603" w:type="dxa"/>
                          </w:tcPr>
                          <w:p w14:paraId="2A922536" w14:textId="77777777" w:rsidR="0082085F" w:rsidRPr="000276F0" w:rsidRDefault="0082085F" w:rsidP="00D34B9D">
                            <w:pPr>
                              <w:rPr>
                                <w:color w:val="FFFFFF" w:themeColor="background1"/>
                              </w:rPr>
                            </w:pPr>
                          </w:p>
                        </w:tc>
                      </w:tr>
                      <w:tr w:rsidR="0082085F" w:rsidRPr="00507AB2" w14:paraId="2A922539" w14:textId="77777777" w:rsidTr="00981018">
                        <w:trPr>
                          <w:trHeight w:hRule="exact" w:val="10603"/>
                        </w:trPr>
                        <w:tc>
                          <w:tcPr>
                            <w:tcW w:w="10603" w:type="dxa"/>
                          </w:tcPr>
                          <w:p w14:paraId="2A922538" w14:textId="2CF5696B" w:rsidR="0082085F" w:rsidRPr="000276F0" w:rsidRDefault="0082085F" w:rsidP="00CC4A0B">
                            <w:pPr>
                              <w:pStyle w:val="FPPicture"/>
                              <w:ind w:left="0"/>
                              <w:rPr>
                                <w:color w:val="FFFFFF" w:themeColor="background1"/>
                              </w:rPr>
                            </w:pPr>
                          </w:p>
                        </w:tc>
                      </w:tr>
                    </w:tbl>
                    <w:p w14:paraId="01A450BC" w14:textId="77777777" w:rsidR="0082085F" w:rsidRDefault="0082085F" w:rsidP="00981018">
                      <w:pPr>
                        <w:pStyle w:val="NoSpacing"/>
                        <w:rPr>
                          <w:color w:val="FFFFFF" w:themeColor="background1"/>
                        </w:rPr>
                      </w:pPr>
                    </w:p>
                    <w:p w14:paraId="54F67C2B" w14:textId="77777777" w:rsidR="0082085F" w:rsidRDefault="0082085F" w:rsidP="00981018">
                      <w:pPr>
                        <w:pStyle w:val="NoSpacing"/>
                        <w:rPr>
                          <w:color w:val="FFFFFF" w:themeColor="background1"/>
                        </w:rPr>
                      </w:pPr>
                    </w:p>
                    <w:p w14:paraId="032656B2" w14:textId="77777777" w:rsidR="0082085F" w:rsidRDefault="0082085F" w:rsidP="00981018">
                      <w:pPr>
                        <w:pStyle w:val="NoSpacing"/>
                        <w:rPr>
                          <w:color w:val="FFFFFF" w:themeColor="background1"/>
                        </w:rPr>
                      </w:pPr>
                    </w:p>
                    <w:p w14:paraId="3FAAEE9A" w14:textId="77777777" w:rsidR="0082085F" w:rsidRDefault="0082085F" w:rsidP="00981018">
                      <w:pPr>
                        <w:pStyle w:val="NoSpacing"/>
                        <w:rPr>
                          <w:color w:val="FFFFFF" w:themeColor="background1"/>
                        </w:rPr>
                      </w:pPr>
                    </w:p>
                    <w:p w14:paraId="09F28E7E" w14:textId="3951337E" w:rsidR="0082085F" w:rsidRDefault="0082085F" w:rsidP="00981018">
                      <w:pPr>
                        <w:pStyle w:val="NoSpacing"/>
                        <w:rPr>
                          <w:color w:val="FFFFFF" w:themeColor="background1"/>
                        </w:rPr>
                      </w:pPr>
                    </w:p>
                    <w:p w14:paraId="6F178A3A" w14:textId="751EC868" w:rsidR="0082085F" w:rsidRDefault="0082085F" w:rsidP="00981018">
                      <w:pPr>
                        <w:pStyle w:val="NoSpacing"/>
                        <w:rPr>
                          <w:color w:val="FFFFFF" w:themeColor="background1"/>
                        </w:rPr>
                      </w:pPr>
                    </w:p>
                    <w:p w14:paraId="38FB2901" w14:textId="1660E282" w:rsidR="0082085F" w:rsidRDefault="0082085F" w:rsidP="00981018">
                      <w:pPr>
                        <w:pStyle w:val="NoSpacing"/>
                        <w:rPr>
                          <w:color w:val="FFFFFF" w:themeColor="background1"/>
                        </w:rPr>
                      </w:pPr>
                    </w:p>
                    <w:p w14:paraId="2A92253A" w14:textId="1B904D4F" w:rsidR="0082085F" w:rsidRPr="00473E4D" w:rsidRDefault="0082085F" w:rsidP="00981018">
                      <w:pPr>
                        <w:pStyle w:val="NoSpacing"/>
                        <w:rPr>
                          <w:color w:val="FFFFFF" w:themeColor="background1"/>
                          <w:sz w:val="36"/>
                          <w:szCs w:val="36"/>
                        </w:rPr>
                      </w:pPr>
                      <w:r w:rsidRPr="00473E4D">
                        <w:rPr>
                          <w:color w:val="FFFFFF" w:themeColor="background1"/>
                          <w:sz w:val="36"/>
                          <w:szCs w:val="36"/>
                        </w:rPr>
                        <w:t>Regulatory Impact Statement</w:t>
                      </w:r>
                    </w:p>
                    <w:p w14:paraId="235D7486" w14:textId="534BF0A6" w:rsidR="0082085F" w:rsidRPr="00473E4D" w:rsidRDefault="0082085F" w:rsidP="00981018">
                      <w:pPr>
                        <w:pStyle w:val="NoSpacing"/>
                        <w:rPr>
                          <w:color w:val="FFFFFF" w:themeColor="background1"/>
                          <w:sz w:val="36"/>
                          <w:szCs w:val="36"/>
                        </w:rPr>
                      </w:pPr>
                    </w:p>
                    <w:p w14:paraId="498C9664" w14:textId="77777777" w:rsidR="0082085F" w:rsidRDefault="0082085F" w:rsidP="00981018">
                      <w:pPr>
                        <w:pStyle w:val="NoSpacing"/>
                        <w:rPr>
                          <w:color w:val="FFFFFF" w:themeColor="background1"/>
                          <w:sz w:val="36"/>
                          <w:szCs w:val="36"/>
                        </w:rPr>
                      </w:pPr>
                      <w:r w:rsidRPr="00473E4D">
                        <w:rPr>
                          <w:color w:val="FFFFFF" w:themeColor="background1"/>
                          <w:sz w:val="36"/>
                          <w:szCs w:val="36"/>
                        </w:rPr>
                        <w:t xml:space="preserve">Phase out of Open Flued </w:t>
                      </w:r>
                    </w:p>
                    <w:p w14:paraId="34C1D0C3" w14:textId="18A6941B" w:rsidR="0082085F" w:rsidRPr="00473E4D" w:rsidRDefault="0082085F" w:rsidP="00981018">
                      <w:pPr>
                        <w:pStyle w:val="NoSpacing"/>
                        <w:rPr>
                          <w:color w:val="FFFFFF" w:themeColor="background1"/>
                          <w:sz w:val="36"/>
                          <w:szCs w:val="36"/>
                        </w:rPr>
                      </w:pPr>
                      <w:r w:rsidRPr="00473E4D">
                        <w:rPr>
                          <w:color w:val="FFFFFF" w:themeColor="background1"/>
                          <w:sz w:val="36"/>
                          <w:szCs w:val="36"/>
                        </w:rPr>
                        <w:t>Gas Space Heaters</w:t>
                      </w:r>
                    </w:p>
                    <w:p w14:paraId="5B8A9CA3" w14:textId="6FA80A5B" w:rsidR="0082085F" w:rsidRDefault="0082085F" w:rsidP="00981018">
                      <w:pPr>
                        <w:pStyle w:val="NoSpacing"/>
                        <w:rPr>
                          <w:color w:val="FFFFFF" w:themeColor="background1"/>
                        </w:rPr>
                      </w:pPr>
                    </w:p>
                    <w:p w14:paraId="1CA2298A" w14:textId="14205CF1" w:rsidR="0082085F" w:rsidRDefault="0082085F" w:rsidP="00981018">
                      <w:pPr>
                        <w:pStyle w:val="NoSpacing"/>
                        <w:rPr>
                          <w:color w:val="FFFFFF" w:themeColor="background1"/>
                        </w:rPr>
                      </w:pPr>
                    </w:p>
                    <w:p w14:paraId="389A39CE" w14:textId="0FA86CC7" w:rsidR="0082085F" w:rsidRDefault="0082085F" w:rsidP="00981018">
                      <w:pPr>
                        <w:pStyle w:val="NoSpacing"/>
                        <w:rPr>
                          <w:color w:val="FFFFFF" w:themeColor="background1"/>
                        </w:rPr>
                      </w:pPr>
                    </w:p>
                    <w:p w14:paraId="4B61D912" w14:textId="03D16C06" w:rsidR="0082085F" w:rsidRDefault="0082085F" w:rsidP="00981018">
                      <w:pPr>
                        <w:pStyle w:val="NoSpacing"/>
                        <w:rPr>
                          <w:color w:val="FFFFFF" w:themeColor="background1"/>
                        </w:rPr>
                      </w:pPr>
                    </w:p>
                    <w:p w14:paraId="1429C58D" w14:textId="218C5B83" w:rsidR="0082085F" w:rsidRDefault="0082085F" w:rsidP="00981018">
                      <w:pPr>
                        <w:pStyle w:val="NoSpacing"/>
                        <w:rPr>
                          <w:color w:val="FFFFFF" w:themeColor="background1"/>
                        </w:rPr>
                      </w:pPr>
                    </w:p>
                    <w:p w14:paraId="209F674A" w14:textId="77777777" w:rsidR="0082085F" w:rsidRPr="000276F0" w:rsidRDefault="0082085F" w:rsidP="00981018">
                      <w:pPr>
                        <w:pStyle w:val="NoSpacing"/>
                        <w:rPr>
                          <w:color w:val="FFFFFF" w:themeColor="background1"/>
                        </w:rPr>
                      </w:pPr>
                    </w:p>
                    <w:p w14:paraId="2A92253B" w14:textId="4E07E2FF" w:rsidR="0082085F" w:rsidRPr="000276F0" w:rsidRDefault="0082085F" w:rsidP="00981018">
                      <w:pPr>
                        <w:pStyle w:val="NoSpacing"/>
                        <w:rPr>
                          <w:color w:val="FFFFFF" w:themeColor="background1"/>
                        </w:rPr>
                      </w:pPr>
                    </w:p>
                    <w:p w14:paraId="1F9C217D" w14:textId="5B1B2E5F" w:rsidR="0082085F" w:rsidRPr="000276F0" w:rsidRDefault="0082085F" w:rsidP="00981018">
                      <w:pPr>
                        <w:pStyle w:val="NoSpacing"/>
                        <w:rPr>
                          <w:color w:val="FFFFFF" w:themeColor="background1"/>
                        </w:rPr>
                      </w:pPr>
                    </w:p>
                    <w:p w14:paraId="3CCECBAD" w14:textId="77777777" w:rsidR="0082085F" w:rsidRPr="000276F0" w:rsidRDefault="0082085F" w:rsidP="00981018">
                      <w:pPr>
                        <w:pStyle w:val="NoSpacing"/>
                        <w:rPr>
                          <w:color w:val="FFFFFF" w:themeColor="background1"/>
                        </w:rPr>
                      </w:pPr>
                    </w:p>
                    <w:tbl>
                      <w:tblPr>
                        <w:tblStyle w:val="Tabel-Gitter1"/>
                        <w:tblOverlap w:val="never"/>
                        <w:tblW w:w="0" w:type="auto"/>
                        <w:tblLayout w:type="fixed"/>
                        <w:tblLook w:val="04A0" w:firstRow="1" w:lastRow="0" w:firstColumn="1" w:lastColumn="0" w:noHBand="0" w:noVBand="1"/>
                      </w:tblPr>
                      <w:tblGrid>
                        <w:gridCol w:w="20"/>
                      </w:tblGrid>
                      <w:tr w:rsidR="0082085F" w:rsidRPr="00507AB2" w14:paraId="2A92253F" w14:textId="77777777" w:rsidTr="00096B3A">
                        <w:trPr>
                          <w:cnfStyle w:val="100000000000" w:firstRow="1" w:lastRow="0" w:firstColumn="0" w:lastColumn="0" w:oddVBand="0" w:evenVBand="0" w:oddHBand="0" w:evenHBand="0" w:firstRowFirstColumn="0" w:firstRowLastColumn="0" w:lastRowFirstColumn="0" w:lastRowLastColumn="0"/>
                          <w:trHeight w:val="2438"/>
                        </w:trPr>
                        <w:tc>
                          <w:tcPr>
                            <w:tcW w:w="0" w:type="dxa"/>
                            <w:vAlign w:val="bottom"/>
                            <w:hideMark/>
                          </w:tcPr>
                          <w:bookmarkStart w:id="2" w:name="start" w:displacedByCustomXml="next"/>
                          <w:sdt>
                            <w:sdtPr>
                              <w:rPr>
                                <w:color w:val="FFFFFF" w:themeColor="background1"/>
                              </w:rPr>
                              <w:alias w:val="Titel"/>
                              <w:id w:val="-749505301"/>
                              <w:dataBinding w:prefixMappings="xmlns:ns0='http://purl.org/dc/elements/1.1/' xmlns:ns1='http://schemas.openxmlformats.org/package/2006/metadata/core-properties' " w:xpath="/ns1:coreProperties[1]/ns0:title[1]" w:storeItemID="{6C3C8BC8-F283-45AE-878A-BAB7291924A1}"/>
                              <w:text/>
                            </w:sdtPr>
                            <w:sdtEndPr/>
                            <w:sdtContent>
                              <w:p w14:paraId="2A92253C" w14:textId="22EA74BB" w:rsidR="0082085F" w:rsidRPr="000276F0" w:rsidRDefault="0082085F" w:rsidP="007C4146">
                                <w:pPr>
                                  <w:pStyle w:val="Documenttitle"/>
                                  <w:rPr>
                                    <w:color w:val="FFFFFF" w:themeColor="background1"/>
                                  </w:rPr>
                                </w:pPr>
                                <w:r>
                                  <w:rPr>
                                    <w:color w:val="FFFFFF" w:themeColor="background1"/>
                                  </w:rPr>
                                  <w:t>Regulatory Impact Statement: Open Flued Gas Space Heaters</w:t>
                                </w:r>
                              </w:p>
                            </w:sdtContent>
                          </w:sdt>
                          <w:bookmarkEnd w:id="2" w:displacedByCustomXml="prev"/>
                          <w:p w14:paraId="2A92253D" w14:textId="1AC77B9D" w:rsidR="0082085F" w:rsidRPr="000276F0" w:rsidRDefault="0082085F" w:rsidP="005D3CA2">
                            <w:pPr>
                              <w:pStyle w:val="Documentsubtitle"/>
                              <w:rPr>
                                <w:color w:val="FFFFFF" w:themeColor="background1"/>
                              </w:rPr>
                            </w:pPr>
                            <w:r w:rsidRPr="000276F0">
                              <w:rPr>
                                <w:color w:val="FFFFFF" w:themeColor="background1"/>
                              </w:rPr>
                              <w:t xml:space="preserve">Department of Environment, Land, Water and Planning  </w:t>
                            </w:r>
                          </w:p>
                          <w:p w14:paraId="2A92253E" w14:textId="12762B3B" w:rsidR="0082085F" w:rsidRPr="000276F0" w:rsidRDefault="0082085F" w:rsidP="00DC652B">
                            <w:pPr>
                              <w:pStyle w:val="Documentdate"/>
                              <w:rPr>
                                <w:color w:val="FFFFFF" w:themeColor="background1"/>
                              </w:rPr>
                            </w:pPr>
                            <w:r w:rsidRPr="000276F0">
                              <w:rPr>
                                <w:color w:val="FFFFFF" w:themeColor="background1"/>
                              </w:rPr>
                              <w:t>November 2020</w:t>
                            </w:r>
                          </w:p>
                        </w:tc>
                      </w:tr>
                    </w:tbl>
                    <w:p w14:paraId="2A922540" w14:textId="27CE4646" w:rsidR="0082085F" w:rsidRPr="000276F0" w:rsidRDefault="0082085F" w:rsidP="001E349B">
                      <w:pPr>
                        <w:rPr>
                          <w:color w:val="FFFFFF" w:themeColor="background1"/>
                        </w:rPr>
                      </w:pPr>
                      <w:r>
                        <w:rPr>
                          <w:color w:val="FFFFFF" w:themeColor="background1"/>
                        </w:rPr>
                        <w:t>Re</w:t>
                      </w:r>
                    </w:p>
                  </w:txbxContent>
                </v:textbox>
                <w10:wrap anchorx="page" anchory="page"/>
                <w10:anchorlock/>
              </v:shape>
            </w:pict>
          </mc:Fallback>
        </mc:AlternateContent>
      </w:r>
      <w:bookmarkStart w:id="3" w:name="BIT_CoverPage"/>
    </w:p>
    <w:p w14:paraId="2A9221C0" w14:textId="7702C3FD" w:rsidR="001E349B" w:rsidRPr="00806743" w:rsidRDefault="00031008" w:rsidP="001E349B">
      <w:pPr>
        <w:rPr>
          <w:rFonts w:asciiTheme="majorHAnsi" w:hAnsiTheme="majorHAnsi"/>
          <w:sz w:val="17"/>
          <w:szCs w:val="17"/>
        </w:rPr>
      </w:pPr>
      <w:r w:rsidRPr="00806743">
        <w:rPr>
          <w:rFonts w:asciiTheme="majorHAnsi" w:hAnsiTheme="majorHAnsi"/>
          <w:noProof/>
          <w:sz w:val="17"/>
          <w:szCs w:val="17"/>
          <w:lang w:eastAsia="en-AU"/>
        </w:rPr>
        <w:drawing>
          <wp:anchor distT="0" distB="0" distL="114300" distR="114300" simplePos="0" relativeHeight="251658247" behindDoc="0" locked="0" layoutInCell="1" allowOverlap="1" wp14:anchorId="2A9224CF" wp14:editId="20E28F60">
            <wp:simplePos x="0" y="0"/>
            <wp:positionH relativeFrom="page">
              <wp:posOffset>5154295</wp:posOffset>
            </wp:positionH>
            <wp:positionV relativeFrom="page">
              <wp:posOffset>9591040</wp:posOffset>
            </wp:positionV>
            <wp:extent cx="2003425" cy="528955"/>
            <wp:effectExtent l="0" t="0" r="0" b="0"/>
            <wp:wrapNone/>
            <wp:docPr id="52379519" name="Frontpage_Logo_Negativ">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2379519" name="Frontpage_Logo_Negativ"/>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3425" cy="528955"/>
                    </a:xfrm>
                    <a:prstGeom prst="rect">
                      <a:avLst/>
                    </a:prstGeom>
                  </pic:spPr>
                </pic:pic>
              </a:graphicData>
            </a:graphic>
          </wp:anchor>
        </w:drawing>
      </w:r>
    </w:p>
    <w:bookmarkEnd w:id="3"/>
    <w:p w14:paraId="2A9221C1" w14:textId="399E77A9" w:rsidR="001E349B" w:rsidRPr="00806743" w:rsidRDefault="001E349B" w:rsidP="00A31EF9">
      <w:pPr>
        <w:rPr>
          <w:rFonts w:asciiTheme="majorHAnsi" w:hAnsiTheme="majorHAnsi"/>
          <w:sz w:val="17"/>
          <w:szCs w:val="17"/>
        </w:rPr>
      </w:pPr>
    </w:p>
    <w:p w14:paraId="2A9221C2" w14:textId="48131460" w:rsidR="001E349B" w:rsidRPr="00806743" w:rsidRDefault="001E349B" w:rsidP="00A31EF9">
      <w:pPr>
        <w:rPr>
          <w:rFonts w:asciiTheme="majorHAnsi" w:hAnsiTheme="majorHAnsi"/>
          <w:sz w:val="17"/>
          <w:szCs w:val="17"/>
        </w:rPr>
      </w:pPr>
    </w:p>
    <w:p w14:paraId="2A9221C3" w14:textId="77777777" w:rsidR="00D96296" w:rsidRPr="00806743" w:rsidRDefault="00D96296" w:rsidP="008C16DC">
      <w:pPr>
        <w:pageBreakBefore/>
        <w:rPr>
          <w:rFonts w:asciiTheme="majorHAnsi" w:hAnsiTheme="majorHAnsi"/>
          <w:sz w:val="17"/>
          <w:szCs w:val="17"/>
        </w:rPr>
        <w:sectPr w:rsidR="00D96296" w:rsidRPr="00806743" w:rsidSect="00317587">
          <w:headerReference w:type="even" r:id="rId18"/>
          <w:headerReference w:type="default" r:id="rId19"/>
          <w:footerReference w:type="even" r:id="rId20"/>
          <w:footerReference w:type="default" r:id="rId21"/>
          <w:headerReference w:type="first" r:id="rId22"/>
          <w:footerReference w:type="first" r:id="rId23"/>
          <w:pgSz w:w="11906" w:h="16838" w:code="9"/>
          <w:pgMar w:top="1985" w:right="566" w:bottom="1134" w:left="680" w:header="680" w:footer="425" w:gutter="0"/>
          <w:cols w:space="284"/>
          <w:docGrid w:linePitch="360"/>
        </w:sectPr>
      </w:pPr>
    </w:p>
    <w:p w14:paraId="2A9221C4" w14:textId="65D93E89" w:rsidR="002268CC" w:rsidRPr="00806743" w:rsidRDefault="002268CC" w:rsidP="00876F66">
      <w:pPr>
        <w:pStyle w:val="Heading1un-numbered"/>
      </w:pPr>
      <w:bookmarkStart w:id="4" w:name="LAN_ContentsRP"/>
      <w:bookmarkStart w:id="5" w:name="_Toc9366976"/>
      <w:bookmarkStart w:id="6" w:name="_Toc10111293"/>
      <w:bookmarkStart w:id="7" w:name="_Toc17892112"/>
      <w:bookmarkStart w:id="8" w:name="_Toc59612281"/>
      <w:r w:rsidRPr="00806743">
        <w:lastRenderedPageBreak/>
        <w:t>Contents</w:t>
      </w:r>
      <w:bookmarkEnd w:id="4"/>
      <w:bookmarkEnd w:id="5"/>
      <w:bookmarkEnd w:id="6"/>
      <w:bookmarkEnd w:id="7"/>
      <w:bookmarkEnd w:id="8"/>
    </w:p>
    <w:p w14:paraId="22415CA6" w14:textId="5DF7D91F" w:rsidR="009D29DB" w:rsidRDefault="000368BE">
      <w:pPr>
        <w:pStyle w:val="TOC1"/>
        <w:rPr>
          <w:rFonts w:asciiTheme="minorHAnsi" w:eastAsiaTheme="minorEastAsia" w:hAnsiTheme="minorHAnsi"/>
          <w:noProof/>
          <w:sz w:val="22"/>
          <w:szCs w:val="22"/>
          <w:lang w:eastAsia="en-AU"/>
        </w:rPr>
      </w:pPr>
      <w:r>
        <w:rPr>
          <w:rFonts w:asciiTheme="majorHAnsi" w:hAnsiTheme="majorHAnsi"/>
          <w:sz w:val="17"/>
          <w:szCs w:val="17"/>
        </w:rPr>
        <w:fldChar w:fldCharType="begin"/>
      </w:r>
      <w:r>
        <w:rPr>
          <w:rFonts w:asciiTheme="majorHAnsi" w:hAnsiTheme="majorHAnsi"/>
          <w:sz w:val="17"/>
          <w:szCs w:val="17"/>
        </w:rPr>
        <w:instrText xml:space="preserve"> TOC \o "1-1" \h \z \u </w:instrText>
      </w:r>
      <w:r>
        <w:rPr>
          <w:rFonts w:asciiTheme="majorHAnsi" w:hAnsiTheme="majorHAnsi"/>
          <w:sz w:val="17"/>
          <w:szCs w:val="17"/>
        </w:rPr>
        <w:fldChar w:fldCharType="separate"/>
      </w:r>
      <w:hyperlink w:anchor="_Toc59612281" w:history="1">
        <w:r w:rsidR="009D29DB" w:rsidRPr="008562D3">
          <w:rPr>
            <w:rStyle w:val="Hyperlink"/>
            <w:noProof/>
          </w:rPr>
          <w:t>Contents</w:t>
        </w:r>
        <w:r w:rsidR="009D29DB">
          <w:rPr>
            <w:noProof/>
            <w:webHidden/>
          </w:rPr>
          <w:tab/>
        </w:r>
        <w:r w:rsidR="009D29DB">
          <w:rPr>
            <w:noProof/>
            <w:webHidden/>
          </w:rPr>
          <w:fldChar w:fldCharType="begin"/>
        </w:r>
        <w:r w:rsidR="009D29DB">
          <w:rPr>
            <w:noProof/>
            <w:webHidden/>
          </w:rPr>
          <w:instrText xml:space="preserve"> PAGEREF _Toc59612281 \h </w:instrText>
        </w:r>
        <w:r w:rsidR="009D29DB">
          <w:rPr>
            <w:noProof/>
            <w:webHidden/>
          </w:rPr>
        </w:r>
        <w:r w:rsidR="009D29DB">
          <w:rPr>
            <w:noProof/>
            <w:webHidden/>
          </w:rPr>
          <w:fldChar w:fldCharType="separate"/>
        </w:r>
        <w:r w:rsidR="00CD0679">
          <w:rPr>
            <w:noProof/>
            <w:webHidden/>
          </w:rPr>
          <w:t>2</w:t>
        </w:r>
        <w:r w:rsidR="009D29DB">
          <w:rPr>
            <w:noProof/>
            <w:webHidden/>
          </w:rPr>
          <w:fldChar w:fldCharType="end"/>
        </w:r>
      </w:hyperlink>
    </w:p>
    <w:p w14:paraId="408C1E6D" w14:textId="4A43539F" w:rsidR="009D29DB" w:rsidRDefault="00443623">
      <w:pPr>
        <w:pStyle w:val="TOC1"/>
        <w:rPr>
          <w:rFonts w:asciiTheme="minorHAnsi" w:eastAsiaTheme="minorEastAsia" w:hAnsiTheme="minorHAnsi"/>
          <w:noProof/>
          <w:sz w:val="22"/>
          <w:szCs w:val="22"/>
          <w:lang w:eastAsia="en-AU"/>
        </w:rPr>
      </w:pPr>
      <w:hyperlink w:anchor="_Toc59612282" w:history="1">
        <w:r w:rsidR="009D29DB" w:rsidRPr="008562D3">
          <w:rPr>
            <w:rStyle w:val="Hyperlink"/>
            <w:noProof/>
          </w:rPr>
          <w:t>Glossary</w:t>
        </w:r>
        <w:r w:rsidR="009D29DB">
          <w:rPr>
            <w:noProof/>
            <w:webHidden/>
          </w:rPr>
          <w:tab/>
        </w:r>
        <w:r w:rsidR="009D29DB">
          <w:rPr>
            <w:noProof/>
            <w:webHidden/>
          </w:rPr>
          <w:fldChar w:fldCharType="begin"/>
        </w:r>
        <w:r w:rsidR="009D29DB">
          <w:rPr>
            <w:noProof/>
            <w:webHidden/>
          </w:rPr>
          <w:instrText xml:space="preserve"> PAGEREF _Toc59612282 \h </w:instrText>
        </w:r>
        <w:r w:rsidR="009D29DB">
          <w:rPr>
            <w:noProof/>
            <w:webHidden/>
          </w:rPr>
        </w:r>
        <w:r w:rsidR="009D29DB">
          <w:rPr>
            <w:noProof/>
            <w:webHidden/>
          </w:rPr>
          <w:fldChar w:fldCharType="separate"/>
        </w:r>
        <w:r w:rsidR="00CD0679">
          <w:rPr>
            <w:noProof/>
            <w:webHidden/>
          </w:rPr>
          <w:t>3</w:t>
        </w:r>
        <w:r w:rsidR="009D29DB">
          <w:rPr>
            <w:noProof/>
            <w:webHidden/>
          </w:rPr>
          <w:fldChar w:fldCharType="end"/>
        </w:r>
      </w:hyperlink>
    </w:p>
    <w:p w14:paraId="5A78186F" w14:textId="5ABAB8EF" w:rsidR="009D29DB" w:rsidRDefault="00443623">
      <w:pPr>
        <w:pStyle w:val="TOC1"/>
        <w:rPr>
          <w:rFonts w:asciiTheme="minorHAnsi" w:eastAsiaTheme="minorEastAsia" w:hAnsiTheme="minorHAnsi"/>
          <w:noProof/>
          <w:sz w:val="22"/>
          <w:szCs w:val="22"/>
          <w:lang w:eastAsia="en-AU"/>
        </w:rPr>
      </w:pPr>
      <w:hyperlink w:anchor="_Toc59612283" w:history="1">
        <w:r w:rsidR="009D29DB" w:rsidRPr="008562D3">
          <w:rPr>
            <w:rStyle w:val="Hyperlink"/>
            <w:noProof/>
          </w:rPr>
          <w:t>Foreword</w:t>
        </w:r>
        <w:r w:rsidR="009D29DB">
          <w:rPr>
            <w:noProof/>
            <w:webHidden/>
          </w:rPr>
          <w:tab/>
        </w:r>
        <w:r w:rsidR="009D29DB">
          <w:rPr>
            <w:noProof/>
            <w:webHidden/>
          </w:rPr>
          <w:fldChar w:fldCharType="begin"/>
        </w:r>
        <w:r w:rsidR="009D29DB">
          <w:rPr>
            <w:noProof/>
            <w:webHidden/>
          </w:rPr>
          <w:instrText xml:space="preserve"> PAGEREF _Toc59612283 \h </w:instrText>
        </w:r>
        <w:r w:rsidR="009D29DB">
          <w:rPr>
            <w:noProof/>
            <w:webHidden/>
          </w:rPr>
        </w:r>
        <w:r w:rsidR="009D29DB">
          <w:rPr>
            <w:noProof/>
            <w:webHidden/>
          </w:rPr>
          <w:fldChar w:fldCharType="separate"/>
        </w:r>
        <w:r w:rsidR="00CD0679">
          <w:rPr>
            <w:noProof/>
            <w:webHidden/>
          </w:rPr>
          <w:t>4</w:t>
        </w:r>
        <w:r w:rsidR="009D29DB">
          <w:rPr>
            <w:noProof/>
            <w:webHidden/>
          </w:rPr>
          <w:fldChar w:fldCharType="end"/>
        </w:r>
      </w:hyperlink>
    </w:p>
    <w:p w14:paraId="4C4E3630" w14:textId="14431CC5" w:rsidR="009D29DB" w:rsidRDefault="00443623">
      <w:pPr>
        <w:pStyle w:val="TOC1"/>
        <w:rPr>
          <w:rFonts w:asciiTheme="minorHAnsi" w:eastAsiaTheme="minorEastAsia" w:hAnsiTheme="minorHAnsi"/>
          <w:noProof/>
          <w:sz w:val="22"/>
          <w:szCs w:val="22"/>
          <w:lang w:eastAsia="en-AU"/>
        </w:rPr>
      </w:pPr>
      <w:hyperlink w:anchor="_Toc59612284" w:history="1">
        <w:r w:rsidR="009D29DB" w:rsidRPr="008562D3">
          <w:rPr>
            <w:rStyle w:val="Hyperlink"/>
            <w:noProof/>
          </w:rPr>
          <w:t>Executive summary</w:t>
        </w:r>
        <w:r w:rsidR="009D29DB">
          <w:rPr>
            <w:noProof/>
            <w:webHidden/>
          </w:rPr>
          <w:tab/>
        </w:r>
        <w:r w:rsidR="009D29DB">
          <w:rPr>
            <w:noProof/>
            <w:webHidden/>
          </w:rPr>
          <w:fldChar w:fldCharType="begin"/>
        </w:r>
        <w:r w:rsidR="009D29DB">
          <w:rPr>
            <w:noProof/>
            <w:webHidden/>
          </w:rPr>
          <w:instrText xml:space="preserve"> PAGEREF _Toc59612284 \h </w:instrText>
        </w:r>
        <w:r w:rsidR="009D29DB">
          <w:rPr>
            <w:noProof/>
            <w:webHidden/>
          </w:rPr>
        </w:r>
        <w:r w:rsidR="009D29DB">
          <w:rPr>
            <w:noProof/>
            <w:webHidden/>
          </w:rPr>
          <w:fldChar w:fldCharType="separate"/>
        </w:r>
        <w:r w:rsidR="00CD0679">
          <w:rPr>
            <w:noProof/>
            <w:webHidden/>
          </w:rPr>
          <w:t>5</w:t>
        </w:r>
        <w:r w:rsidR="009D29DB">
          <w:rPr>
            <w:noProof/>
            <w:webHidden/>
          </w:rPr>
          <w:fldChar w:fldCharType="end"/>
        </w:r>
      </w:hyperlink>
    </w:p>
    <w:p w14:paraId="6F819D6F" w14:textId="15049682" w:rsidR="009D29DB" w:rsidRDefault="00443623">
      <w:pPr>
        <w:pStyle w:val="TOC1"/>
        <w:rPr>
          <w:rFonts w:asciiTheme="minorHAnsi" w:eastAsiaTheme="minorEastAsia" w:hAnsiTheme="minorHAnsi"/>
          <w:noProof/>
          <w:sz w:val="22"/>
          <w:szCs w:val="22"/>
          <w:lang w:eastAsia="en-AU"/>
        </w:rPr>
      </w:pPr>
      <w:hyperlink w:anchor="_Toc59612285" w:history="1">
        <w:r w:rsidR="009D29DB" w:rsidRPr="008562D3">
          <w:rPr>
            <w:rStyle w:val="Hyperlink"/>
            <w:noProof/>
          </w:rPr>
          <w:t>1</w:t>
        </w:r>
        <w:r w:rsidR="009D29DB">
          <w:rPr>
            <w:rFonts w:asciiTheme="minorHAnsi" w:eastAsiaTheme="minorEastAsia" w:hAnsiTheme="minorHAnsi"/>
            <w:noProof/>
            <w:sz w:val="22"/>
            <w:szCs w:val="22"/>
            <w:lang w:eastAsia="en-AU"/>
          </w:rPr>
          <w:tab/>
        </w:r>
        <w:r w:rsidR="009D29DB" w:rsidRPr="008562D3">
          <w:rPr>
            <w:rStyle w:val="Hyperlink"/>
            <w:noProof/>
          </w:rPr>
          <w:t>Introduction</w:t>
        </w:r>
        <w:r w:rsidR="009D29DB">
          <w:rPr>
            <w:noProof/>
            <w:webHidden/>
          </w:rPr>
          <w:tab/>
        </w:r>
        <w:r w:rsidR="009D29DB">
          <w:rPr>
            <w:noProof/>
            <w:webHidden/>
          </w:rPr>
          <w:fldChar w:fldCharType="begin"/>
        </w:r>
        <w:r w:rsidR="009D29DB">
          <w:rPr>
            <w:noProof/>
            <w:webHidden/>
          </w:rPr>
          <w:instrText xml:space="preserve"> PAGEREF _Toc59612285 \h </w:instrText>
        </w:r>
        <w:r w:rsidR="009D29DB">
          <w:rPr>
            <w:noProof/>
            <w:webHidden/>
          </w:rPr>
        </w:r>
        <w:r w:rsidR="009D29DB">
          <w:rPr>
            <w:noProof/>
            <w:webHidden/>
          </w:rPr>
          <w:fldChar w:fldCharType="separate"/>
        </w:r>
        <w:r w:rsidR="00CD0679">
          <w:rPr>
            <w:noProof/>
            <w:webHidden/>
          </w:rPr>
          <w:t>16</w:t>
        </w:r>
        <w:r w:rsidR="009D29DB">
          <w:rPr>
            <w:noProof/>
            <w:webHidden/>
          </w:rPr>
          <w:fldChar w:fldCharType="end"/>
        </w:r>
      </w:hyperlink>
    </w:p>
    <w:p w14:paraId="5A81AEE6" w14:textId="0CCD26FE" w:rsidR="009D29DB" w:rsidRDefault="00443623">
      <w:pPr>
        <w:pStyle w:val="TOC1"/>
        <w:rPr>
          <w:rFonts w:asciiTheme="minorHAnsi" w:eastAsiaTheme="minorEastAsia" w:hAnsiTheme="minorHAnsi"/>
          <w:noProof/>
          <w:sz w:val="22"/>
          <w:szCs w:val="22"/>
          <w:lang w:eastAsia="en-AU"/>
        </w:rPr>
      </w:pPr>
      <w:hyperlink w:anchor="_Toc59612286" w:history="1">
        <w:r w:rsidR="009D29DB" w:rsidRPr="008562D3">
          <w:rPr>
            <w:rStyle w:val="Hyperlink"/>
            <w:noProof/>
          </w:rPr>
          <w:t>2</w:t>
        </w:r>
        <w:r w:rsidR="009D29DB">
          <w:rPr>
            <w:rFonts w:asciiTheme="minorHAnsi" w:eastAsiaTheme="minorEastAsia" w:hAnsiTheme="minorHAnsi"/>
            <w:noProof/>
            <w:sz w:val="22"/>
            <w:szCs w:val="22"/>
            <w:lang w:eastAsia="en-AU"/>
          </w:rPr>
          <w:tab/>
        </w:r>
        <w:r w:rsidR="009D29DB" w:rsidRPr="008562D3">
          <w:rPr>
            <w:rStyle w:val="Hyperlink"/>
            <w:noProof/>
          </w:rPr>
          <w:t>Problem analysis</w:t>
        </w:r>
        <w:r w:rsidR="009D29DB">
          <w:rPr>
            <w:noProof/>
            <w:webHidden/>
          </w:rPr>
          <w:tab/>
        </w:r>
        <w:r w:rsidR="009D29DB">
          <w:rPr>
            <w:noProof/>
            <w:webHidden/>
          </w:rPr>
          <w:fldChar w:fldCharType="begin"/>
        </w:r>
        <w:r w:rsidR="009D29DB">
          <w:rPr>
            <w:noProof/>
            <w:webHidden/>
          </w:rPr>
          <w:instrText xml:space="preserve"> PAGEREF _Toc59612286 \h </w:instrText>
        </w:r>
        <w:r w:rsidR="009D29DB">
          <w:rPr>
            <w:noProof/>
            <w:webHidden/>
          </w:rPr>
        </w:r>
        <w:r w:rsidR="009D29DB">
          <w:rPr>
            <w:noProof/>
            <w:webHidden/>
          </w:rPr>
          <w:fldChar w:fldCharType="separate"/>
        </w:r>
        <w:r w:rsidR="00CD0679">
          <w:rPr>
            <w:noProof/>
            <w:webHidden/>
          </w:rPr>
          <w:t>29</w:t>
        </w:r>
        <w:r w:rsidR="009D29DB">
          <w:rPr>
            <w:noProof/>
            <w:webHidden/>
          </w:rPr>
          <w:fldChar w:fldCharType="end"/>
        </w:r>
      </w:hyperlink>
    </w:p>
    <w:p w14:paraId="3C1F85E5" w14:textId="63B2AD24" w:rsidR="009D29DB" w:rsidRDefault="00443623">
      <w:pPr>
        <w:pStyle w:val="TOC1"/>
        <w:rPr>
          <w:rFonts w:asciiTheme="minorHAnsi" w:eastAsiaTheme="minorEastAsia" w:hAnsiTheme="minorHAnsi"/>
          <w:noProof/>
          <w:sz w:val="22"/>
          <w:szCs w:val="22"/>
          <w:lang w:eastAsia="en-AU"/>
        </w:rPr>
      </w:pPr>
      <w:hyperlink w:anchor="_Toc59612287" w:history="1">
        <w:r w:rsidR="009D29DB" w:rsidRPr="008562D3">
          <w:rPr>
            <w:rStyle w:val="Hyperlink"/>
            <w:noProof/>
          </w:rPr>
          <w:t>3</w:t>
        </w:r>
        <w:r w:rsidR="009D29DB">
          <w:rPr>
            <w:rFonts w:asciiTheme="minorHAnsi" w:eastAsiaTheme="minorEastAsia" w:hAnsiTheme="minorHAnsi"/>
            <w:noProof/>
            <w:sz w:val="22"/>
            <w:szCs w:val="22"/>
            <w:lang w:eastAsia="en-AU"/>
          </w:rPr>
          <w:tab/>
        </w:r>
        <w:r w:rsidR="009D29DB" w:rsidRPr="008562D3">
          <w:rPr>
            <w:rStyle w:val="Hyperlink"/>
            <w:noProof/>
          </w:rPr>
          <w:t>Options</w:t>
        </w:r>
        <w:r w:rsidR="009D29DB">
          <w:rPr>
            <w:noProof/>
            <w:webHidden/>
          </w:rPr>
          <w:tab/>
        </w:r>
        <w:r w:rsidR="009D29DB">
          <w:rPr>
            <w:noProof/>
            <w:webHidden/>
          </w:rPr>
          <w:fldChar w:fldCharType="begin"/>
        </w:r>
        <w:r w:rsidR="009D29DB">
          <w:rPr>
            <w:noProof/>
            <w:webHidden/>
          </w:rPr>
          <w:instrText xml:space="preserve"> PAGEREF _Toc59612287 \h </w:instrText>
        </w:r>
        <w:r w:rsidR="009D29DB">
          <w:rPr>
            <w:noProof/>
            <w:webHidden/>
          </w:rPr>
        </w:r>
        <w:r w:rsidR="009D29DB">
          <w:rPr>
            <w:noProof/>
            <w:webHidden/>
          </w:rPr>
          <w:fldChar w:fldCharType="separate"/>
        </w:r>
        <w:r w:rsidR="00CD0679">
          <w:rPr>
            <w:noProof/>
            <w:webHidden/>
          </w:rPr>
          <w:t>46</w:t>
        </w:r>
        <w:r w:rsidR="009D29DB">
          <w:rPr>
            <w:noProof/>
            <w:webHidden/>
          </w:rPr>
          <w:fldChar w:fldCharType="end"/>
        </w:r>
      </w:hyperlink>
    </w:p>
    <w:p w14:paraId="206081F4" w14:textId="6DC778D8" w:rsidR="009D29DB" w:rsidRDefault="00443623">
      <w:pPr>
        <w:pStyle w:val="TOC1"/>
        <w:rPr>
          <w:rFonts w:asciiTheme="minorHAnsi" w:eastAsiaTheme="minorEastAsia" w:hAnsiTheme="minorHAnsi"/>
          <w:noProof/>
          <w:sz w:val="22"/>
          <w:szCs w:val="22"/>
          <w:lang w:eastAsia="en-AU"/>
        </w:rPr>
      </w:pPr>
      <w:hyperlink w:anchor="_Toc59612288" w:history="1">
        <w:r w:rsidR="009D29DB" w:rsidRPr="008562D3">
          <w:rPr>
            <w:rStyle w:val="Hyperlink"/>
            <w:noProof/>
          </w:rPr>
          <w:t>4</w:t>
        </w:r>
        <w:r w:rsidR="009D29DB">
          <w:rPr>
            <w:rFonts w:asciiTheme="minorHAnsi" w:eastAsiaTheme="minorEastAsia" w:hAnsiTheme="minorHAnsi"/>
            <w:noProof/>
            <w:sz w:val="22"/>
            <w:szCs w:val="22"/>
            <w:lang w:eastAsia="en-AU"/>
          </w:rPr>
          <w:tab/>
        </w:r>
        <w:r w:rsidR="009D29DB" w:rsidRPr="008562D3">
          <w:rPr>
            <w:rStyle w:val="Hyperlink"/>
            <w:noProof/>
          </w:rPr>
          <w:t>Options analysis</w:t>
        </w:r>
        <w:r w:rsidR="009D29DB">
          <w:rPr>
            <w:noProof/>
            <w:webHidden/>
          </w:rPr>
          <w:tab/>
        </w:r>
        <w:r w:rsidR="009D29DB">
          <w:rPr>
            <w:noProof/>
            <w:webHidden/>
          </w:rPr>
          <w:fldChar w:fldCharType="begin"/>
        </w:r>
        <w:r w:rsidR="009D29DB">
          <w:rPr>
            <w:noProof/>
            <w:webHidden/>
          </w:rPr>
          <w:instrText xml:space="preserve"> PAGEREF _Toc59612288 \h </w:instrText>
        </w:r>
        <w:r w:rsidR="009D29DB">
          <w:rPr>
            <w:noProof/>
            <w:webHidden/>
          </w:rPr>
        </w:r>
        <w:r w:rsidR="009D29DB">
          <w:rPr>
            <w:noProof/>
            <w:webHidden/>
          </w:rPr>
          <w:fldChar w:fldCharType="separate"/>
        </w:r>
        <w:r w:rsidR="00CD0679">
          <w:rPr>
            <w:noProof/>
            <w:webHidden/>
          </w:rPr>
          <w:t>54</w:t>
        </w:r>
        <w:r w:rsidR="009D29DB">
          <w:rPr>
            <w:noProof/>
            <w:webHidden/>
          </w:rPr>
          <w:fldChar w:fldCharType="end"/>
        </w:r>
      </w:hyperlink>
    </w:p>
    <w:p w14:paraId="3166265D" w14:textId="346BEEFD" w:rsidR="009D29DB" w:rsidRDefault="00443623">
      <w:pPr>
        <w:pStyle w:val="TOC1"/>
        <w:rPr>
          <w:rFonts w:asciiTheme="minorHAnsi" w:eastAsiaTheme="minorEastAsia" w:hAnsiTheme="minorHAnsi"/>
          <w:noProof/>
          <w:sz w:val="22"/>
          <w:szCs w:val="22"/>
          <w:lang w:eastAsia="en-AU"/>
        </w:rPr>
      </w:pPr>
      <w:hyperlink w:anchor="_Toc59612289" w:history="1">
        <w:r w:rsidR="009D29DB" w:rsidRPr="008562D3">
          <w:rPr>
            <w:rStyle w:val="Hyperlink"/>
            <w:noProof/>
          </w:rPr>
          <w:t>5</w:t>
        </w:r>
        <w:r w:rsidR="009D29DB">
          <w:rPr>
            <w:rFonts w:asciiTheme="minorHAnsi" w:eastAsiaTheme="minorEastAsia" w:hAnsiTheme="minorHAnsi"/>
            <w:noProof/>
            <w:sz w:val="22"/>
            <w:szCs w:val="22"/>
            <w:lang w:eastAsia="en-AU"/>
          </w:rPr>
          <w:tab/>
        </w:r>
        <w:r w:rsidR="009D29DB" w:rsidRPr="008562D3">
          <w:rPr>
            <w:rStyle w:val="Hyperlink"/>
            <w:noProof/>
          </w:rPr>
          <w:t>Small business and competition impacts</w:t>
        </w:r>
        <w:r w:rsidR="009D29DB">
          <w:rPr>
            <w:noProof/>
            <w:webHidden/>
          </w:rPr>
          <w:tab/>
        </w:r>
        <w:r w:rsidR="009D29DB">
          <w:rPr>
            <w:noProof/>
            <w:webHidden/>
          </w:rPr>
          <w:fldChar w:fldCharType="begin"/>
        </w:r>
        <w:r w:rsidR="009D29DB">
          <w:rPr>
            <w:noProof/>
            <w:webHidden/>
          </w:rPr>
          <w:instrText xml:space="preserve"> PAGEREF _Toc59612289 \h </w:instrText>
        </w:r>
        <w:r w:rsidR="009D29DB">
          <w:rPr>
            <w:noProof/>
            <w:webHidden/>
          </w:rPr>
        </w:r>
        <w:r w:rsidR="009D29DB">
          <w:rPr>
            <w:noProof/>
            <w:webHidden/>
          </w:rPr>
          <w:fldChar w:fldCharType="separate"/>
        </w:r>
        <w:r w:rsidR="00CD0679">
          <w:rPr>
            <w:noProof/>
            <w:webHidden/>
          </w:rPr>
          <w:t>71</w:t>
        </w:r>
        <w:r w:rsidR="009D29DB">
          <w:rPr>
            <w:noProof/>
            <w:webHidden/>
          </w:rPr>
          <w:fldChar w:fldCharType="end"/>
        </w:r>
      </w:hyperlink>
    </w:p>
    <w:p w14:paraId="36DA8485" w14:textId="6FE36234" w:rsidR="009D29DB" w:rsidRDefault="00443623">
      <w:pPr>
        <w:pStyle w:val="TOC1"/>
        <w:rPr>
          <w:rFonts w:asciiTheme="minorHAnsi" w:eastAsiaTheme="minorEastAsia" w:hAnsiTheme="minorHAnsi"/>
          <w:noProof/>
          <w:sz w:val="22"/>
          <w:szCs w:val="22"/>
          <w:lang w:eastAsia="en-AU"/>
        </w:rPr>
      </w:pPr>
      <w:hyperlink w:anchor="_Toc59612290" w:history="1">
        <w:r w:rsidR="009D29DB" w:rsidRPr="008562D3">
          <w:rPr>
            <w:rStyle w:val="Hyperlink"/>
            <w:noProof/>
          </w:rPr>
          <w:t>6</w:t>
        </w:r>
        <w:r w:rsidR="009D29DB">
          <w:rPr>
            <w:rFonts w:asciiTheme="minorHAnsi" w:eastAsiaTheme="minorEastAsia" w:hAnsiTheme="minorHAnsi"/>
            <w:noProof/>
            <w:sz w:val="22"/>
            <w:szCs w:val="22"/>
            <w:lang w:eastAsia="en-AU"/>
          </w:rPr>
          <w:tab/>
        </w:r>
        <w:r w:rsidR="009D29DB" w:rsidRPr="008562D3">
          <w:rPr>
            <w:rStyle w:val="Hyperlink"/>
            <w:noProof/>
          </w:rPr>
          <w:t>Implementation plan</w:t>
        </w:r>
        <w:r w:rsidR="009D29DB">
          <w:rPr>
            <w:noProof/>
            <w:webHidden/>
          </w:rPr>
          <w:tab/>
        </w:r>
        <w:r w:rsidR="009D29DB">
          <w:rPr>
            <w:noProof/>
            <w:webHidden/>
          </w:rPr>
          <w:fldChar w:fldCharType="begin"/>
        </w:r>
        <w:r w:rsidR="009D29DB">
          <w:rPr>
            <w:noProof/>
            <w:webHidden/>
          </w:rPr>
          <w:instrText xml:space="preserve"> PAGEREF _Toc59612290 \h </w:instrText>
        </w:r>
        <w:r w:rsidR="009D29DB">
          <w:rPr>
            <w:noProof/>
            <w:webHidden/>
          </w:rPr>
        </w:r>
        <w:r w:rsidR="009D29DB">
          <w:rPr>
            <w:noProof/>
            <w:webHidden/>
          </w:rPr>
          <w:fldChar w:fldCharType="separate"/>
        </w:r>
        <w:r w:rsidR="00CD0679">
          <w:rPr>
            <w:noProof/>
            <w:webHidden/>
          </w:rPr>
          <w:t>73</w:t>
        </w:r>
        <w:r w:rsidR="009D29DB">
          <w:rPr>
            <w:noProof/>
            <w:webHidden/>
          </w:rPr>
          <w:fldChar w:fldCharType="end"/>
        </w:r>
      </w:hyperlink>
    </w:p>
    <w:p w14:paraId="781AA7C6" w14:textId="5BC51C5E" w:rsidR="009D29DB" w:rsidRDefault="00443623">
      <w:pPr>
        <w:pStyle w:val="TOC1"/>
        <w:rPr>
          <w:rFonts w:asciiTheme="minorHAnsi" w:eastAsiaTheme="minorEastAsia" w:hAnsiTheme="minorHAnsi"/>
          <w:noProof/>
          <w:sz w:val="22"/>
          <w:szCs w:val="22"/>
          <w:lang w:eastAsia="en-AU"/>
        </w:rPr>
      </w:pPr>
      <w:hyperlink w:anchor="_Toc59612291" w:history="1">
        <w:r w:rsidR="009D29DB" w:rsidRPr="008562D3">
          <w:rPr>
            <w:rStyle w:val="Hyperlink"/>
            <w:noProof/>
          </w:rPr>
          <w:t>7</w:t>
        </w:r>
        <w:r w:rsidR="009D29DB">
          <w:rPr>
            <w:rFonts w:asciiTheme="minorHAnsi" w:eastAsiaTheme="minorEastAsia" w:hAnsiTheme="minorHAnsi"/>
            <w:noProof/>
            <w:sz w:val="22"/>
            <w:szCs w:val="22"/>
            <w:lang w:eastAsia="en-AU"/>
          </w:rPr>
          <w:tab/>
        </w:r>
        <w:r w:rsidR="009D29DB" w:rsidRPr="008562D3">
          <w:rPr>
            <w:rStyle w:val="Hyperlink"/>
            <w:noProof/>
          </w:rPr>
          <w:t>Evaluation strategy</w:t>
        </w:r>
        <w:r w:rsidR="009D29DB">
          <w:rPr>
            <w:noProof/>
            <w:webHidden/>
          </w:rPr>
          <w:tab/>
        </w:r>
        <w:r w:rsidR="009D29DB">
          <w:rPr>
            <w:noProof/>
            <w:webHidden/>
          </w:rPr>
          <w:fldChar w:fldCharType="begin"/>
        </w:r>
        <w:r w:rsidR="009D29DB">
          <w:rPr>
            <w:noProof/>
            <w:webHidden/>
          </w:rPr>
          <w:instrText xml:space="preserve"> PAGEREF _Toc59612291 \h </w:instrText>
        </w:r>
        <w:r w:rsidR="009D29DB">
          <w:rPr>
            <w:noProof/>
            <w:webHidden/>
          </w:rPr>
        </w:r>
        <w:r w:rsidR="009D29DB">
          <w:rPr>
            <w:noProof/>
            <w:webHidden/>
          </w:rPr>
          <w:fldChar w:fldCharType="separate"/>
        </w:r>
        <w:r w:rsidR="00CD0679">
          <w:rPr>
            <w:noProof/>
            <w:webHidden/>
          </w:rPr>
          <w:t>76</w:t>
        </w:r>
        <w:r w:rsidR="009D29DB">
          <w:rPr>
            <w:noProof/>
            <w:webHidden/>
          </w:rPr>
          <w:fldChar w:fldCharType="end"/>
        </w:r>
      </w:hyperlink>
    </w:p>
    <w:p w14:paraId="31A33F62" w14:textId="6D151CD3" w:rsidR="009D29DB" w:rsidRDefault="00443623">
      <w:pPr>
        <w:pStyle w:val="TOC1"/>
        <w:rPr>
          <w:rFonts w:asciiTheme="minorHAnsi" w:eastAsiaTheme="minorEastAsia" w:hAnsiTheme="minorHAnsi"/>
          <w:noProof/>
          <w:sz w:val="22"/>
          <w:szCs w:val="22"/>
          <w:lang w:eastAsia="en-AU"/>
        </w:rPr>
      </w:pPr>
      <w:hyperlink w:anchor="_Toc59612292" w:history="1">
        <w:r w:rsidR="009D29DB" w:rsidRPr="008562D3">
          <w:rPr>
            <w:rStyle w:val="Hyperlink"/>
            <w:noProof/>
          </w:rPr>
          <w:t>8</w:t>
        </w:r>
        <w:r w:rsidR="009D29DB">
          <w:rPr>
            <w:rFonts w:asciiTheme="minorHAnsi" w:eastAsiaTheme="minorEastAsia" w:hAnsiTheme="minorHAnsi"/>
            <w:noProof/>
            <w:sz w:val="22"/>
            <w:szCs w:val="22"/>
            <w:lang w:eastAsia="en-AU"/>
          </w:rPr>
          <w:tab/>
        </w:r>
        <w:r w:rsidR="009D29DB" w:rsidRPr="008562D3">
          <w:rPr>
            <w:rStyle w:val="Hyperlink"/>
            <w:noProof/>
          </w:rPr>
          <w:t>References</w:t>
        </w:r>
        <w:r w:rsidR="009D29DB">
          <w:rPr>
            <w:noProof/>
            <w:webHidden/>
          </w:rPr>
          <w:tab/>
        </w:r>
        <w:r w:rsidR="009D29DB">
          <w:rPr>
            <w:noProof/>
            <w:webHidden/>
          </w:rPr>
          <w:fldChar w:fldCharType="begin"/>
        </w:r>
        <w:r w:rsidR="009D29DB">
          <w:rPr>
            <w:noProof/>
            <w:webHidden/>
          </w:rPr>
          <w:instrText xml:space="preserve"> PAGEREF _Toc59612292 \h </w:instrText>
        </w:r>
        <w:r w:rsidR="009D29DB">
          <w:rPr>
            <w:noProof/>
            <w:webHidden/>
          </w:rPr>
        </w:r>
        <w:r w:rsidR="009D29DB">
          <w:rPr>
            <w:noProof/>
            <w:webHidden/>
          </w:rPr>
          <w:fldChar w:fldCharType="separate"/>
        </w:r>
        <w:r w:rsidR="00CD0679">
          <w:rPr>
            <w:noProof/>
            <w:webHidden/>
          </w:rPr>
          <w:t>80</w:t>
        </w:r>
        <w:r w:rsidR="009D29DB">
          <w:rPr>
            <w:noProof/>
            <w:webHidden/>
          </w:rPr>
          <w:fldChar w:fldCharType="end"/>
        </w:r>
      </w:hyperlink>
    </w:p>
    <w:p w14:paraId="5EC34E2B" w14:textId="381ED06E" w:rsidR="009D29DB" w:rsidRDefault="00443623">
      <w:pPr>
        <w:pStyle w:val="TOC1"/>
        <w:rPr>
          <w:rFonts w:asciiTheme="minorHAnsi" w:eastAsiaTheme="minorEastAsia" w:hAnsiTheme="minorHAnsi"/>
          <w:noProof/>
          <w:sz w:val="22"/>
          <w:szCs w:val="22"/>
          <w:lang w:eastAsia="en-AU"/>
        </w:rPr>
      </w:pPr>
      <w:hyperlink w:anchor="_Toc59612293" w:history="1">
        <w:r w:rsidR="009D29DB" w:rsidRPr="008562D3">
          <w:rPr>
            <w:rStyle w:val="Hyperlink"/>
            <w:noProof/>
          </w:rPr>
          <w:t>Appendix A - Stakeholder consultation</w:t>
        </w:r>
        <w:r w:rsidR="009D29DB">
          <w:rPr>
            <w:noProof/>
            <w:webHidden/>
          </w:rPr>
          <w:tab/>
        </w:r>
        <w:r w:rsidR="009D29DB">
          <w:rPr>
            <w:noProof/>
            <w:webHidden/>
          </w:rPr>
          <w:fldChar w:fldCharType="begin"/>
        </w:r>
        <w:r w:rsidR="009D29DB">
          <w:rPr>
            <w:noProof/>
            <w:webHidden/>
          </w:rPr>
          <w:instrText xml:space="preserve"> PAGEREF _Toc59612293 \h </w:instrText>
        </w:r>
        <w:r w:rsidR="009D29DB">
          <w:rPr>
            <w:noProof/>
            <w:webHidden/>
          </w:rPr>
        </w:r>
        <w:r w:rsidR="009D29DB">
          <w:rPr>
            <w:noProof/>
            <w:webHidden/>
          </w:rPr>
          <w:fldChar w:fldCharType="separate"/>
        </w:r>
        <w:r w:rsidR="00CD0679">
          <w:rPr>
            <w:noProof/>
            <w:webHidden/>
          </w:rPr>
          <w:t>83</w:t>
        </w:r>
        <w:r w:rsidR="009D29DB">
          <w:rPr>
            <w:noProof/>
            <w:webHidden/>
          </w:rPr>
          <w:fldChar w:fldCharType="end"/>
        </w:r>
      </w:hyperlink>
    </w:p>
    <w:p w14:paraId="059AB0F9" w14:textId="4BCBC254" w:rsidR="009D29DB" w:rsidRDefault="00443623">
      <w:pPr>
        <w:pStyle w:val="TOC1"/>
        <w:rPr>
          <w:rFonts w:asciiTheme="minorHAnsi" w:eastAsiaTheme="minorEastAsia" w:hAnsiTheme="minorHAnsi"/>
          <w:noProof/>
          <w:sz w:val="22"/>
          <w:szCs w:val="22"/>
          <w:lang w:eastAsia="en-AU"/>
        </w:rPr>
      </w:pPr>
      <w:hyperlink w:anchor="_Toc59612294" w:history="1">
        <w:r w:rsidR="009D29DB" w:rsidRPr="008562D3">
          <w:rPr>
            <w:rStyle w:val="Hyperlink"/>
            <w:noProof/>
          </w:rPr>
          <w:t>Appendix B: Existing Regulations</w:t>
        </w:r>
        <w:r w:rsidR="009D29DB">
          <w:rPr>
            <w:noProof/>
            <w:webHidden/>
          </w:rPr>
          <w:tab/>
        </w:r>
        <w:r w:rsidR="009D29DB">
          <w:rPr>
            <w:noProof/>
            <w:webHidden/>
          </w:rPr>
          <w:fldChar w:fldCharType="begin"/>
        </w:r>
        <w:r w:rsidR="009D29DB">
          <w:rPr>
            <w:noProof/>
            <w:webHidden/>
          </w:rPr>
          <w:instrText xml:space="preserve"> PAGEREF _Toc59612294 \h </w:instrText>
        </w:r>
        <w:r w:rsidR="009D29DB">
          <w:rPr>
            <w:noProof/>
            <w:webHidden/>
          </w:rPr>
        </w:r>
        <w:r w:rsidR="009D29DB">
          <w:rPr>
            <w:noProof/>
            <w:webHidden/>
          </w:rPr>
          <w:fldChar w:fldCharType="separate"/>
        </w:r>
        <w:r w:rsidR="00CD0679">
          <w:rPr>
            <w:noProof/>
            <w:webHidden/>
          </w:rPr>
          <w:t>86</w:t>
        </w:r>
        <w:r w:rsidR="009D29DB">
          <w:rPr>
            <w:noProof/>
            <w:webHidden/>
          </w:rPr>
          <w:fldChar w:fldCharType="end"/>
        </w:r>
      </w:hyperlink>
    </w:p>
    <w:p w14:paraId="1A8402C5" w14:textId="6C43F32A" w:rsidR="009D29DB" w:rsidRDefault="00443623">
      <w:pPr>
        <w:pStyle w:val="TOC1"/>
        <w:rPr>
          <w:rFonts w:asciiTheme="minorHAnsi" w:eastAsiaTheme="minorEastAsia" w:hAnsiTheme="minorHAnsi"/>
          <w:noProof/>
          <w:sz w:val="22"/>
          <w:szCs w:val="22"/>
          <w:lang w:eastAsia="en-AU"/>
        </w:rPr>
      </w:pPr>
      <w:hyperlink w:anchor="_Toc59612295" w:history="1">
        <w:r w:rsidR="009D29DB" w:rsidRPr="008562D3">
          <w:rPr>
            <w:rStyle w:val="Hyperlink"/>
            <w:noProof/>
          </w:rPr>
          <w:t>Appendix C – Research on CO alarms</w:t>
        </w:r>
        <w:r w:rsidR="009D29DB">
          <w:rPr>
            <w:noProof/>
            <w:webHidden/>
          </w:rPr>
          <w:tab/>
        </w:r>
        <w:r w:rsidR="009D29DB">
          <w:rPr>
            <w:noProof/>
            <w:webHidden/>
          </w:rPr>
          <w:fldChar w:fldCharType="begin"/>
        </w:r>
        <w:r w:rsidR="009D29DB">
          <w:rPr>
            <w:noProof/>
            <w:webHidden/>
          </w:rPr>
          <w:instrText xml:space="preserve"> PAGEREF _Toc59612295 \h </w:instrText>
        </w:r>
        <w:r w:rsidR="009D29DB">
          <w:rPr>
            <w:noProof/>
            <w:webHidden/>
          </w:rPr>
        </w:r>
        <w:r w:rsidR="009D29DB">
          <w:rPr>
            <w:noProof/>
            <w:webHidden/>
          </w:rPr>
          <w:fldChar w:fldCharType="separate"/>
        </w:r>
        <w:r w:rsidR="00CD0679">
          <w:rPr>
            <w:noProof/>
            <w:webHidden/>
          </w:rPr>
          <w:t>90</w:t>
        </w:r>
        <w:r w:rsidR="009D29DB">
          <w:rPr>
            <w:noProof/>
            <w:webHidden/>
          </w:rPr>
          <w:fldChar w:fldCharType="end"/>
        </w:r>
      </w:hyperlink>
    </w:p>
    <w:p w14:paraId="556B0FE3" w14:textId="43D60F23" w:rsidR="009D29DB" w:rsidRDefault="00443623">
      <w:pPr>
        <w:pStyle w:val="TOC1"/>
        <w:rPr>
          <w:rFonts w:asciiTheme="minorHAnsi" w:eastAsiaTheme="minorEastAsia" w:hAnsiTheme="minorHAnsi"/>
          <w:noProof/>
          <w:sz w:val="22"/>
          <w:szCs w:val="22"/>
          <w:lang w:eastAsia="en-AU"/>
        </w:rPr>
      </w:pPr>
      <w:hyperlink w:anchor="_Toc59612296" w:history="1">
        <w:r w:rsidR="009D29DB" w:rsidRPr="008562D3">
          <w:rPr>
            <w:rStyle w:val="Hyperlink"/>
            <w:noProof/>
          </w:rPr>
          <w:t>Appendix D – Draft Regulations for a restriction on future installation of OFGSHs</w:t>
        </w:r>
        <w:r w:rsidR="009D29DB">
          <w:rPr>
            <w:noProof/>
            <w:webHidden/>
          </w:rPr>
          <w:tab/>
        </w:r>
        <w:r w:rsidR="009D29DB">
          <w:rPr>
            <w:noProof/>
            <w:webHidden/>
          </w:rPr>
          <w:fldChar w:fldCharType="begin"/>
        </w:r>
        <w:r w:rsidR="009D29DB">
          <w:rPr>
            <w:noProof/>
            <w:webHidden/>
          </w:rPr>
          <w:instrText xml:space="preserve"> PAGEREF _Toc59612296 \h </w:instrText>
        </w:r>
        <w:r w:rsidR="009D29DB">
          <w:rPr>
            <w:noProof/>
            <w:webHidden/>
          </w:rPr>
        </w:r>
        <w:r w:rsidR="009D29DB">
          <w:rPr>
            <w:noProof/>
            <w:webHidden/>
          </w:rPr>
          <w:fldChar w:fldCharType="separate"/>
        </w:r>
        <w:r w:rsidR="00CD0679">
          <w:rPr>
            <w:noProof/>
            <w:webHidden/>
          </w:rPr>
          <w:t>91</w:t>
        </w:r>
        <w:r w:rsidR="009D29DB">
          <w:rPr>
            <w:noProof/>
            <w:webHidden/>
          </w:rPr>
          <w:fldChar w:fldCharType="end"/>
        </w:r>
      </w:hyperlink>
    </w:p>
    <w:p w14:paraId="074D6CE2" w14:textId="1FA59E86" w:rsidR="009D29DB" w:rsidRDefault="00443623">
      <w:pPr>
        <w:pStyle w:val="TOC1"/>
        <w:rPr>
          <w:rFonts w:asciiTheme="minorHAnsi" w:eastAsiaTheme="minorEastAsia" w:hAnsiTheme="minorHAnsi"/>
          <w:noProof/>
          <w:sz w:val="22"/>
          <w:szCs w:val="22"/>
          <w:lang w:eastAsia="en-AU"/>
        </w:rPr>
      </w:pPr>
      <w:hyperlink w:anchor="_Toc59612297" w:history="1">
        <w:r w:rsidR="009D29DB" w:rsidRPr="008562D3">
          <w:rPr>
            <w:rStyle w:val="Hyperlink"/>
            <w:noProof/>
          </w:rPr>
          <w:t>Appendix E – Sensitivity testing of options</w:t>
        </w:r>
        <w:r w:rsidR="009D29DB">
          <w:rPr>
            <w:noProof/>
            <w:webHidden/>
          </w:rPr>
          <w:tab/>
        </w:r>
        <w:r w:rsidR="009D29DB">
          <w:rPr>
            <w:noProof/>
            <w:webHidden/>
          </w:rPr>
          <w:fldChar w:fldCharType="begin"/>
        </w:r>
        <w:r w:rsidR="009D29DB">
          <w:rPr>
            <w:noProof/>
            <w:webHidden/>
          </w:rPr>
          <w:instrText xml:space="preserve"> PAGEREF _Toc59612297 \h </w:instrText>
        </w:r>
        <w:r w:rsidR="009D29DB">
          <w:rPr>
            <w:noProof/>
            <w:webHidden/>
          </w:rPr>
        </w:r>
        <w:r w:rsidR="009D29DB">
          <w:rPr>
            <w:noProof/>
            <w:webHidden/>
          </w:rPr>
          <w:fldChar w:fldCharType="separate"/>
        </w:r>
        <w:r w:rsidR="00CD0679">
          <w:rPr>
            <w:noProof/>
            <w:webHidden/>
          </w:rPr>
          <w:t>98</w:t>
        </w:r>
        <w:r w:rsidR="009D29DB">
          <w:rPr>
            <w:noProof/>
            <w:webHidden/>
          </w:rPr>
          <w:fldChar w:fldCharType="end"/>
        </w:r>
      </w:hyperlink>
    </w:p>
    <w:p w14:paraId="4056BF6B" w14:textId="57DE3DB9" w:rsidR="009D29DB" w:rsidRDefault="00443623">
      <w:pPr>
        <w:pStyle w:val="TOC1"/>
        <w:rPr>
          <w:rFonts w:asciiTheme="minorHAnsi" w:eastAsiaTheme="minorEastAsia" w:hAnsiTheme="minorHAnsi"/>
          <w:noProof/>
          <w:sz w:val="22"/>
          <w:szCs w:val="22"/>
          <w:lang w:eastAsia="en-AU"/>
        </w:rPr>
      </w:pPr>
      <w:hyperlink w:anchor="_Toc59612298" w:history="1">
        <w:r w:rsidR="009D29DB" w:rsidRPr="008562D3">
          <w:rPr>
            <w:rStyle w:val="Hyperlink"/>
            <w:noProof/>
          </w:rPr>
          <w:t>Limitation of our work</w:t>
        </w:r>
        <w:r w:rsidR="009D29DB">
          <w:rPr>
            <w:noProof/>
            <w:webHidden/>
          </w:rPr>
          <w:tab/>
        </w:r>
        <w:r w:rsidR="009D29DB">
          <w:rPr>
            <w:noProof/>
            <w:webHidden/>
          </w:rPr>
          <w:fldChar w:fldCharType="begin"/>
        </w:r>
        <w:r w:rsidR="009D29DB">
          <w:rPr>
            <w:noProof/>
            <w:webHidden/>
          </w:rPr>
          <w:instrText xml:space="preserve"> PAGEREF _Toc59612298 \h </w:instrText>
        </w:r>
        <w:r w:rsidR="009D29DB">
          <w:rPr>
            <w:noProof/>
            <w:webHidden/>
          </w:rPr>
        </w:r>
        <w:r w:rsidR="009D29DB">
          <w:rPr>
            <w:noProof/>
            <w:webHidden/>
          </w:rPr>
          <w:fldChar w:fldCharType="separate"/>
        </w:r>
        <w:r w:rsidR="00CD0679">
          <w:rPr>
            <w:noProof/>
            <w:webHidden/>
          </w:rPr>
          <w:t>100</w:t>
        </w:r>
        <w:r w:rsidR="009D29DB">
          <w:rPr>
            <w:noProof/>
            <w:webHidden/>
          </w:rPr>
          <w:fldChar w:fldCharType="end"/>
        </w:r>
      </w:hyperlink>
    </w:p>
    <w:p w14:paraId="0FD77424" w14:textId="19ED87B7" w:rsidR="00A6563E" w:rsidRDefault="000368BE" w:rsidP="00805BBD">
      <w:pPr>
        <w:spacing w:after="0"/>
        <w:rPr>
          <w:rFonts w:asciiTheme="majorHAnsi" w:hAnsiTheme="majorHAnsi"/>
          <w:sz w:val="17"/>
          <w:szCs w:val="17"/>
        </w:rPr>
      </w:pPr>
      <w:r>
        <w:rPr>
          <w:rFonts w:asciiTheme="majorHAnsi" w:hAnsiTheme="majorHAnsi"/>
          <w:sz w:val="17"/>
          <w:szCs w:val="17"/>
        </w:rPr>
        <w:fldChar w:fldCharType="end"/>
      </w:r>
    </w:p>
    <w:p w14:paraId="2D039E7C" w14:textId="77777777" w:rsidR="00D10F65" w:rsidRDefault="00D10F65" w:rsidP="00FF5BFF">
      <w:pPr>
        <w:ind w:firstLine="720"/>
        <w:rPr>
          <w:rFonts w:asciiTheme="majorHAnsi" w:hAnsiTheme="majorHAnsi"/>
          <w:sz w:val="17"/>
          <w:szCs w:val="17"/>
        </w:rPr>
      </w:pPr>
    </w:p>
    <w:p w14:paraId="1743CBAD" w14:textId="77777777" w:rsidR="00D10F65" w:rsidRDefault="00D10F65" w:rsidP="00D10F65">
      <w:pPr>
        <w:rPr>
          <w:rFonts w:asciiTheme="majorHAnsi" w:hAnsiTheme="majorHAnsi"/>
          <w:sz w:val="17"/>
          <w:szCs w:val="17"/>
        </w:rPr>
      </w:pPr>
    </w:p>
    <w:p w14:paraId="2A9221D3" w14:textId="71564FE4" w:rsidR="00A6563E" w:rsidRPr="00806743" w:rsidRDefault="00A6563E" w:rsidP="00FF5BFF">
      <w:pPr>
        <w:rPr>
          <w:rFonts w:asciiTheme="majorHAnsi" w:hAnsiTheme="majorHAnsi"/>
          <w:sz w:val="17"/>
          <w:szCs w:val="17"/>
        </w:rPr>
        <w:sectPr w:rsidR="00A6563E" w:rsidRPr="00806743" w:rsidSect="00BB0C19">
          <w:headerReference w:type="even" r:id="rId24"/>
          <w:headerReference w:type="default" r:id="rId25"/>
          <w:footerReference w:type="default" r:id="rId26"/>
          <w:headerReference w:type="first" r:id="rId27"/>
          <w:pgSz w:w="11906" w:h="16838" w:code="9"/>
          <w:pgMar w:top="1440" w:right="1440" w:bottom="1440" w:left="1440" w:header="680" w:footer="425" w:gutter="0"/>
          <w:pgNumType w:start="2"/>
          <w:cols w:space="284"/>
          <w:docGrid w:linePitch="360"/>
        </w:sectPr>
      </w:pPr>
    </w:p>
    <w:p w14:paraId="2A9221D4" w14:textId="6935355A" w:rsidR="00BF3260" w:rsidRPr="00806743" w:rsidRDefault="00BF3260" w:rsidP="00876F66">
      <w:pPr>
        <w:pStyle w:val="Heading1un-numbered"/>
      </w:pPr>
      <w:bookmarkStart w:id="9" w:name="_Toc462313127"/>
      <w:bookmarkStart w:id="10" w:name="_Toc462317836"/>
      <w:bookmarkStart w:id="11" w:name="_Toc462397801"/>
      <w:bookmarkStart w:id="12" w:name="_Toc463002428"/>
      <w:bookmarkStart w:id="13" w:name="_Toc472586340"/>
      <w:bookmarkStart w:id="14" w:name="_Toc482168118"/>
      <w:bookmarkStart w:id="15" w:name="_Toc482174905"/>
      <w:bookmarkStart w:id="16" w:name="_Toc9366977"/>
      <w:bookmarkStart w:id="17" w:name="_Toc10111294"/>
      <w:bookmarkStart w:id="18" w:name="_Toc17892113"/>
      <w:bookmarkStart w:id="19" w:name="_Toc59612282"/>
      <w:r w:rsidRPr="00876F66">
        <w:lastRenderedPageBreak/>
        <w:t>Glossary</w:t>
      </w:r>
      <w:bookmarkEnd w:id="9"/>
      <w:bookmarkEnd w:id="10"/>
      <w:bookmarkEnd w:id="11"/>
      <w:bookmarkEnd w:id="12"/>
      <w:bookmarkEnd w:id="13"/>
      <w:bookmarkEnd w:id="14"/>
      <w:bookmarkEnd w:id="15"/>
      <w:bookmarkEnd w:id="16"/>
      <w:bookmarkEnd w:id="17"/>
      <w:bookmarkEnd w:id="18"/>
      <w:bookmarkEnd w:id="19"/>
    </w:p>
    <w:tbl>
      <w:tblPr>
        <w:tblStyle w:val="Deloittetable"/>
        <w:tblW w:w="5000" w:type="pct"/>
        <w:tblLook w:val="04A0" w:firstRow="1" w:lastRow="0" w:firstColumn="1" w:lastColumn="0" w:noHBand="0" w:noVBand="1"/>
      </w:tblPr>
      <w:tblGrid>
        <w:gridCol w:w="2771"/>
        <w:gridCol w:w="6255"/>
      </w:tblGrid>
      <w:tr w:rsidR="00BF3260" w:rsidRPr="00806743" w14:paraId="2A9221D7" w14:textId="77777777" w:rsidTr="007854F9">
        <w:trPr>
          <w:cnfStyle w:val="100000000000" w:firstRow="1" w:lastRow="0" w:firstColumn="0" w:lastColumn="0" w:oddVBand="0" w:evenVBand="0" w:oddHBand="0" w:evenHBand="0" w:firstRowFirstColumn="0" w:firstRowLastColumn="0" w:lastRowFirstColumn="0" w:lastRowLastColumn="0"/>
        </w:trPr>
        <w:tc>
          <w:tcPr>
            <w:tcW w:w="1535" w:type="pct"/>
          </w:tcPr>
          <w:p w14:paraId="2A9221D5" w14:textId="77777777" w:rsidR="00BF3260" w:rsidRPr="00392D56" w:rsidRDefault="002B4164" w:rsidP="005D550E">
            <w:pPr>
              <w:pStyle w:val="TabletextLeft"/>
              <w:rPr>
                <w:rFonts w:asciiTheme="majorHAnsi" w:hAnsiTheme="majorHAnsi"/>
                <w:b/>
                <w:szCs w:val="17"/>
              </w:rPr>
            </w:pPr>
            <w:r w:rsidRPr="00392D56">
              <w:rPr>
                <w:rFonts w:asciiTheme="majorHAnsi" w:hAnsiTheme="majorHAnsi"/>
                <w:b/>
                <w:szCs w:val="17"/>
              </w:rPr>
              <w:t>Acronym</w:t>
            </w:r>
          </w:p>
        </w:tc>
        <w:tc>
          <w:tcPr>
            <w:tcW w:w="3465" w:type="pct"/>
          </w:tcPr>
          <w:p w14:paraId="2A9221D6" w14:textId="77777777" w:rsidR="00BF3260" w:rsidRPr="00392D56" w:rsidRDefault="002B4164" w:rsidP="005D550E">
            <w:pPr>
              <w:pStyle w:val="TabletextLeft"/>
              <w:rPr>
                <w:rFonts w:asciiTheme="majorHAnsi" w:hAnsiTheme="majorHAnsi"/>
                <w:b/>
                <w:szCs w:val="17"/>
              </w:rPr>
            </w:pPr>
            <w:r w:rsidRPr="00392D56">
              <w:rPr>
                <w:rFonts w:asciiTheme="majorHAnsi" w:hAnsiTheme="majorHAnsi"/>
                <w:b/>
                <w:szCs w:val="17"/>
              </w:rPr>
              <w:t>Full name</w:t>
            </w:r>
          </w:p>
        </w:tc>
      </w:tr>
      <w:tr w:rsidR="00CD5000" w:rsidRPr="00806743" w14:paraId="2A9221DA" w14:textId="77777777" w:rsidTr="007854F9">
        <w:tc>
          <w:tcPr>
            <w:tcW w:w="1535" w:type="pct"/>
          </w:tcPr>
          <w:p w14:paraId="2A9221D8" w14:textId="77777777" w:rsidR="00CD5000" w:rsidRDefault="00CD5000" w:rsidP="005D550E">
            <w:pPr>
              <w:pStyle w:val="TabletextLeft"/>
              <w:rPr>
                <w:rFonts w:asciiTheme="majorHAnsi" w:hAnsiTheme="majorHAnsi"/>
                <w:szCs w:val="17"/>
              </w:rPr>
            </w:pPr>
            <w:r>
              <w:rPr>
                <w:rFonts w:asciiTheme="majorHAnsi" w:hAnsiTheme="majorHAnsi"/>
                <w:szCs w:val="17"/>
              </w:rPr>
              <w:t>AER</w:t>
            </w:r>
          </w:p>
        </w:tc>
        <w:tc>
          <w:tcPr>
            <w:tcW w:w="3465" w:type="pct"/>
          </w:tcPr>
          <w:p w14:paraId="2A9221D9" w14:textId="2E8966D8" w:rsidR="00CD5000" w:rsidRDefault="00CD5000" w:rsidP="005D550E">
            <w:pPr>
              <w:pStyle w:val="TabletextLeft"/>
              <w:rPr>
                <w:rFonts w:asciiTheme="majorHAnsi" w:hAnsiTheme="majorHAnsi"/>
                <w:szCs w:val="17"/>
              </w:rPr>
            </w:pPr>
            <w:r>
              <w:rPr>
                <w:rFonts w:asciiTheme="majorHAnsi" w:hAnsiTheme="majorHAnsi"/>
                <w:szCs w:val="17"/>
              </w:rPr>
              <w:t>Australia</w:t>
            </w:r>
            <w:r w:rsidR="005B63FA">
              <w:rPr>
                <w:rFonts w:asciiTheme="majorHAnsi" w:hAnsiTheme="majorHAnsi"/>
                <w:szCs w:val="17"/>
              </w:rPr>
              <w:t>n</w:t>
            </w:r>
            <w:r>
              <w:rPr>
                <w:rFonts w:asciiTheme="majorHAnsi" w:hAnsiTheme="majorHAnsi"/>
                <w:szCs w:val="17"/>
              </w:rPr>
              <w:t xml:space="preserve"> Energy Regulator</w:t>
            </w:r>
          </w:p>
        </w:tc>
      </w:tr>
      <w:tr w:rsidR="00037E01" w:rsidRPr="00806743" w14:paraId="17529067" w14:textId="77777777" w:rsidTr="007854F9">
        <w:tc>
          <w:tcPr>
            <w:tcW w:w="1535" w:type="pct"/>
          </w:tcPr>
          <w:p w14:paraId="524DEBA8" w14:textId="3E33A82D" w:rsidR="00037E01" w:rsidRDefault="00037E01" w:rsidP="005D550E">
            <w:pPr>
              <w:pStyle w:val="TabletextLeft"/>
              <w:rPr>
                <w:rFonts w:asciiTheme="majorHAnsi" w:hAnsiTheme="majorHAnsi"/>
                <w:szCs w:val="17"/>
              </w:rPr>
            </w:pPr>
            <w:r>
              <w:rPr>
                <w:rFonts w:asciiTheme="majorHAnsi" w:hAnsiTheme="majorHAnsi"/>
                <w:szCs w:val="17"/>
              </w:rPr>
              <w:t>AGA</w:t>
            </w:r>
          </w:p>
        </w:tc>
        <w:tc>
          <w:tcPr>
            <w:tcW w:w="3465" w:type="pct"/>
          </w:tcPr>
          <w:p w14:paraId="1256644D" w14:textId="3411B530" w:rsidR="00037E01" w:rsidRDefault="00037E01">
            <w:pPr>
              <w:pStyle w:val="TabletextLeft"/>
            </w:pPr>
            <w:r>
              <w:t>Australian Gas Association</w:t>
            </w:r>
          </w:p>
        </w:tc>
      </w:tr>
      <w:tr w:rsidR="00844ACE" w:rsidRPr="00806743" w14:paraId="5CC2F420" w14:textId="77777777" w:rsidTr="007854F9">
        <w:tc>
          <w:tcPr>
            <w:tcW w:w="1535" w:type="pct"/>
          </w:tcPr>
          <w:p w14:paraId="454F30C1" w14:textId="7FCB167D" w:rsidR="00844ACE" w:rsidRDefault="00844ACE" w:rsidP="005D550E">
            <w:pPr>
              <w:pStyle w:val="TabletextLeft"/>
              <w:rPr>
                <w:rFonts w:asciiTheme="majorHAnsi" w:hAnsiTheme="majorHAnsi"/>
                <w:szCs w:val="17"/>
              </w:rPr>
            </w:pPr>
            <w:r>
              <w:rPr>
                <w:rFonts w:asciiTheme="majorHAnsi" w:hAnsiTheme="majorHAnsi"/>
                <w:szCs w:val="17"/>
              </w:rPr>
              <w:t>AG-001</w:t>
            </w:r>
          </w:p>
        </w:tc>
        <w:tc>
          <w:tcPr>
            <w:tcW w:w="3465" w:type="pct"/>
          </w:tcPr>
          <w:p w14:paraId="0A0E2C37" w14:textId="400528B8" w:rsidR="00844ACE" w:rsidRDefault="00844ACE">
            <w:pPr>
              <w:pStyle w:val="TabletextLeft"/>
            </w:pPr>
            <w:r w:rsidRPr="00844ACE">
              <w:t>Standards Australia Committee for Gas Appliances</w:t>
            </w:r>
          </w:p>
        </w:tc>
      </w:tr>
      <w:tr w:rsidR="00211E04" w:rsidRPr="00806743" w14:paraId="7E4B665E" w14:textId="77777777" w:rsidTr="007854F9">
        <w:tc>
          <w:tcPr>
            <w:tcW w:w="1535" w:type="pct"/>
          </w:tcPr>
          <w:p w14:paraId="14BDD77E" w14:textId="23F49049" w:rsidR="00211E04" w:rsidRDefault="00211E04" w:rsidP="005D550E">
            <w:pPr>
              <w:pStyle w:val="TabletextLeft"/>
              <w:rPr>
                <w:rFonts w:asciiTheme="majorHAnsi" w:hAnsiTheme="majorHAnsi"/>
                <w:szCs w:val="17"/>
              </w:rPr>
            </w:pPr>
            <w:r>
              <w:rPr>
                <w:rFonts w:asciiTheme="majorHAnsi" w:hAnsiTheme="majorHAnsi"/>
                <w:szCs w:val="17"/>
              </w:rPr>
              <w:t>AS</w:t>
            </w:r>
          </w:p>
        </w:tc>
        <w:tc>
          <w:tcPr>
            <w:tcW w:w="3465" w:type="pct"/>
          </w:tcPr>
          <w:p w14:paraId="5200A875" w14:textId="1DFF242A" w:rsidR="00211E04" w:rsidRPr="007A36C9" w:rsidRDefault="00211E04">
            <w:pPr>
              <w:pStyle w:val="TabletextLeft"/>
            </w:pPr>
            <w:r>
              <w:t>Australian Standard</w:t>
            </w:r>
          </w:p>
        </w:tc>
      </w:tr>
      <w:tr w:rsidR="000C333C" w:rsidRPr="00806743" w14:paraId="283DF496" w14:textId="77777777" w:rsidTr="007854F9">
        <w:tc>
          <w:tcPr>
            <w:tcW w:w="1535" w:type="pct"/>
          </w:tcPr>
          <w:p w14:paraId="2D3140E9" w14:textId="6A33AA2E" w:rsidR="000C333C" w:rsidRDefault="000C333C" w:rsidP="000C333C">
            <w:pPr>
              <w:pStyle w:val="TabletextLeft"/>
              <w:rPr>
                <w:rFonts w:asciiTheme="majorHAnsi" w:hAnsiTheme="majorHAnsi"/>
                <w:szCs w:val="17"/>
              </w:rPr>
            </w:pPr>
            <w:r>
              <w:rPr>
                <w:rFonts w:asciiTheme="majorHAnsi" w:hAnsiTheme="majorHAnsi"/>
                <w:szCs w:val="17"/>
              </w:rPr>
              <w:t>BRV</w:t>
            </w:r>
          </w:p>
        </w:tc>
        <w:tc>
          <w:tcPr>
            <w:tcW w:w="3465" w:type="pct"/>
          </w:tcPr>
          <w:p w14:paraId="5593F57F" w14:textId="5B148FFC" w:rsidR="000C333C" w:rsidRDefault="000C333C" w:rsidP="000C333C">
            <w:pPr>
              <w:pStyle w:val="TabletextLeft"/>
            </w:pPr>
            <w:r>
              <w:rPr>
                <w:rFonts w:asciiTheme="majorHAnsi" w:hAnsiTheme="majorHAnsi"/>
                <w:szCs w:val="17"/>
              </w:rPr>
              <w:t>Better Regulation Victoria</w:t>
            </w:r>
          </w:p>
        </w:tc>
      </w:tr>
      <w:tr w:rsidR="005B796A" w:rsidRPr="00806743" w14:paraId="308B65E0" w14:textId="77777777" w:rsidTr="007854F9">
        <w:tc>
          <w:tcPr>
            <w:tcW w:w="1535" w:type="pct"/>
          </w:tcPr>
          <w:p w14:paraId="235CC98B" w14:textId="046C7CA9" w:rsidR="005B796A" w:rsidRDefault="005B796A" w:rsidP="005D550E">
            <w:pPr>
              <w:pStyle w:val="TabletextLeft"/>
              <w:rPr>
                <w:rFonts w:asciiTheme="majorHAnsi" w:hAnsiTheme="majorHAnsi"/>
                <w:szCs w:val="17"/>
              </w:rPr>
            </w:pPr>
            <w:r>
              <w:rPr>
                <w:rFonts w:asciiTheme="majorHAnsi" w:hAnsiTheme="majorHAnsi"/>
                <w:szCs w:val="17"/>
              </w:rPr>
              <w:t>Building Act</w:t>
            </w:r>
          </w:p>
        </w:tc>
        <w:tc>
          <w:tcPr>
            <w:tcW w:w="3465" w:type="pct"/>
          </w:tcPr>
          <w:p w14:paraId="39ACAD91" w14:textId="204C8B39" w:rsidR="005B796A" w:rsidRPr="000276F0" w:rsidRDefault="005B796A" w:rsidP="005D550E">
            <w:pPr>
              <w:pStyle w:val="TabletextLeft"/>
              <w:rPr>
                <w:i/>
                <w:iCs/>
              </w:rPr>
            </w:pPr>
            <w:r w:rsidRPr="000276F0">
              <w:rPr>
                <w:i/>
                <w:iCs/>
              </w:rPr>
              <w:t>Building Act 1993</w:t>
            </w:r>
          </w:p>
        </w:tc>
      </w:tr>
      <w:tr w:rsidR="00701D76" w:rsidRPr="00806743" w14:paraId="0AAC14E1" w14:textId="77777777" w:rsidTr="007854F9">
        <w:tc>
          <w:tcPr>
            <w:tcW w:w="1535" w:type="pct"/>
          </w:tcPr>
          <w:p w14:paraId="64DAFAED" w14:textId="4F7C6EC4" w:rsidR="00701D76" w:rsidRDefault="00701D76" w:rsidP="005D550E">
            <w:pPr>
              <w:pStyle w:val="TabletextLeft"/>
              <w:rPr>
                <w:rFonts w:asciiTheme="majorHAnsi" w:hAnsiTheme="majorHAnsi"/>
                <w:szCs w:val="17"/>
              </w:rPr>
            </w:pPr>
            <w:r>
              <w:rPr>
                <w:rFonts w:asciiTheme="majorHAnsi" w:hAnsiTheme="majorHAnsi"/>
                <w:szCs w:val="17"/>
              </w:rPr>
              <w:t>CABs</w:t>
            </w:r>
          </w:p>
        </w:tc>
        <w:tc>
          <w:tcPr>
            <w:tcW w:w="3465" w:type="pct"/>
          </w:tcPr>
          <w:p w14:paraId="3FD933FC" w14:textId="5E609172" w:rsidR="00701D76" w:rsidRDefault="00701D76" w:rsidP="005D550E">
            <w:pPr>
              <w:pStyle w:val="TabletextLeft"/>
              <w:rPr>
                <w:rFonts w:asciiTheme="majorHAnsi" w:hAnsiTheme="majorHAnsi"/>
                <w:szCs w:val="17"/>
              </w:rPr>
            </w:pPr>
            <w:r>
              <w:t>Conformity Assessment Bodies</w:t>
            </w:r>
          </w:p>
        </w:tc>
      </w:tr>
      <w:tr w:rsidR="00D321AF" w:rsidRPr="00806743" w14:paraId="65E6473C" w14:textId="77777777" w:rsidTr="007854F9">
        <w:tc>
          <w:tcPr>
            <w:tcW w:w="1535" w:type="pct"/>
          </w:tcPr>
          <w:p w14:paraId="7077E510" w14:textId="772D8436" w:rsidR="00D321AF" w:rsidRDefault="00D321AF" w:rsidP="005D550E">
            <w:pPr>
              <w:pStyle w:val="TabletextLeft"/>
              <w:rPr>
                <w:rFonts w:asciiTheme="majorHAnsi" w:hAnsiTheme="majorHAnsi"/>
                <w:szCs w:val="17"/>
              </w:rPr>
            </w:pPr>
            <w:r>
              <w:rPr>
                <w:rFonts w:asciiTheme="majorHAnsi" w:hAnsiTheme="majorHAnsi"/>
                <w:szCs w:val="17"/>
              </w:rPr>
              <w:t>CO</w:t>
            </w:r>
          </w:p>
        </w:tc>
        <w:tc>
          <w:tcPr>
            <w:tcW w:w="3465" w:type="pct"/>
          </w:tcPr>
          <w:p w14:paraId="429B966A" w14:textId="2153EA12" w:rsidR="00D321AF" w:rsidRDefault="00D321AF" w:rsidP="005D550E">
            <w:pPr>
              <w:pStyle w:val="TabletextLeft"/>
              <w:rPr>
                <w:rFonts w:asciiTheme="majorHAnsi" w:hAnsiTheme="majorHAnsi"/>
                <w:szCs w:val="17"/>
              </w:rPr>
            </w:pPr>
            <w:r>
              <w:rPr>
                <w:rFonts w:asciiTheme="majorHAnsi" w:hAnsiTheme="majorHAnsi"/>
                <w:szCs w:val="17"/>
              </w:rPr>
              <w:t>Carbon monoxide</w:t>
            </w:r>
          </w:p>
        </w:tc>
      </w:tr>
      <w:tr w:rsidR="00B96271" w:rsidRPr="00806743" w14:paraId="1012ED02" w14:textId="77777777" w:rsidTr="007854F9">
        <w:tc>
          <w:tcPr>
            <w:tcW w:w="1535" w:type="pct"/>
          </w:tcPr>
          <w:p w14:paraId="029F5149" w14:textId="60AFE3D3" w:rsidR="00B96271" w:rsidRDefault="00B96271" w:rsidP="005D550E">
            <w:pPr>
              <w:pStyle w:val="TabletextLeft"/>
              <w:rPr>
                <w:rFonts w:asciiTheme="majorHAnsi" w:hAnsiTheme="majorHAnsi"/>
                <w:szCs w:val="17"/>
              </w:rPr>
            </w:pPr>
            <w:r>
              <w:rPr>
                <w:rFonts w:asciiTheme="majorHAnsi" w:hAnsiTheme="majorHAnsi"/>
                <w:szCs w:val="17"/>
              </w:rPr>
              <w:t>CAV</w:t>
            </w:r>
          </w:p>
        </w:tc>
        <w:tc>
          <w:tcPr>
            <w:tcW w:w="3465" w:type="pct"/>
          </w:tcPr>
          <w:p w14:paraId="34FE0502" w14:textId="0AC553DD" w:rsidR="00B96271" w:rsidRDefault="00B96271" w:rsidP="005D550E">
            <w:pPr>
              <w:pStyle w:val="TabletextLeft"/>
              <w:rPr>
                <w:rFonts w:asciiTheme="majorHAnsi" w:hAnsiTheme="majorHAnsi"/>
                <w:szCs w:val="17"/>
              </w:rPr>
            </w:pPr>
            <w:r>
              <w:rPr>
                <w:rFonts w:asciiTheme="majorHAnsi" w:hAnsiTheme="majorHAnsi"/>
                <w:szCs w:val="17"/>
              </w:rPr>
              <w:t>Consumer Affairs Victoria</w:t>
            </w:r>
          </w:p>
        </w:tc>
      </w:tr>
      <w:tr w:rsidR="00A01B40" w:rsidRPr="00806743" w14:paraId="2A9221DD" w14:textId="77777777" w:rsidTr="007854F9">
        <w:tc>
          <w:tcPr>
            <w:tcW w:w="1535" w:type="pct"/>
          </w:tcPr>
          <w:p w14:paraId="2A9221DB" w14:textId="77777777" w:rsidR="00A01B40" w:rsidRDefault="00A01B40" w:rsidP="005D550E">
            <w:pPr>
              <w:pStyle w:val="TabletextLeft"/>
              <w:rPr>
                <w:rFonts w:asciiTheme="majorHAnsi" w:hAnsiTheme="majorHAnsi"/>
                <w:szCs w:val="17"/>
              </w:rPr>
            </w:pPr>
            <w:r>
              <w:rPr>
                <w:rFonts w:asciiTheme="majorHAnsi" w:hAnsiTheme="majorHAnsi"/>
                <w:szCs w:val="17"/>
              </w:rPr>
              <w:t>CFA</w:t>
            </w:r>
          </w:p>
        </w:tc>
        <w:tc>
          <w:tcPr>
            <w:tcW w:w="3465" w:type="pct"/>
          </w:tcPr>
          <w:p w14:paraId="2A9221DC" w14:textId="77777777" w:rsidR="00A01B40" w:rsidRDefault="00A01B40" w:rsidP="005D550E">
            <w:pPr>
              <w:pStyle w:val="TabletextLeft"/>
              <w:rPr>
                <w:rFonts w:asciiTheme="majorHAnsi" w:hAnsiTheme="majorHAnsi"/>
                <w:szCs w:val="17"/>
              </w:rPr>
            </w:pPr>
            <w:r>
              <w:rPr>
                <w:rFonts w:asciiTheme="majorHAnsi" w:hAnsiTheme="majorHAnsi"/>
                <w:szCs w:val="17"/>
              </w:rPr>
              <w:t>Country Fire Authority</w:t>
            </w:r>
          </w:p>
        </w:tc>
      </w:tr>
      <w:tr w:rsidR="003F5041" w:rsidRPr="00806743" w14:paraId="3EF394B7" w14:textId="77777777" w:rsidTr="007854F9">
        <w:tc>
          <w:tcPr>
            <w:tcW w:w="1535" w:type="pct"/>
          </w:tcPr>
          <w:p w14:paraId="2490925B" w14:textId="08ED93A1" w:rsidR="003F5041" w:rsidRPr="00805BBD" w:rsidRDefault="003F5041" w:rsidP="005D550E">
            <w:pPr>
              <w:pStyle w:val="TabletextLeft"/>
            </w:pPr>
            <w:r w:rsidRPr="00CB55C2">
              <w:t>DELWP</w:t>
            </w:r>
          </w:p>
        </w:tc>
        <w:tc>
          <w:tcPr>
            <w:tcW w:w="3465" w:type="pct"/>
          </w:tcPr>
          <w:p w14:paraId="594B75D0" w14:textId="477C9387" w:rsidR="003F5041" w:rsidRDefault="003F5041" w:rsidP="003F5041">
            <w:pPr>
              <w:pStyle w:val="TabletextLeft"/>
              <w:rPr>
                <w:rFonts w:asciiTheme="majorHAnsi" w:hAnsiTheme="majorHAnsi"/>
                <w:szCs w:val="17"/>
              </w:rPr>
            </w:pPr>
            <w:r>
              <w:t xml:space="preserve">Department of Environment, Land, Water and Planning </w:t>
            </w:r>
          </w:p>
        </w:tc>
      </w:tr>
      <w:tr w:rsidR="00B96271" w:rsidRPr="00806743" w14:paraId="44EBE9DE" w14:textId="77777777" w:rsidTr="007854F9">
        <w:tc>
          <w:tcPr>
            <w:tcW w:w="1535" w:type="pct"/>
          </w:tcPr>
          <w:p w14:paraId="09497F1D" w14:textId="45FCE8FB" w:rsidR="00B96271" w:rsidRDefault="00B96271" w:rsidP="00050FFA">
            <w:pPr>
              <w:pStyle w:val="TabletextLeft"/>
              <w:rPr>
                <w:rFonts w:asciiTheme="majorHAnsi" w:hAnsiTheme="majorHAnsi"/>
                <w:szCs w:val="17"/>
              </w:rPr>
            </w:pPr>
            <w:r>
              <w:rPr>
                <w:rFonts w:asciiTheme="majorHAnsi" w:hAnsiTheme="majorHAnsi"/>
                <w:szCs w:val="17"/>
              </w:rPr>
              <w:t>DHHS</w:t>
            </w:r>
          </w:p>
        </w:tc>
        <w:tc>
          <w:tcPr>
            <w:tcW w:w="3465" w:type="pct"/>
          </w:tcPr>
          <w:p w14:paraId="639E2485" w14:textId="2D39A66F" w:rsidR="00B96271" w:rsidRDefault="00B96271" w:rsidP="00050FFA">
            <w:pPr>
              <w:pStyle w:val="TabletextLeft"/>
              <w:rPr>
                <w:rFonts w:asciiTheme="majorHAnsi" w:hAnsiTheme="majorHAnsi"/>
                <w:szCs w:val="17"/>
              </w:rPr>
            </w:pPr>
            <w:r>
              <w:rPr>
                <w:rFonts w:asciiTheme="majorHAnsi" w:hAnsiTheme="majorHAnsi"/>
                <w:szCs w:val="17"/>
              </w:rPr>
              <w:t>Department of Health and Human Services</w:t>
            </w:r>
          </w:p>
        </w:tc>
      </w:tr>
      <w:tr w:rsidR="00050FFA" w:rsidRPr="00806743" w14:paraId="62B48211" w14:textId="77777777" w:rsidTr="007854F9">
        <w:tc>
          <w:tcPr>
            <w:tcW w:w="1535" w:type="pct"/>
          </w:tcPr>
          <w:p w14:paraId="70C21D02" w14:textId="1953DFBE" w:rsidR="00050FFA" w:rsidRDefault="00050FFA" w:rsidP="00050FFA">
            <w:pPr>
              <w:pStyle w:val="TabletextLeft"/>
              <w:rPr>
                <w:rFonts w:asciiTheme="majorHAnsi" w:hAnsiTheme="majorHAnsi"/>
                <w:szCs w:val="17"/>
              </w:rPr>
            </w:pPr>
            <w:r>
              <w:rPr>
                <w:rFonts w:asciiTheme="majorHAnsi" w:hAnsiTheme="majorHAnsi"/>
                <w:szCs w:val="17"/>
              </w:rPr>
              <w:t>ESV</w:t>
            </w:r>
          </w:p>
        </w:tc>
        <w:tc>
          <w:tcPr>
            <w:tcW w:w="3465" w:type="pct"/>
          </w:tcPr>
          <w:p w14:paraId="61DFD328" w14:textId="41BB3305" w:rsidR="00050FFA" w:rsidRDefault="00050FFA" w:rsidP="00050FFA">
            <w:pPr>
              <w:pStyle w:val="TabletextLeft"/>
              <w:rPr>
                <w:rFonts w:asciiTheme="majorHAnsi" w:hAnsiTheme="majorHAnsi"/>
                <w:szCs w:val="17"/>
              </w:rPr>
            </w:pPr>
            <w:r>
              <w:rPr>
                <w:rFonts w:asciiTheme="majorHAnsi" w:hAnsiTheme="majorHAnsi"/>
                <w:szCs w:val="17"/>
              </w:rPr>
              <w:t>Energy Safe Victoria</w:t>
            </w:r>
          </w:p>
        </w:tc>
      </w:tr>
      <w:tr w:rsidR="00B96271" w:rsidRPr="00806743" w14:paraId="32ECC378" w14:textId="77777777" w:rsidTr="007854F9">
        <w:tc>
          <w:tcPr>
            <w:tcW w:w="1535" w:type="pct"/>
          </w:tcPr>
          <w:p w14:paraId="357D987A" w14:textId="072E2E64" w:rsidR="00B96271" w:rsidRDefault="00B96271" w:rsidP="00050FFA">
            <w:pPr>
              <w:pStyle w:val="TabletextLeft"/>
              <w:rPr>
                <w:rFonts w:asciiTheme="majorHAnsi" w:hAnsiTheme="majorHAnsi"/>
                <w:szCs w:val="17"/>
              </w:rPr>
            </w:pPr>
            <w:r>
              <w:rPr>
                <w:rFonts w:asciiTheme="majorHAnsi" w:hAnsiTheme="majorHAnsi"/>
                <w:szCs w:val="17"/>
              </w:rPr>
              <w:t>GS Act</w:t>
            </w:r>
          </w:p>
        </w:tc>
        <w:tc>
          <w:tcPr>
            <w:tcW w:w="3465" w:type="pct"/>
          </w:tcPr>
          <w:p w14:paraId="2E4F4A93" w14:textId="39F60BFF" w:rsidR="00B96271" w:rsidRPr="00646E60" w:rsidRDefault="00B96271" w:rsidP="00050FFA">
            <w:pPr>
              <w:pStyle w:val="TabletextLeft"/>
              <w:rPr>
                <w:i/>
              </w:rPr>
            </w:pPr>
            <w:r w:rsidRPr="00646E60">
              <w:rPr>
                <w:i/>
              </w:rPr>
              <w:t>Gas Safety Act 1997</w:t>
            </w:r>
          </w:p>
        </w:tc>
      </w:tr>
      <w:tr w:rsidR="00701D76" w:rsidRPr="00806743" w14:paraId="0A17E6B5" w14:textId="77777777" w:rsidTr="007854F9">
        <w:tc>
          <w:tcPr>
            <w:tcW w:w="1535" w:type="pct"/>
          </w:tcPr>
          <w:p w14:paraId="018168AE" w14:textId="1273E4F6" w:rsidR="00701D76" w:rsidRDefault="00701D76" w:rsidP="00050FFA">
            <w:pPr>
              <w:pStyle w:val="TabletextLeft"/>
              <w:rPr>
                <w:rFonts w:asciiTheme="majorHAnsi" w:hAnsiTheme="majorHAnsi"/>
                <w:szCs w:val="17"/>
              </w:rPr>
            </w:pPr>
            <w:r>
              <w:rPr>
                <w:rFonts w:asciiTheme="majorHAnsi" w:hAnsiTheme="majorHAnsi"/>
                <w:szCs w:val="17"/>
              </w:rPr>
              <w:t>GTRC</w:t>
            </w:r>
          </w:p>
        </w:tc>
        <w:tc>
          <w:tcPr>
            <w:tcW w:w="3465" w:type="pct"/>
          </w:tcPr>
          <w:p w14:paraId="5C998F36" w14:textId="0288A0DE" w:rsidR="00701D76" w:rsidRPr="00C07963" w:rsidRDefault="00701D76" w:rsidP="00CC4A0B">
            <w:pPr>
              <w:pStyle w:val="ListParagraph"/>
              <w:spacing w:after="0" w:line="254" w:lineRule="auto"/>
              <w:ind w:left="0"/>
            </w:pPr>
            <w:r>
              <w:t>Gas Technical Regulator</w:t>
            </w:r>
            <w:r w:rsidR="00225586">
              <w:t>s</w:t>
            </w:r>
            <w:r>
              <w:t xml:space="preserve"> Committee</w:t>
            </w:r>
          </w:p>
        </w:tc>
      </w:tr>
      <w:tr w:rsidR="00D40011" w:rsidRPr="00806743" w14:paraId="2D4E9971" w14:textId="77777777" w:rsidTr="007854F9">
        <w:tc>
          <w:tcPr>
            <w:tcW w:w="1535" w:type="pct"/>
          </w:tcPr>
          <w:p w14:paraId="58005C25" w14:textId="47FA3130" w:rsidR="00D40011" w:rsidRDefault="00D40011" w:rsidP="00050FFA">
            <w:pPr>
              <w:pStyle w:val="TabletextLeft"/>
              <w:rPr>
                <w:rFonts w:asciiTheme="majorHAnsi" w:hAnsiTheme="majorHAnsi"/>
                <w:szCs w:val="17"/>
              </w:rPr>
            </w:pPr>
            <w:r>
              <w:rPr>
                <w:rFonts w:asciiTheme="majorHAnsi" w:hAnsiTheme="majorHAnsi"/>
                <w:szCs w:val="17"/>
              </w:rPr>
              <w:t>IAPMO</w:t>
            </w:r>
          </w:p>
        </w:tc>
        <w:tc>
          <w:tcPr>
            <w:tcW w:w="3465" w:type="pct"/>
          </w:tcPr>
          <w:p w14:paraId="20DBDA33" w14:textId="35C23867" w:rsidR="00D40011" w:rsidRPr="00152079" w:rsidRDefault="00D40011" w:rsidP="00050FFA">
            <w:pPr>
              <w:pStyle w:val="TabletextLeft"/>
            </w:pPr>
            <w:r w:rsidRPr="00152079">
              <w:t>International Association of Plumbing and Mechanical Officials</w:t>
            </w:r>
          </w:p>
        </w:tc>
      </w:tr>
      <w:tr w:rsidR="00C55D0E" w:rsidRPr="00806743" w14:paraId="1D94B241" w14:textId="77777777" w:rsidTr="007854F9">
        <w:tc>
          <w:tcPr>
            <w:tcW w:w="1535" w:type="pct"/>
          </w:tcPr>
          <w:p w14:paraId="2159B77E" w14:textId="2C058ADE" w:rsidR="00C55D0E" w:rsidRPr="00096B3A" w:rsidRDefault="00C55D0E" w:rsidP="00252705">
            <w:pPr>
              <w:pStyle w:val="TabletextLeft"/>
            </w:pPr>
            <w:r w:rsidRPr="00252705">
              <w:t>NatHERS</w:t>
            </w:r>
          </w:p>
        </w:tc>
        <w:tc>
          <w:tcPr>
            <w:tcW w:w="3465" w:type="pct"/>
          </w:tcPr>
          <w:p w14:paraId="09E126A8" w14:textId="259A0527" w:rsidR="00C55D0E" w:rsidRPr="00152079" w:rsidRDefault="00C55D0E" w:rsidP="00252705">
            <w:pPr>
              <w:pStyle w:val="TabletextLeft"/>
            </w:pPr>
            <w:r w:rsidRPr="00252705">
              <w:t xml:space="preserve">Nationwide House Energy Rating Scheme </w:t>
            </w:r>
          </w:p>
        </w:tc>
      </w:tr>
      <w:tr w:rsidR="00050FFA" w:rsidRPr="00806743" w14:paraId="7F68DD83" w14:textId="77777777" w:rsidTr="007854F9">
        <w:tc>
          <w:tcPr>
            <w:tcW w:w="1535" w:type="pct"/>
          </w:tcPr>
          <w:p w14:paraId="4C271CB7" w14:textId="391BBDC8" w:rsidR="00050FFA" w:rsidRDefault="000C333C" w:rsidP="00050FFA">
            <w:pPr>
              <w:pStyle w:val="TabletextLeft"/>
              <w:rPr>
                <w:rFonts w:asciiTheme="majorHAnsi" w:hAnsiTheme="majorHAnsi"/>
                <w:szCs w:val="17"/>
              </w:rPr>
            </w:pPr>
            <w:r>
              <w:rPr>
                <w:rFonts w:asciiTheme="majorHAnsi" w:hAnsiTheme="majorHAnsi"/>
                <w:szCs w:val="17"/>
              </w:rPr>
              <w:t>NCC</w:t>
            </w:r>
          </w:p>
        </w:tc>
        <w:tc>
          <w:tcPr>
            <w:tcW w:w="3465" w:type="pct"/>
          </w:tcPr>
          <w:p w14:paraId="13856463" w14:textId="784C65D6" w:rsidR="00050FFA" w:rsidRPr="00152079" w:rsidRDefault="000C333C" w:rsidP="00050FFA">
            <w:pPr>
              <w:pStyle w:val="TabletextLeft"/>
              <w:rPr>
                <w:rFonts w:asciiTheme="majorHAnsi" w:hAnsiTheme="majorHAnsi"/>
                <w:szCs w:val="17"/>
              </w:rPr>
            </w:pPr>
            <w:r w:rsidRPr="00152079">
              <w:rPr>
                <w:rFonts w:asciiTheme="majorHAnsi" w:hAnsiTheme="majorHAnsi"/>
                <w:szCs w:val="17"/>
              </w:rPr>
              <w:t>National Construction Code</w:t>
            </w:r>
          </w:p>
        </w:tc>
      </w:tr>
      <w:tr w:rsidR="006E6199" w:rsidRPr="00806743" w14:paraId="3D0E4F8D" w14:textId="77777777" w:rsidTr="007854F9">
        <w:tc>
          <w:tcPr>
            <w:tcW w:w="1535" w:type="pct"/>
          </w:tcPr>
          <w:p w14:paraId="4348A2E2" w14:textId="7EF91926" w:rsidR="006E6199" w:rsidRDefault="000665A4" w:rsidP="00050FFA">
            <w:pPr>
              <w:pStyle w:val="TabletextLeft"/>
              <w:rPr>
                <w:rFonts w:asciiTheme="majorHAnsi" w:hAnsiTheme="majorHAnsi"/>
                <w:szCs w:val="17"/>
              </w:rPr>
            </w:pPr>
            <w:r>
              <w:rPr>
                <w:rFonts w:asciiTheme="majorHAnsi" w:hAnsiTheme="majorHAnsi"/>
                <w:szCs w:val="17"/>
              </w:rPr>
              <w:t>OFGSH</w:t>
            </w:r>
          </w:p>
        </w:tc>
        <w:tc>
          <w:tcPr>
            <w:tcW w:w="3465" w:type="pct"/>
          </w:tcPr>
          <w:p w14:paraId="549D9948" w14:textId="6B6805EF" w:rsidR="006E6199" w:rsidRPr="00152079" w:rsidRDefault="006E6199" w:rsidP="00050FFA">
            <w:pPr>
              <w:pStyle w:val="TabletextLeft"/>
              <w:rPr>
                <w:rFonts w:asciiTheme="majorHAnsi" w:hAnsiTheme="majorHAnsi"/>
                <w:szCs w:val="17"/>
              </w:rPr>
            </w:pPr>
            <w:r w:rsidRPr="00152079">
              <w:t>Open flued gas space heater</w:t>
            </w:r>
          </w:p>
        </w:tc>
      </w:tr>
      <w:tr w:rsidR="00050FFA" w:rsidRPr="00806743" w14:paraId="2A9221EC" w14:textId="77777777" w:rsidTr="007854F9">
        <w:tc>
          <w:tcPr>
            <w:tcW w:w="1535" w:type="pct"/>
          </w:tcPr>
          <w:p w14:paraId="2A9221EA" w14:textId="77777777" w:rsidR="00050FFA" w:rsidRDefault="00050FFA" w:rsidP="00050FFA">
            <w:pPr>
              <w:pStyle w:val="TabletextLeft"/>
              <w:rPr>
                <w:rFonts w:asciiTheme="majorHAnsi" w:hAnsiTheme="majorHAnsi"/>
                <w:szCs w:val="17"/>
              </w:rPr>
            </w:pPr>
            <w:r>
              <w:rPr>
                <w:rFonts w:asciiTheme="majorHAnsi" w:hAnsiTheme="majorHAnsi"/>
                <w:szCs w:val="17"/>
              </w:rPr>
              <w:t>RIS</w:t>
            </w:r>
          </w:p>
        </w:tc>
        <w:tc>
          <w:tcPr>
            <w:tcW w:w="3465" w:type="pct"/>
          </w:tcPr>
          <w:p w14:paraId="2A9221EB" w14:textId="77777777" w:rsidR="00050FFA" w:rsidRPr="00152079" w:rsidRDefault="00050FFA" w:rsidP="00050FFA">
            <w:pPr>
              <w:pStyle w:val="TabletextLeft"/>
              <w:rPr>
                <w:rFonts w:asciiTheme="majorHAnsi" w:hAnsiTheme="majorHAnsi"/>
                <w:szCs w:val="17"/>
              </w:rPr>
            </w:pPr>
            <w:r w:rsidRPr="00152079">
              <w:rPr>
                <w:rFonts w:asciiTheme="majorHAnsi" w:hAnsiTheme="majorHAnsi"/>
                <w:szCs w:val="17"/>
              </w:rPr>
              <w:t>Regulatory Impact Statement</w:t>
            </w:r>
          </w:p>
        </w:tc>
      </w:tr>
      <w:tr w:rsidR="00E63AD6" w:rsidRPr="00806743" w14:paraId="7E6AD188" w14:textId="77777777" w:rsidTr="007854F9">
        <w:tc>
          <w:tcPr>
            <w:tcW w:w="1535" w:type="pct"/>
          </w:tcPr>
          <w:p w14:paraId="2F6D1A85" w14:textId="22E2E42A" w:rsidR="00E63AD6" w:rsidRDefault="00BD3939" w:rsidP="00050FFA">
            <w:pPr>
              <w:pStyle w:val="TabletextLeft"/>
              <w:rPr>
                <w:rFonts w:asciiTheme="majorHAnsi" w:hAnsiTheme="majorHAnsi"/>
                <w:szCs w:val="17"/>
              </w:rPr>
            </w:pPr>
            <w:r>
              <w:rPr>
                <w:rFonts w:asciiTheme="majorHAnsi" w:hAnsiTheme="majorHAnsi"/>
                <w:szCs w:val="17"/>
              </w:rPr>
              <w:t>RTR</w:t>
            </w:r>
          </w:p>
        </w:tc>
        <w:tc>
          <w:tcPr>
            <w:tcW w:w="3465" w:type="pct"/>
          </w:tcPr>
          <w:p w14:paraId="079F1EBC" w14:textId="1674D1E0" w:rsidR="00E63AD6" w:rsidRPr="00152079" w:rsidRDefault="00BD3939" w:rsidP="00050FFA">
            <w:pPr>
              <w:pStyle w:val="TabletextLeft"/>
            </w:pPr>
            <w:r w:rsidRPr="00FF5BFF">
              <w:t>draft Residential Tenancies Regulations</w:t>
            </w:r>
          </w:p>
        </w:tc>
      </w:tr>
      <w:tr w:rsidR="00BD3939" w:rsidRPr="00806743" w14:paraId="39601737" w14:textId="77777777" w:rsidTr="007854F9">
        <w:tc>
          <w:tcPr>
            <w:tcW w:w="1535" w:type="pct"/>
          </w:tcPr>
          <w:p w14:paraId="548A9386" w14:textId="586D22C5" w:rsidR="00BD3939" w:rsidRDefault="00BD3939" w:rsidP="00050FFA">
            <w:pPr>
              <w:pStyle w:val="TabletextLeft"/>
              <w:rPr>
                <w:rFonts w:asciiTheme="majorHAnsi" w:hAnsiTheme="majorHAnsi"/>
                <w:szCs w:val="17"/>
              </w:rPr>
            </w:pPr>
            <w:r>
              <w:rPr>
                <w:rFonts w:asciiTheme="majorHAnsi" w:hAnsiTheme="majorHAnsi"/>
                <w:szCs w:val="17"/>
              </w:rPr>
              <w:t>RTAA</w:t>
            </w:r>
          </w:p>
        </w:tc>
        <w:tc>
          <w:tcPr>
            <w:tcW w:w="3465" w:type="pct"/>
          </w:tcPr>
          <w:p w14:paraId="634A6DB8" w14:textId="77FDEC0B" w:rsidR="00BD3939" w:rsidRPr="00152079" w:rsidRDefault="00BD3939" w:rsidP="00050FFA">
            <w:pPr>
              <w:pStyle w:val="TabletextLeft"/>
            </w:pPr>
            <w:r w:rsidRPr="00152079">
              <w:rPr>
                <w:i/>
                <w:lang w:eastAsia="en-AU"/>
              </w:rPr>
              <w:t>Residential Tenancies Amendment Act 2018</w:t>
            </w:r>
          </w:p>
        </w:tc>
      </w:tr>
      <w:tr w:rsidR="00EA7E3B" w:rsidRPr="00806743" w14:paraId="2BE56AE8" w14:textId="77777777" w:rsidTr="007854F9">
        <w:tc>
          <w:tcPr>
            <w:tcW w:w="1535" w:type="pct"/>
          </w:tcPr>
          <w:p w14:paraId="2F6A6736" w14:textId="61C1CB3C" w:rsidR="00EA7E3B" w:rsidRDefault="00EA7E3B" w:rsidP="00050FFA">
            <w:pPr>
              <w:pStyle w:val="TabletextLeft"/>
              <w:rPr>
                <w:rFonts w:asciiTheme="majorHAnsi" w:hAnsiTheme="majorHAnsi"/>
                <w:szCs w:val="17"/>
              </w:rPr>
            </w:pPr>
            <w:r>
              <w:rPr>
                <w:rFonts w:asciiTheme="majorHAnsi" w:hAnsiTheme="majorHAnsi"/>
                <w:szCs w:val="17"/>
              </w:rPr>
              <w:t>The Rules</w:t>
            </w:r>
          </w:p>
        </w:tc>
        <w:tc>
          <w:tcPr>
            <w:tcW w:w="3465" w:type="pct"/>
          </w:tcPr>
          <w:p w14:paraId="2006472E" w14:textId="1C79C6DE" w:rsidR="00EA7E3B" w:rsidRPr="00152079" w:rsidRDefault="00225586" w:rsidP="00050FFA">
            <w:pPr>
              <w:pStyle w:val="TabletextLeft"/>
            </w:pPr>
            <w:r>
              <w:t xml:space="preserve">The </w:t>
            </w:r>
            <w:r w:rsidR="00EA7E3B" w:rsidRPr="00152079">
              <w:t>Gas Equipment Certification Scheme</w:t>
            </w:r>
            <w:r>
              <w:t xml:space="preserve"> Rules established by the Gas Technical Regulators Committee</w:t>
            </w:r>
          </w:p>
        </w:tc>
      </w:tr>
      <w:tr w:rsidR="00B96271" w:rsidRPr="00806743" w14:paraId="5D96E2FB" w14:textId="77777777" w:rsidTr="007854F9">
        <w:tc>
          <w:tcPr>
            <w:tcW w:w="1535" w:type="pct"/>
          </w:tcPr>
          <w:p w14:paraId="4723642A" w14:textId="0E4212FC" w:rsidR="00B96271" w:rsidRDefault="00B96271" w:rsidP="00050FFA">
            <w:pPr>
              <w:pStyle w:val="TabletextLeft"/>
              <w:rPr>
                <w:rFonts w:asciiTheme="majorHAnsi" w:hAnsiTheme="majorHAnsi"/>
                <w:szCs w:val="17"/>
              </w:rPr>
            </w:pPr>
            <w:r>
              <w:rPr>
                <w:rFonts w:asciiTheme="majorHAnsi" w:hAnsiTheme="majorHAnsi"/>
                <w:szCs w:val="17"/>
              </w:rPr>
              <w:t>VBA</w:t>
            </w:r>
          </w:p>
        </w:tc>
        <w:tc>
          <w:tcPr>
            <w:tcW w:w="3465" w:type="pct"/>
          </w:tcPr>
          <w:p w14:paraId="33C6682A" w14:textId="04684F81" w:rsidR="00B96271" w:rsidRDefault="00B96271" w:rsidP="00050FFA">
            <w:pPr>
              <w:pStyle w:val="TabletextLeft"/>
              <w:rPr>
                <w:rFonts w:asciiTheme="majorHAnsi" w:hAnsiTheme="majorHAnsi"/>
                <w:szCs w:val="17"/>
              </w:rPr>
            </w:pPr>
            <w:r>
              <w:rPr>
                <w:rFonts w:asciiTheme="majorHAnsi" w:hAnsiTheme="majorHAnsi"/>
                <w:szCs w:val="17"/>
              </w:rPr>
              <w:t>Victorian Building Authority</w:t>
            </w:r>
          </w:p>
        </w:tc>
      </w:tr>
      <w:tr w:rsidR="002E6F2E" w:rsidRPr="00806743" w14:paraId="50E68215" w14:textId="77777777" w:rsidTr="007854F9">
        <w:tc>
          <w:tcPr>
            <w:tcW w:w="1535" w:type="pct"/>
          </w:tcPr>
          <w:p w14:paraId="0C15EF43" w14:textId="334848E2" w:rsidR="002E6F2E" w:rsidRDefault="002E6F2E" w:rsidP="00050FFA">
            <w:pPr>
              <w:pStyle w:val="TabletextLeft"/>
              <w:rPr>
                <w:rFonts w:asciiTheme="majorHAnsi" w:hAnsiTheme="majorHAnsi"/>
                <w:szCs w:val="17"/>
              </w:rPr>
            </w:pPr>
            <w:r>
              <w:rPr>
                <w:rFonts w:asciiTheme="majorHAnsi" w:hAnsiTheme="majorHAnsi"/>
                <w:szCs w:val="17"/>
              </w:rPr>
              <w:t>VEU</w:t>
            </w:r>
          </w:p>
        </w:tc>
        <w:tc>
          <w:tcPr>
            <w:tcW w:w="3465" w:type="pct"/>
          </w:tcPr>
          <w:p w14:paraId="4088886D" w14:textId="4A5885DA" w:rsidR="002E6F2E" w:rsidRDefault="002E6F2E" w:rsidP="00050FFA">
            <w:pPr>
              <w:pStyle w:val="TabletextLeft"/>
              <w:rPr>
                <w:rFonts w:asciiTheme="majorHAnsi" w:hAnsiTheme="majorHAnsi"/>
                <w:szCs w:val="17"/>
              </w:rPr>
            </w:pPr>
            <w:r>
              <w:rPr>
                <w:rFonts w:asciiTheme="majorHAnsi" w:hAnsiTheme="majorHAnsi"/>
                <w:szCs w:val="17"/>
              </w:rPr>
              <w:t>Victorian Energy Upgrades</w:t>
            </w:r>
          </w:p>
        </w:tc>
      </w:tr>
      <w:tr w:rsidR="002E6F2E" w:rsidRPr="00806743" w14:paraId="4F12004C" w14:textId="77777777" w:rsidTr="007854F9">
        <w:tc>
          <w:tcPr>
            <w:tcW w:w="1535" w:type="pct"/>
          </w:tcPr>
          <w:p w14:paraId="655C8F3C" w14:textId="1CD453C3" w:rsidR="002E6F2E" w:rsidRDefault="002E6F2E" w:rsidP="00050FFA">
            <w:pPr>
              <w:pStyle w:val="TabletextLeft"/>
              <w:rPr>
                <w:rFonts w:asciiTheme="majorHAnsi" w:hAnsiTheme="majorHAnsi"/>
                <w:szCs w:val="17"/>
              </w:rPr>
            </w:pPr>
            <w:r>
              <w:rPr>
                <w:rFonts w:asciiTheme="majorHAnsi" w:hAnsiTheme="majorHAnsi"/>
                <w:szCs w:val="17"/>
              </w:rPr>
              <w:t>NCC</w:t>
            </w:r>
          </w:p>
        </w:tc>
        <w:tc>
          <w:tcPr>
            <w:tcW w:w="3465" w:type="pct"/>
          </w:tcPr>
          <w:p w14:paraId="2AEFDD85" w14:textId="367736BC" w:rsidR="002E6F2E" w:rsidRDefault="002E6F2E" w:rsidP="00050FFA">
            <w:pPr>
              <w:pStyle w:val="TabletextLeft"/>
              <w:rPr>
                <w:rFonts w:asciiTheme="majorHAnsi" w:hAnsiTheme="majorHAnsi"/>
                <w:szCs w:val="17"/>
              </w:rPr>
            </w:pPr>
            <w:r>
              <w:rPr>
                <w:rFonts w:asciiTheme="majorHAnsi" w:hAnsiTheme="majorHAnsi"/>
                <w:szCs w:val="17"/>
              </w:rPr>
              <w:t>National Construction Code</w:t>
            </w:r>
          </w:p>
        </w:tc>
      </w:tr>
    </w:tbl>
    <w:p w14:paraId="2A9221FE" w14:textId="30853F81" w:rsidR="00F9113D" w:rsidRPr="00806743" w:rsidRDefault="00F9113D" w:rsidP="00672300">
      <w:pPr>
        <w:rPr>
          <w:rFonts w:asciiTheme="majorHAnsi" w:hAnsiTheme="majorHAnsi"/>
          <w:sz w:val="17"/>
          <w:szCs w:val="17"/>
        </w:rPr>
        <w:sectPr w:rsidR="00F9113D" w:rsidRPr="00806743" w:rsidSect="00BB0C19">
          <w:headerReference w:type="even" r:id="rId28"/>
          <w:headerReference w:type="default" r:id="rId29"/>
          <w:footerReference w:type="default" r:id="rId30"/>
          <w:headerReference w:type="first" r:id="rId31"/>
          <w:pgSz w:w="11906" w:h="16838" w:code="9"/>
          <w:pgMar w:top="1440" w:right="1440" w:bottom="1440" w:left="1440" w:header="680" w:footer="425" w:gutter="0"/>
          <w:pgNumType w:start="3"/>
          <w:cols w:space="284"/>
          <w:docGrid w:linePitch="360"/>
        </w:sectPr>
      </w:pPr>
    </w:p>
    <w:p w14:paraId="19C84A5A" w14:textId="77777777" w:rsidR="005A66E5" w:rsidRDefault="005A66E5" w:rsidP="005A66E5">
      <w:pPr>
        <w:pStyle w:val="Heading1un-numbered"/>
      </w:pPr>
      <w:bookmarkStart w:id="21" w:name="_Toc453841552"/>
      <w:bookmarkStart w:id="22" w:name="_Toc536054806"/>
      <w:bookmarkStart w:id="23" w:name="_Toc536807092"/>
      <w:bookmarkStart w:id="24" w:name="_Toc342466"/>
      <w:bookmarkStart w:id="25" w:name="_Toc10018317"/>
      <w:bookmarkStart w:id="26" w:name="_Toc10021424"/>
      <w:bookmarkStart w:id="27" w:name="_Toc10021838"/>
      <w:bookmarkStart w:id="28" w:name="_Toc12892322"/>
      <w:bookmarkStart w:id="29" w:name="_Toc59612283"/>
      <w:bookmarkStart w:id="30" w:name="_Toc525554610"/>
      <w:bookmarkStart w:id="31" w:name="_Toc215906318"/>
      <w:bookmarkStart w:id="32" w:name="_Toc227746675"/>
      <w:bookmarkStart w:id="33" w:name="_Toc227746679"/>
      <w:bookmarkStart w:id="34" w:name="_Toc227746683"/>
      <w:bookmarkStart w:id="35" w:name="_Toc227746687"/>
      <w:bookmarkStart w:id="36" w:name="_Toc227748309"/>
      <w:bookmarkStart w:id="37" w:name="_Toc227748327"/>
      <w:bookmarkStart w:id="38" w:name="_Toc227748331"/>
      <w:bookmarkStart w:id="39" w:name="_Toc227748335"/>
      <w:bookmarkStart w:id="40" w:name="_Toc227748374"/>
      <w:bookmarkStart w:id="41" w:name="_Toc227748378"/>
      <w:bookmarkStart w:id="42" w:name="_Toc227748382"/>
      <w:bookmarkStart w:id="43" w:name="_Toc227748494"/>
      <w:bookmarkStart w:id="44" w:name="_Toc227748498"/>
      <w:bookmarkStart w:id="45" w:name="_Toc228005205"/>
      <w:bookmarkStart w:id="46" w:name="_Toc228092496"/>
      <w:bookmarkStart w:id="47" w:name="_Toc228264951"/>
      <w:bookmarkStart w:id="48" w:name="_Toc228264973"/>
      <w:bookmarkStart w:id="49" w:name="_Toc228264977"/>
      <w:bookmarkStart w:id="50" w:name="_Toc228264981"/>
      <w:bookmarkStart w:id="51" w:name="_Toc228264985"/>
      <w:bookmarkStart w:id="52" w:name="_Toc228265215"/>
      <w:bookmarkStart w:id="53" w:name="_Toc288198024"/>
      <w:bookmarkStart w:id="54" w:name="_Toc448829185"/>
      <w:bookmarkStart w:id="55" w:name="_Toc456353381"/>
      <w:bookmarkStart w:id="56" w:name="_Toc462313128"/>
      <w:bookmarkStart w:id="57" w:name="_Toc462317837"/>
      <w:bookmarkStart w:id="58" w:name="_Toc462397802"/>
      <w:bookmarkStart w:id="59" w:name="_Toc463002429"/>
      <w:bookmarkStart w:id="60" w:name="_Toc472586341"/>
      <w:bookmarkStart w:id="61" w:name="_Toc482168119"/>
      <w:bookmarkStart w:id="62" w:name="_Toc482174906"/>
      <w:bookmarkStart w:id="63" w:name="_Toc9366978"/>
      <w:bookmarkStart w:id="64" w:name="_Toc10111295"/>
      <w:bookmarkStart w:id="65" w:name="_Toc17892114"/>
      <w:r w:rsidRPr="00103A4E">
        <w:lastRenderedPageBreak/>
        <w:t>Foreword</w:t>
      </w:r>
      <w:bookmarkEnd w:id="21"/>
      <w:bookmarkEnd w:id="22"/>
      <w:bookmarkEnd w:id="23"/>
      <w:bookmarkEnd w:id="24"/>
      <w:bookmarkEnd w:id="25"/>
      <w:bookmarkEnd w:id="26"/>
      <w:bookmarkEnd w:id="27"/>
      <w:bookmarkEnd w:id="28"/>
      <w:bookmarkEnd w:id="29"/>
    </w:p>
    <w:p w14:paraId="131B3F03" w14:textId="7637930C" w:rsidR="00C9421E" w:rsidRPr="00B33AC6" w:rsidRDefault="009B6A3A" w:rsidP="00C9421E">
      <w:r w:rsidRPr="00B33AC6">
        <w:rPr>
          <w:lang w:eastAsia="en-AU"/>
        </w:rPr>
        <w:t>This Regulatory Impact S</w:t>
      </w:r>
      <w:r w:rsidRPr="00B33AC6">
        <w:t>tatement (RIS) has been prepared</w:t>
      </w:r>
      <w:r w:rsidR="00C9421E" w:rsidRPr="00B33AC6">
        <w:t xml:space="preserve"> to determine </w:t>
      </w:r>
      <w:r w:rsidR="005A4053" w:rsidRPr="00B33AC6">
        <w:t xml:space="preserve">the best </w:t>
      </w:r>
      <w:r w:rsidR="00E03DAC">
        <w:t>way</w:t>
      </w:r>
      <w:r w:rsidR="00E03DAC" w:rsidRPr="001A61E6">
        <w:t xml:space="preserve"> to ensure the</w:t>
      </w:r>
      <w:r w:rsidR="005F7C0C">
        <w:t xml:space="preserve"> health</w:t>
      </w:r>
      <w:r w:rsidR="00E03DAC" w:rsidRPr="001A61E6">
        <w:t xml:space="preserve"> </w:t>
      </w:r>
      <w:r w:rsidR="00CE4912">
        <w:t xml:space="preserve">and </w:t>
      </w:r>
      <w:r w:rsidR="00E03DAC" w:rsidRPr="001A61E6">
        <w:t xml:space="preserve">safety of the community by reducing the risk of </w:t>
      </w:r>
      <w:r w:rsidR="00AC64B7">
        <w:t>carbon monoxide</w:t>
      </w:r>
      <w:r w:rsidR="00E03DAC" w:rsidRPr="001A61E6">
        <w:t xml:space="preserve"> </w:t>
      </w:r>
      <w:r w:rsidR="00AC64B7">
        <w:t>(</w:t>
      </w:r>
      <w:r w:rsidR="00E03DAC" w:rsidRPr="001A61E6">
        <w:t>CO</w:t>
      </w:r>
      <w:r w:rsidR="00AC64B7">
        <w:t>)</w:t>
      </w:r>
      <w:r w:rsidR="00E03DAC" w:rsidRPr="001A61E6">
        <w:t xml:space="preserve"> exposure from </w:t>
      </w:r>
      <w:r w:rsidR="00EC5588">
        <w:t>Open Flued Gas Space Heaters (</w:t>
      </w:r>
      <w:r w:rsidR="00E03DAC" w:rsidRPr="001A61E6">
        <w:t>OFGSHs</w:t>
      </w:r>
      <w:r w:rsidR="00EC5588">
        <w:t>)</w:t>
      </w:r>
      <w:r w:rsidR="00E03DAC" w:rsidRPr="001A61E6">
        <w:t xml:space="preserve"> in Victoria</w:t>
      </w:r>
      <w:r w:rsidR="004D32B1">
        <w:t>.</w:t>
      </w:r>
      <w:r w:rsidR="00E03DAC" w:rsidRPr="00B33AC6" w:rsidDel="00E03DAC">
        <w:t xml:space="preserve"> </w:t>
      </w:r>
    </w:p>
    <w:p w14:paraId="174D14BC" w14:textId="27FF6C8B" w:rsidR="00C9421E" w:rsidRPr="00B33AC6" w:rsidRDefault="00953BA5" w:rsidP="00C9421E">
      <w:r>
        <w:t>This includes analysis</w:t>
      </w:r>
      <w:r w:rsidR="00CE4912">
        <w:t xml:space="preserve"> </w:t>
      </w:r>
      <w:r>
        <w:t>of</w:t>
      </w:r>
      <w:r w:rsidR="00E754EB">
        <w:t xml:space="preserve"> </w:t>
      </w:r>
      <w:r w:rsidR="00C9421E" w:rsidRPr="00B33AC6">
        <w:t>whether transitional measures, such as CO alarms and servicing for OFGSH</w:t>
      </w:r>
      <w:r w:rsidR="000932DA">
        <w:t>s</w:t>
      </w:r>
      <w:r w:rsidR="00C9421E" w:rsidRPr="00B33AC6">
        <w:t xml:space="preserve">, should be mandated to manage risks from OFGSHs that have already been installed. </w:t>
      </w:r>
    </w:p>
    <w:p w14:paraId="7A874BA8" w14:textId="6E0D014F" w:rsidR="00B21D46" w:rsidRDefault="005A66E5" w:rsidP="005A66E5">
      <w:pPr>
        <w:pStyle w:val="BodyText"/>
        <w:rPr>
          <w:lang w:eastAsia="en-AU"/>
        </w:rPr>
      </w:pPr>
      <w:r w:rsidRPr="00B33AC6">
        <w:rPr>
          <w:lang w:eastAsia="en-AU"/>
        </w:rPr>
        <w:t>Th</w:t>
      </w:r>
      <w:r w:rsidR="00495785">
        <w:rPr>
          <w:lang w:eastAsia="en-AU"/>
        </w:rPr>
        <w:t xml:space="preserve">e preferred option </w:t>
      </w:r>
      <w:r w:rsidR="008B66B4">
        <w:rPr>
          <w:lang w:eastAsia="en-AU"/>
        </w:rPr>
        <w:t>in</w:t>
      </w:r>
      <w:r w:rsidR="00495785">
        <w:rPr>
          <w:lang w:eastAsia="en-AU"/>
        </w:rPr>
        <w:t xml:space="preserve"> this RIS</w:t>
      </w:r>
      <w:r w:rsidR="00FD2D64">
        <w:rPr>
          <w:lang w:eastAsia="en-AU"/>
        </w:rPr>
        <w:t xml:space="preserve"> </w:t>
      </w:r>
      <w:r w:rsidR="00FC3A2F">
        <w:rPr>
          <w:lang w:eastAsia="en-AU"/>
        </w:rPr>
        <w:t xml:space="preserve">does not require </w:t>
      </w:r>
      <w:r w:rsidR="00A62C2F">
        <w:rPr>
          <w:lang w:eastAsia="en-AU"/>
        </w:rPr>
        <w:t xml:space="preserve">additional </w:t>
      </w:r>
      <w:r w:rsidR="00FA1939">
        <w:rPr>
          <w:lang w:eastAsia="en-AU"/>
        </w:rPr>
        <w:t>Re</w:t>
      </w:r>
      <w:r w:rsidR="00A62C2F">
        <w:rPr>
          <w:lang w:eastAsia="en-AU"/>
        </w:rPr>
        <w:t>gulations to be made</w:t>
      </w:r>
      <w:r w:rsidR="00C51B57">
        <w:rPr>
          <w:lang w:eastAsia="en-AU"/>
        </w:rPr>
        <w:t>.</w:t>
      </w:r>
      <w:r w:rsidR="00AC64B7">
        <w:rPr>
          <w:lang w:eastAsia="en-AU"/>
        </w:rPr>
        <w:t xml:space="preserve"> </w:t>
      </w:r>
      <w:r w:rsidR="008264A1">
        <w:rPr>
          <w:lang w:eastAsia="en-AU"/>
        </w:rPr>
        <w:t>Irrespective of this conclusion</w:t>
      </w:r>
      <w:r w:rsidR="00C51B57">
        <w:rPr>
          <w:lang w:eastAsia="en-AU"/>
        </w:rPr>
        <w:t>,</w:t>
      </w:r>
      <w:r w:rsidR="00A62C2F">
        <w:rPr>
          <w:lang w:eastAsia="en-AU"/>
        </w:rPr>
        <w:t xml:space="preserve"> the </w:t>
      </w:r>
      <w:r w:rsidR="00870610">
        <w:rPr>
          <w:lang w:eastAsia="en-AU"/>
        </w:rPr>
        <w:t>Government</w:t>
      </w:r>
      <w:r w:rsidR="00A62C2F">
        <w:rPr>
          <w:lang w:eastAsia="en-AU"/>
        </w:rPr>
        <w:t xml:space="preserve"> </w:t>
      </w:r>
      <w:r w:rsidR="005C23DE">
        <w:rPr>
          <w:lang w:eastAsia="en-AU"/>
        </w:rPr>
        <w:t xml:space="preserve">is seeking </w:t>
      </w:r>
      <w:r w:rsidR="00AF74CB">
        <w:rPr>
          <w:lang w:eastAsia="en-AU"/>
        </w:rPr>
        <w:t>feedback on the</w:t>
      </w:r>
      <w:r w:rsidR="00870610">
        <w:rPr>
          <w:lang w:eastAsia="en-AU"/>
        </w:rPr>
        <w:t xml:space="preserve"> options and </w:t>
      </w:r>
      <w:r w:rsidR="008264A1">
        <w:rPr>
          <w:lang w:eastAsia="en-AU"/>
        </w:rPr>
        <w:t xml:space="preserve">preferred </w:t>
      </w:r>
      <w:r w:rsidR="00870610">
        <w:rPr>
          <w:lang w:eastAsia="en-AU"/>
        </w:rPr>
        <w:t xml:space="preserve">approach proposed </w:t>
      </w:r>
      <w:r w:rsidR="00AF74CB">
        <w:rPr>
          <w:lang w:eastAsia="en-AU"/>
        </w:rPr>
        <w:t>through a</w:t>
      </w:r>
      <w:r w:rsidR="00A62C2F">
        <w:rPr>
          <w:lang w:eastAsia="en-AU"/>
        </w:rPr>
        <w:t xml:space="preserve"> public consultation process.</w:t>
      </w:r>
    </w:p>
    <w:p w14:paraId="4D953B58" w14:textId="77777777" w:rsidR="005A66E5" w:rsidRPr="00B515F4" w:rsidRDefault="005A66E5" w:rsidP="005A66E5">
      <w:pPr>
        <w:pStyle w:val="HeadingC"/>
        <w:rPr>
          <w:lang w:eastAsia="en-AU"/>
        </w:rPr>
      </w:pPr>
      <w:r w:rsidRPr="00B515F4">
        <w:rPr>
          <w:lang w:eastAsia="en-AU"/>
        </w:rPr>
        <w:t>How to respond to the proposed regulatory package</w:t>
      </w:r>
    </w:p>
    <w:p w14:paraId="71127FA0" w14:textId="616AEB6F" w:rsidR="005A66E5" w:rsidRDefault="005A66E5" w:rsidP="005A66E5">
      <w:pPr>
        <w:pStyle w:val="BodyText"/>
        <w:rPr>
          <w:lang w:eastAsia="en-AU"/>
        </w:rPr>
      </w:pPr>
      <w:r w:rsidRPr="00B515F4">
        <w:rPr>
          <w:lang w:eastAsia="en-AU"/>
        </w:rPr>
        <w:t xml:space="preserve">Businesses, other interested parties and members of the public are invited to make submissions responding to </w:t>
      </w:r>
      <w:r w:rsidR="00ED6EDC">
        <w:rPr>
          <w:lang w:eastAsia="en-AU"/>
        </w:rPr>
        <w:t>this RIS</w:t>
      </w:r>
      <w:r w:rsidRPr="00B515F4">
        <w:rPr>
          <w:lang w:eastAsia="en-AU"/>
        </w:rPr>
        <w:t xml:space="preserve">. </w:t>
      </w:r>
    </w:p>
    <w:p w14:paraId="6DB7031A" w14:textId="6FEE28C2" w:rsidR="005A66E5" w:rsidRPr="00B515F4" w:rsidRDefault="005A66E5" w:rsidP="005A66E5">
      <w:pPr>
        <w:pStyle w:val="BodyText"/>
        <w:rPr>
          <w:lang w:eastAsia="en-AU"/>
        </w:rPr>
      </w:pPr>
      <w:r>
        <w:rPr>
          <w:lang w:eastAsia="en-AU"/>
        </w:rPr>
        <w:t xml:space="preserve">The closing date for submissions </w:t>
      </w:r>
      <w:r w:rsidRPr="005E6E61">
        <w:rPr>
          <w:lang w:eastAsia="en-AU"/>
        </w:rPr>
        <w:t xml:space="preserve">is </w:t>
      </w:r>
      <w:r w:rsidR="008432E0">
        <w:rPr>
          <w:lang w:eastAsia="en-AU"/>
        </w:rPr>
        <w:t>22</w:t>
      </w:r>
      <w:r w:rsidR="003134D5">
        <w:rPr>
          <w:lang w:eastAsia="en-AU"/>
        </w:rPr>
        <w:t xml:space="preserve"> February</w:t>
      </w:r>
      <w:r w:rsidR="00D15D31">
        <w:rPr>
          <w:lang w:eastAsia="en-AU"/>
        </w:rPr>
        <w:t xml:space="preserve"> 2021.</w:t>
      </w:r>
      <w:r>
        <w:rPr>
          <w:lang w:eastAsia="en-AU"/>
        </w:rPr>
        <w:t xml:space="preserve"> </w:t>
      </w:r>
    </w:p>
    <w:p w14:paraId="6CABB20A" w14:textId="08AB0214" w:rsidR="005A66E5" w:rsidRPr="000C04F1" w:rsidRDefault="00A1635A" w:rsidP="005A66E5">
      <w:pPr>
        <w:pStyle w:val="BodyText"/>
        <w:rPr>
          <w:lang w:eastAsia="en-AU"/>
        </w:rPr>
      </w:pPr>
      <w:r>
        <w:rPr>
          <w:lang w:eastAsia="en-AU"/>
        </w:rPr>
        <w:t>All relevant materials</w:t>
      </w:r>
      <w:r w:rsidR="005A66E5" w:rsidRPr="007901B3">
        <w:rPr>
          <w:lang w:eastAsia="en-AU"/>
        </w:rPr>
        <w:t xml:space="preserve"> can be accessed via Engage Victoria’s website</w:t>
      </w:r>
      <w:r w:rsidR="005A66E5" w:rsidRPr="00CB51FF">
        <w:rPr>
          <w:rFonts w:cs="Segoe UI Light"/>
          <w:lang w:eastAsia="en-AU"/>
        </w:rPr>
        <w:t xml:space="preserve">: </w:t>
      </w:r>
      <w:r w:rsidR="005A66E5" w:rsidRPr="000276F0">
        <w:rPr>
          <w:rStyle w:val="Hyperlink"/>
        </w:rPr>
        <w:t>engage.vic.gov.au</w:t>
      </w:r>
      <w:r w:rsidR="005A66E5" w:rsidRPr="000C04F1">
        <w:rPr>
          <w:lang w:eastAsia="en-AU"/>
        </w:rPr>
        <w:t xml:space="preserve"> </w:t>
      </w:r>
    </w:p>
    <w:p w14:paraId="272A2627" w14:textId="79D87B1B" w:rsidR="008B3CB6" w:rsidRPr="00ED173F" w:rsidRDefault="005A66E5" w:rsidP="005A66E5">
      <w:pPr>
        <w:pStyle w:val="BodyText"/>
        <w:rPr>
          <w:lang w:eastAsia="en-AU"/>
        </w:rPr>
      </w:pPr>
      <w:r w:rsidRPr="00ED173F">
        <w:rPr>
          <w:lang w:eastAsia="en-AU"/>
        </w:rPr>
        <w:t xml:space="preserve">Alternatively, comments may be provided via email to the </w:t>
      </w:r>
      <w:r w:rsidRPr="007901B3">
        <w:rPr>
          <w:lang w:eastAsia="en-AU"/>
        </w:rPr>
        <w:t xml:space="preserve">following email address: </w:t>
      </w:r>
      <w:hyperlink r:id="rId32" w:history="1">
        <w:r w:rsidR="008B3CB6">
          <w:rPr>
            <w:rStyle w:val="Hyperlink"/>
          </w:rPr>
          <w:t>gas.safety@delwp.vic.gov.au</w:t>
        </w:r>
      </w:hyperlink>
    </w:p>
    <w:p w14:paraId="75CC5338" w14:textId="77777777" w:rsidR="005A66E5" w:rsidRDefault="005A66E5" w:rsidP="005A66E5">
      <w:pPr>
        <w:pStyle w:val="BodyText"/>
        <w:rPr>
          <w:lang w:eastAsia="en-AU"/>
        </w:rPr>
      </w:pPr>
      <w:r>
        <w:rPr>
          <w:lang w:eastAsia="en-AU"/>
        </w:rPr>
        <w:t>Hard copy submissions will also be accepted and should be addressed to:</w:t>
      </w:r>
    </w:p>
    <w:p w14:paraId="3AA17A17" w14:textId="00F7B073" w:rsidR="009452A3" w:rsidRPr="000276F0" w:rsidRDefault="00F96F9C" w:rsidP="009452A3">
      <w:pPr>
        <w:pStyle w:val="BodyText"/>
        <w:spacing w:after="0"/>
        <w:rPr>
          <w:lang w:eastAsia="en-AU"/>
        </w:rPr>
      </w:pPr>
      <w:r w:rsidRPr="000276F0">
        <w:rPr>
          <w:lang w:eastAsia="en-AU"/>
        </w:rPr>
        <w:t>Manager, Gas Heater Safety</w:t>
      </w:r>
    </w:p>
    <w:p w14:paraId="19028420" w14:textId="09333FB8" w:rsidR="00217B54" w:rsidRPr="000276F0" w:rsidRDefault="00217B54" w:rsidP="005A66E5">
      <w:pPr>
        <w:pStyle w:val="BodyText"/>
        <w:spacing w:after="0"/>
        <w:rPr>
          <w:lang w:eastAsia="en-AU"/>
        </w:rPr>
      </w:pPr>
      <w:r w:rsidRPr="000276F0">
        <w:rPr>
          <w:lang w:eastAsia="en-AU"/>
        </w:rPr>
        <w:t>Energy Safety and Security Branch</w:t>
      </w:r>
    </w:p>
    <w:p w14:paraId="5FD589D0" w14:textId="717ABEAE" w:rsidR="005A66E5" w:rsidRPr="000276F0" w:rsidRDefault="0031644B" w:rsidP="005A66E5">
      <w:pPr>
        <w:pStyle w:val="BodyText"/>
        <w:spacing w:after="0"/>
        <w:rPr>
          <w:lang w:eastAsia="en-AU"/>
        </w:rPr>
      </w:pPr>
      <w:r w:rsidRPr="000276F0">
        <w:rPr>
          <w:lang w:eastAsia="en-AU"/>
        </w:rPr>
        <w:t>Department of Environment Land Water a</w:t>
      </w:r>
      <w:r w:rsidR="00660DBC" w:rsidRPr="000276F0">
        <w:rPr>
          <w:lang w:eastAsia="en-AU"/>
        </w:rPr>
        <w:t>n</w:t>
      </w:r>
      <w:r w:rsidRPr="000276F0">
        <w:rPr>
          <w:lang w:eastAsia="en-AU"/>
        </w:rPr>
        <w:t>d Planning</w:t>
      </w:r>
    </w:p>
    <w:p w14:paraId="1E14D904" w14:textId="56E20663" w:rsidR="005A66E5" w:rsidRPr="000276F0" w:rsidRDefault="005A66E5" w:rsidP="005A66E5">
      <w:pPr>
        <w:pStyle w:val="BodyText"/>
        <w:spacing w:after="0"/>
        <w:rPr>
          <w:lang w:eastAsia="en-AU"/>
        </w:rPr>
      </w:pPr>
      <w:r w:rsidRPr="000276F0">
        <w:rPr>
          <w:lang w:eastAsia="en-AU"/>
        </w:rPr>
        <w:t xml:space="preserve">PO Box </w:t>
      </w:r>
      <w:r w:rsidR="00217B54" w:rsidRPr="000276F0">
        <w:rPr>
          <w:lang w:eastAsia="en-AU"/>
        </w:rPr>
        <w:t>500</w:t>
      </w:r>
    </w:p>
    <w:p w14:paraId="20D629E0" w14:textId="381BED51" w:rsidR="005A66E5" w:rsidRPr="00ED173F" w:rsidRDefault="00217B54" w:rsidP="005A66E5">
      <w:pPr>
        <w:pStyle w:val="BodyText"/>
        <w:rPr>
          <w:lang w:eastAsia="en-AU"/>
        </w:rPr>
      </w:pPr>
      <w:r w:rsidRPr="000276F0">
        <w:rPr>
          <w:lang w:eastAsia="en-AU"/>
        </w:rPr>
        <w:t xml:space="preserve">East </w:t>
      </w:r>
      <w:r w:rsidR="005A66E5" w:rsidRPr="000276F0">
        <w:rPr>
          <w:lang w:eastAsia="en-AU"/>
        </w:rPr>
        <w:t xml:space="preserve">Melbourne, VIC, </w:t>
      </w:r>
      <w:r w:rsidRPr="000276F0">
        <w:rPr>
          <w:lang w:eastAsia="en-AU"/>
        </w:rPr>
        <w:t>8002</w:t>
      </w:r>
    </w:p>
    <w:p w14:paraId="53112B6C" w14:textId="34907169" w:rsidR="005A66E5" w:rsidRPr="00ED173F" w:rsidRDefault="005A66E5" w:rsidP="005A66E5">
      <w:pPr>
        <w:pStyle w:val="BodyText"/>
        <w:rPr>
          <w:lang w:eastAsia="en-AU"/>
        </w:rPr>
      </w:pPr>
      <w:r w:rsidRPr="0009416B">
        <w:rPr>
          <w:lang w:eastAsia="en-AU"/>
        </w:rPr>
        <w:t xml:space="preserve">For further assistance about the public comment process, or to obtain copies of the RIS, please call </w:t>
      </w:r>
      <w:r w:rsidR="001C2CA6">
        <w:t>136 186.</w:t>
      </w:r>
    </w:p>
    <w:bookmarkEnd w:id="30"/>
    <w:p w14:paraId="40806C52" w14:textId="77777777" w:rsidR="005A66E5" w:rsidRDefault="005A66E5">
      <w:pPr>
        <w:spacing w:after="0"/>
        <w:rPr>
          <w:sz w:val="60"/>
        </w:rPr>
      </w:pPr>
      <w:r>
        <w:br w:type="page"/>
      </w:r>
    </w:p>
    <w:p w14:paraId="2A9221FF" w14:textId="6C2AC97B" w:rsidR="00F9113D" w:rsidRPr="00806743" w:rsidRDefault="00F9113D" w:rsidP="00876F66">
      <w:pPr>
        <w:pStyle w:val="Heading1un-numbered"/>
      </w:pPr>
      <w:bookmarkStart w:id="66" w:name="_Toc59612284"/>
      <w:r w:rsidRPr="00806743">
        <w:lastRenderedPageBreak/>
        <w:t>Executive summary</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717FB8E7" w14:textId="158565E6" w:rsidR="00084668" w:rsidRDefault="00197E94" w:rsidP="00152079">
      <w:pPr>
        <w:pStyle w:val="Heading2un-numbered"/>
      </w:pPr>
      <w:bookmarkStart w:id="67" w:name="_Toc462313129"/>
      <w:bookmarkStart w:id="68" w:name="_Toc462317839"/>
      <w:bookmarkStart w:id="69" w:name="_Toc462397803"/>
      <w:bookmarkStart w:id="70" w:name="_Toc463002430"/>
      <w:bookmarkStart w:id="71" w:name="_Toc472586342"/>
      <w:bookmarkStart w:id="72" w:name="_Toc482168120"/>
      <w:bookmarkStart w:id="73" w:name="_Toc482174907"/>
      <w:r>
        <w:t>Executive Summary</w:t>
      </w:r>
    </w:p>
    <w:p w14:paraId="7597C9B4" w14:textId="7174A320" w:rsidR="00CE7AA8" w:rsidRDefault="007E370C" w:rsidP="009E34C0">
      <w:pPr>
        <w:pStyle w:val="BodyText"/>
      </w:pPr>
      <w:r>
        <w:t xml:space="preserve">In Victoria’s cool climate, heating is important for health and welfare. </w:t>
      </w:r>
      <w:r w:rsidR="008A4525">
        <w:t>Like all household appliances, it is important that heaters are well designed</w:t>
      </w:r>
      <w:r w:rsidR="001A145A">
        <w:t>, maintained and operated</w:t>
      </w:r>
      <w:r w:rsidR="008A4525">
        <w:t xml:space="preserve"> so that they are safe to operate. </w:t>
      </w:r>
      <w:r w:rsidR="00734CE0">
        <w:t>O</w:t>
      </w:r>
      <w:r w:rsidR="00C00261">
        <w:t>pen flued gas space heaters</w:t>
      </w:r>
      <w:r w:rsidR="00CD23E7">
        <w:t xml:space="preserve"> (OFGSH</w:t>
      </w:r>
      <w:r w:rsidR="000932DA">
        <w:t>s</w:t>
      </w:r>
      <w:r w:rsidR="00CD23E7">
        <w:t>)</w:t>
      </w:r>
      <w:r w:rsidR="00C00261" w:rsidRPr="00A16A19">
        <w:rPr>
          <w:rStyle w:val="FootnoteReference"/>
        </w:rPr>
        <w:footnoteReference w:id="2"/>
      </w:r>
      <w:r w:rsidR="00C00261" w:rsidRPr="009F7580">
        <w:t xml:space="preserve"> </w:t>
      </w:r>
      <w:r w:rsidR="006F4A83">
        <w:t xml:space="preserve">have a design that </w:t>
      </w:r>
      <w:r w:rsidR="00D12176">
        <w:t>is no longe</w:t>
      </w:r>
      <w:r w:rsidR="00CC1942">
        <w:t>r</w:t>
      </w:r>
      <w:r w:rsidR="00D12176">
        <w:t xml:space="preserve"> compatible with </w:t>
      </w:r>
      <w:r w:rsidR="00E86E29">
        <w:t xml:space="preserve">buildings in </w:t>
      </w:r>
      <w:r w:rsidR="00D12176">
        <w:t>Victoria</w:t>
      </w:r>
      <w:r w:rsidR="0065390E">
        <w:t xml:space="preserve">. </w:t>
      </w:r>
    </w:p>
    <w:p w14:paraId="72905136" w14:textId="54B1B251" w:rsidR="00CE7AA8" w:rsidRPr="00F4528C" w:rsidRDefault="0095434D">
      <w:pPr>
        <w:pStyle w:val="Heading2un-numbered"/>
      </w:pPr>
      <w:r>
        <w:t>Problem being addressed</w:t>
      </w:r>
    </w:p>
    <w:p w14:paraId="196EC594" w14:textId="5CD054F8" w:rsidR="009E34C0" w:rsidRDefault="0065390E" w:rsidP="009E34C0">
      <w:pPr>
        <w:pStyle w:val="BodyText"/>
      </w:pPr>
      <w:r>
        <w:t xml:space="preserve">If not </w:t>
      </w:r>
      <w:r w:rsidR="000D31A5">
        <w:t>properly</w:t>
      </w:r>
      <w:r w:rsidR="008512C8">
        <w:t xml:space="preserve"> installed</w:t>
      </w:r>
      <w:r w:rsidR="00F82B49">
        <w:t xml:space="preserve"> and </w:t>
      </w:r>
      <w:r w:rsidR="000D31A5">
        <w:t>maintained</w:t>
      </w:r>
      <w:r w:rsidR="00AF5649">
        <w:t>,</w:t>
      </w:r>
      <w:r w:rsidR="000D31A5">
        <w:t xml:space="preserve"> and </w:t>
      </w:r>
      <w:r w:rsidR="00F82B49">
        <w:t xml:space="preserve">if </w:t>
      </w:r>
      <w:r w:rsidR="000D31A5">
        <w:t>operated</w:t>
      </w:r>
      <w:r w:rsidR="008512C8">
        <w:t xml:space="preserve"> with</w:t>
      </w:r>
      <w:r w:rsidR="00F9551A">
        <w:t>out</w:t>
      </w:r>
      <w:r w:rsidR="008512C8">
        <w:t xml:space="preserve"> adequate ventilation</w:t>
      </w:r>
      <w:r w:rsidR="005A3E9C">
        <w:t xml:space="preserve"> or under </w:t>
      </w:r>
      <w:r w:rsidR="005A3E9C" w:rsidRPr="00976C31">
        <w:t>negative pressure conditions</w:t>
      </w:r>
      <w:r w:rsidR="00F9551A">
        <w:t>,</w:t>
      </w:r>
      <w:r w:rsidR="005A3E9C">
        <w:rPr>
          <w:rStyle w:val="FootnoteReference"/>
        </w:rPr>
        <w:footnoteReference w:id="3"/>
      </w:r>
      <w:r w:rsidR="008512C8">
        <w:t xml:space="preserve"> OFGSH</w:t>
      </w:r>
      <w:r w:rsidR="000932DA">
        <w:t>s</w:t>
      </w:r>
      <w:r w:rsidR="008512C8">
        <w:t xml:space="preserve"> </w:t>
      </w:r>
      <w:r w:rsidR="00D86EDC">
        <w:t xml:space="preserve">can </w:t>
      </w:r>
      <w:r w:rsidR="005E19F4">
        <w:t xml:space="preserve">spill </w:t>
      </w:r>
      <w:r w:rsidR="00317587">
        <w:t>c</w:t>
      </w:r>
      <w:r w:rsidR="005E19F4">
        <w:t xml:space="preserve">arbon </w:t>
      </w:r>
      <w:r w:rsidR="00317587">
        <w:t>m</w:t>
      </w:r>
      <w:r w:rsidR="005E19F4">
        <w:t>onoxide (CO) into the living space in which they are installed</w:t>
      </w:r>
      <w:r w:rsidR="00A85D0D">
        <w:t xml:space="preserve">, which can lead to </w:t>
      </w:r>
      <w:r w:rsidR="00560FDA">
        <w:t xml:space="preserve">serious illness </w:t>
      </w:r>
      <w:r w:rsidR="006C7CCB">
        <w:t xml:space="preserve">and </w:t>
      </w:r>
      <w:r w:rsidR="003C4387">
        <w:t xml:space="preserve">even </w:t>
      </w:r>
      <w:r w:rsidR="006C7CCB">
        <w:t>death.</w:t>
      </w:r>
      <w:r w:rsidR="0082641B">
        <w:t xml:space="preserve"> </w:t>
      </w:r>
    </w:p>
    <w:p w14:paraId="70FC11FD" w14:textId="71250623" w:rsidR="00DC1B40" w:rsidRDefault="00DC1B40" w:rsidP="00DC1B40">
      <w:pPr>
        <w:pStyle w:val="BodyText"/>
      </w:pPr>
      <w:r w:rsidRPr="00D379E5">
        <w:t>OFGSH</w:t>
      </w:r>
      <w:r w:rsidR="00675B40">
        <w:t>s</w:t>
      </w:r>
      <w:r w:rsidRPr="00D379E5">
        <w:t xml:space="preserve">, designed over </w:t>
      </w:r>
      <w:r w:rsidR="00CE7AA8" w:rsidRPr="00D379E5">
        <w:t>4</w:t>
      </w:r>
      <w:r w:rsidRPr="00D379E5">
        <w:t>0 years ago, were designed to be operated with ventilation, which was compatible with housing standards and trends at the time. Since then, Victoria’s housing stock has become increasingly well-sealed through new energy efficiency requirements for new buildings and as consumers increasingly choose to weather seal older properties to improve thermal efficiency.</w:t>
      </w:r>
      <w:r w:rsidR="00381F6F">
        <w:t xml:space="preserve"> </w:t>
      </w:r>
      <w:r w:rsidR="002670C3">
        <w:t xml:space="preserve">Consumers also have access to more powerful exhaust fans and rangehoods, increasing the </w:t>
      </w:r>
      <w:r w:rsidR="00211A19">
        <w:t>risk of</w:t>
      </w:r>
      <w:r w:rsidR="002670C3">
        <w:t xml:space="preserve"> creating a </w:t>
      </w:r>
      <w:r w:rsidR="002670C3" w:rsidRPr="00B40F61">
        <w:t>negative pressure environment inside the home</w:t>
      </w:r>
      <w:r w:rsidR="002670C3">
        <w:t>. These</w:t>
      </w:r>
      <w:r>
        <w:t xml:space="preserve"> trend</w:t>
      </w:r>
      <w:r w:rsidR="002670C3">
        <w:t>s</w:t>
      </w:r>
      <w:r>
        <w:t xml:space="preserve"> </w:t>
      </w:r>
      <w:r w:rsidR="002670C3">
        <w:t>increase</w:t>
      </w:r>
      <w:r>
        <w:t xml:space="preserve"> the </w:t>
      </w:r>
      <w:r w:rsidR="009E73C3">
        <w:t>likelihood</w:t>
      </w:r>
      <w:r>
        <w:t xml:space="preserve"> that </w:t>
      </w:r>
      <w:r w:rsidR="000932DA">
        <w:t xml:space="preserve">OFGSHs </w:t>
      </w:r>
      <w:r>
        <w:t>could be operated without adequate ventilation</w:t>
      </w:r>
      <w:r w:rsidR="002670C3">
        <w:t xml:space="preserve"> and</w:t>
      </w:r>
      <w:r w:rsidR="00274D2A">
        <w:t xml:space="preserve"> in negative pressure environments</w:t>
      </w:r>
      <w:r>
        <w:t>, which could lead to further CO incidents</w:t>
      </w:r>
      <w:r w:rsidR="00197B59">
        <w:t xml:space="preserve"> involving </w:t>
      </w:r>
      <w:r w:rsidR="000932DA">
        <w:t>OFGSHs.</w:t>
      </w:r>
    </w:p>
    <w:p w14:paraId="7B8EDF76" w14:textId="4A65FE57" w:rsidR="000233C2" w:rsidRDefault="009E34C0" w:rsidP="000233C2">
      <w:pPr>
        <w:pStyle w:val="BodyText"/>
      </w:pPr>
      <w:r w:rsidRPr="00920112">
        <w:t>Malfunctioning or poorly serviced OFGSH</w:t>
      </w:r>
      <w:r>
        <w:t>s</w:t>
      </w:r>
      <w:r w:rsidR="00DC1B40">
        <w:t xml:space="preserve"> operated without sufficient ventilation</w:t>
      </w:r>
      <w:r w:rsidR="001702CA">
        <w:t xml:space="preserve"> or under negative pressure conditions</w:t>
      </w:r>
      <w:r w:rsidRPr="00920112">
        <w:t xml:space="preserve"> in residential </w:t>
      </w:r>
      <w:r w:rsidRPr="00D379E5">
        <w:t>settings have resulted in the deaths of three Victorians since 2010.</w:t>
      </w:r>
      <w:r w:rsidR="00C14BA8">
        <w:rPr>
          <w:rStyle w:val="FootnoteReference"/>
        </w:rPr>
        <w:footnoteReference w:id="4"/>
      </w:r>
      <w:r w:rsidR="00807BBD">
        <w:rPr>
          <w:vertAlign w:val="superscript"/>
        </w:rPr>
        <w:t>,</w:t>
      </w:r>
      <w:r w:rsidR="008D210F">
        <w:rPr>
          <w:rStyle w:val="FootnoteReference"/>
        </w:rPr>
        <w:footnoteReference w:id="5"/>
      </w:r>
      <w:r w:rsidRPr="00920112">
        <w:t xml:space="preserve"> The report of findings made by the Coroner following the </w:t>
      </w:r>
      <w:r w:rsidR="00955011" w:rsidRPr="00C05212">
        <w:rPr>
          <w:i/>
          <w:iCs/>
        </w:rPr>
        <w:t>I</w:t>
      </w:r>
      <w:r w:rsidRPr="00C05212">
        <w:rPr>
          <w:i/>
          <w:iCs/>
        </w:rPr>
        <w:t>nquest into the death of Sonia Sofianopoulos</w:t>
      </w:r>
      <w:r w:rsidRPr="00920112">
        <w:t xml:space="preserve"> (the </w:t>
      </w:r>
      <w:r>
        <w:rPr>
          <w:lang w:eastAsia="en-AU"/>
        </w:rPr>
        <w:t>2018 Coronial Inquest</w:t>
      </w:r>
      <w:r w:rsidRPr="00920112">
        <w:rPr>
          <w:lang w:eastAsia="en-AU"/>
        </w:rPr>
        <w:t xml:space="preserve">) </w:t>
      </w:r>
      <w:r w:rsidRPr="00920112">
        <w:t>made eight recommendations</w:t>
      </w:r>
      <w:r>
        <w:t xml:space="preserve"> to address risks from </w:t>
      </w:r>
      <w:r w:rsidRPr="00B77BB6">
        <w:lastRenderedPageBreak/>
        <w:t>OFGSH</w:t>
      </w:r>
      <w:r w:rsidR="000932DA" w:rsidRPr="00B77BB6">
        <w:t>s</w:t>
      </w:r>
      <w:r w:rsidR="008B7839" w:rsidRPr="00B77BB6">
        <w:t>;</w:t>
      </w:r>
      <w:r w:rsidRPr="00B77BB6">
        <w:t xml:space="preserve"> a key</w:t>
      </w:r>
      <w:r w:rsidRPr="00920112">
        <w:t xml:space="preserve"> recommendation being that a plan and strategy </w:t>
      </w:r>
      <w:r>
        <w:t>be</w:t>
      </w:r>
      <w:r w:rsidRPr="00920112">
        <w:t xml:space="preserve"> implemented to phase out all </w:t>
      </w:r>
      <w:r w:rsidR="000932DA">
        <w:t xml:space="preserve">OFGSHs </w:t>
      </w:r>
      <w:r w:rsidRPr="00920112">
        <w:t>in Victoria.</w:t>
      </w:r>
      <w:r w:rsidRPr="00920112">
        <w:rPr>
          <w:rStyle w:val="FootnoteReference"/>
        </w:rPr>
        <w:footnoteReference w:id="6"/>
      </w:r>
      <w:r w:rsidR="000233C2" w:rsidRPr="000233C2">
        <w:t xml:space="preserve"> </w:t>
      </w:r>
    </w:p>
    <w:p w14:paraId="3E0F6DE5" w14:textId="1E40EDF4" w:rsidR="00957046" w:rsidRDefault="000233C2" w:rsidP="00C83EC6">
      <w:pPr>
        <w:pStyle w:val="BodyText"/>
      </w:pPr>
      <w:r w:rsidRPr="001F69AD">
        <w:t>In its response to the 2018 Coronial Inquest</w:t>
      </w:r>
      <w:r w:rsidRPr="00FE6B9F">
        <w:t xml:space="preserve">, the Victorian Government has been clear that the safety of Victorians is the </w:t>
      </w:r>
      <w:r w:rsidR="004C7CC2">
        <w:t>g</w:t>
      </w:r>
      <w:r w:rsidR="004C7CC2" w:rsidRPr="00FE6B9F">
        <w:t>overnment’s</w:t>
      </w:r>
      <w:r w:rsidR="004C7CC2" w:rsidRPr="00CD7FCD">
        <w:t xml:space="preserve"> </w:t>
      </w:r>
      <w:r w:rsidRPr="00CD7FCD">
        <w:t xml:space="preserve">priority and there are important lessons to be taken from this tragic incident. The </w:t>
      </w:r>
      <w:r w:rsidR="004C7CC2">
        <w:t>g</w:t>
      </w:r>
      <w:r w:rsidR="004C7CC2" w:rsidRPr="00CD7FCD">
        <w:t xml:space="preserve">overnment </w:t>
      </w:r>
      <w:r w:rsidRPr="00CD7FCD">
        <w:t xml:space="preserve">supported, or supported in-principle, all eight recommendations </w:t>
      </w:r>
      <w:r w:rsidR="005B796A">
        <w:t>of</w:t>
      </w:r>
      <w:r w:rsidRPr="00CD7FCD">
        <w:t xml:space="preserve"> the 2018 Coronial Inquest. This included a commitment to conduct a review of OFGSHs</w:t>
      </w:r>
      <w:r w:rsidR="00FA4C61">
        <w:t xml:space="preserve"> which assesses various options</w:t>
      </w:r>
      <w:r w:rsidRPr="00CD7FCD">
        <w:t xml:space="preserve"> </w:t>
      </w:r>
      <w:r w:rsidR="00FA4C61">
        <w:t xml:space="preserve">to </w:t>
      </w:r>
      <w:r w:rsidRPr="00D379E5">
        <w:t xml:space="preserve">phase out </w:t>
      </w:r>
      <w:r w:rsidR="00FA4C61">
        <w:t>OFGSHs.</w:t>
      </w:r>
      <w:r w:rsidR="00831EC2" w:rsidRPr="00D379E5">
        <w:t xml:space="preserve"> </w:t>
      </w:r>
    </w:p>
    <w:p w14:paraId="3F872462" w14:textId="65BB0D2A" w:rsidR="00C00261" w:rsidRPr="000368BE" w:rsidRDefault="00974202" w:rsidP="00EA0A0A">
      <w:pPr>
        <w:pStyle w:val="BodyText"/>
        <w:rPr>
          <w:bCs/>
        </w:rPr>
      </w:pPr>
      <w:r w:rsidRPr="00D379E5">
        <w:t xml:space="preserve">Deloitte Access Economics has been commissioned by the Department of Environment, Land, Water and Planning (DELWP) to develop </w:t>
      </w:r>
      <w:r>
        <w:t>a Regulatory Impact Statement (RIS)</w:t>
      </w:r>
      <w:r w:rsidR="001B34AC">
        <w:t>. The RIS</w:t>
      </w:r>
      <w:r>
        <w:t xml:space="preserve"> </w:t>
      </w:r>
      <w:r w:rsidR="00237E6C">
        <w:t xml:space="preserve">assesses </w:t>
      </w:r>
      <w:r w:rsidR="003456F4">
        <w:t xml:space="preserve">various </w:t>
      </w:r>
      <w:r w:rsidR="00237E6C">
        <w:t xml:space="preserve">options </w:t>
      </w:r>
      <w:r w:rsidR="003456F4">
        <w:t>to phase out OFGSHs in Victoria</w:t>
      </w:r>
      <w:r w:rsidR="001B34AC">
        <w:t xml:space="preserve"> and </w:t>
      </w:r>
      <w:r w:rsidR="00F4421E">
        <w:t>it considers</w:t>
      </w:r>
      <w:r w:rsidR="00886C04">
        <w:t xml:space="preserve"> whether or not</w:t>
      </w:r>
      <w:r w:rsidR="001B34AC">
        <w:t xml:space="preserve"> any transitional measures </w:t>
      </w:r>
      <w:r w:rsidR="00886C04">
        <w:t xml:space="preserve">are required to manage the risk associated with </w:t>
      </w:r>
      <w:r w:rsidR="0073464B">
        <w:t>OFGSHs</w:t>
      </w:r>
      <w:r w:rsidR="00886C04">
        <w:t xml:space="preserve"> that are already installed in </w:t>
      </w:r>
      <w:r w:rsidR="00B00260">
        <w:t>buildings</w:t>
      </w:r>
      <w:r w:rsidR="003456F4">
        <w:t xml:space="preserve">. </w:t>
      </w:r>
      <w:r w:rsidR="00D655F1">
        <w:t>This RIS has been prepared in accordance with</w:t>
      </w:r>
      <w:r w:rsidR="000233C2" w:rsidRPr="00D379E5">
        <w:t xml:space="preserve"> the </w:t>
      </w:r>
      <w:r w:rsidR="000233C2" w:rsidRPr="00D379E5">
        <w:rPr>
          <w:i/>
        </w:rPr>
        <w:t>Subordinate Legislation Act 1994</w:t>
      </w:r>
      <w:r w:rsidR="00E754EB">
        <w:rPr>
          <w:i/>
        </w:rPr>
        <w:t>.</w:t>
      </w:r>
      <w:r w:rsidR="000233C2" w:rsidRPr="00D379E5">
        <w:t xml:space="preserve"> </w:t>
      </w:r>
    </w:p>
    <w:p w14:paraId="05B06590" w14:textId="58EA5630" w:rsidR="00474FD2" w:rsidRDefault="00474FD2">
      <w:pPr>
        <w:pStyle w:val="Heading2un-numbered"/>
      </w:pPr>
      <w:bookmarkStart w:id="74" w:name="_Toc17892116"/>
      <w:bookmarkStart w:id="75" w:name="_Toc19092394"/>
      <w:bookmarkStart w:id="76" w:name="_Toc20138637"/>
      <w:r w:rsidRPr="00D379E5">
        <w:t>Objective</w:t>
      </w:r>
    </w:p>
    <w:p w14:paraId="5B34EE39" w14:textId="53F4FCAB" w:rsidR="00474FD2" w:rsidRPr="00D379E5" w:rsidRDefault="00474FD2" w:rsidP="00474FD2">
      <w:pPr>
        <w:pStyle w:val="BodyText"/>
        <w:rPr>
          <w:rFonts w:eastAsia="Times New Roman"/>
        </w:rPr>
      </w:pPr>
      <w:r w:rsidRPr="00D379E5">
        <w:t xml:space="preserve">The </w:t>
      </w:r>
      <w:r w:rsidR="005B796A">
        <w:t xml:space="preserve">Government’s </w:t>
      </w:r>
      <w:r w:rsidRPr="00D379E5">
        <w:t xml:space="preserve">primary objective is to ensure the </w:t>
      </w:r>
      <w:r w:rsidR="00954655">
        <w:t xml:space="preserve">health and </w:t>
      </w:r>
      <w:r w:rsidRPr="00D379E5">
        <w:t xml:space="preserve">safety of the community by reducing the risk of CO exposure </w:t>
      </w:r>
      <w:r w:rsidR="00A50BB2">
        <w:t xml:space="preserve">and CO poisoning </w:t>
      </w:r>
      <w:r w:rsidRPr="00D379E5">
        <w:t>from OFGSHs in Victoria. Other considerations are</w:t>
      </w:r>
      <w:r w:rsidR="009C7BA2">
        <w:t xml:space="preserve"> to</w:t>
      </w:r>
      <w:r w:rsidRPr="00D379E5">
        <w:t>:</w:t>
      </w:r>
    </w:p>
    <w:p w14:paraId="18A3E14B" w14:textId="77777777" w:rsidR="00474FD2" w:rsidRPr="00D379E5" w:rsidRDefault="00474FD2" w:rsidP="00474FD2">
      <w:pPr>
        <w:numPr>
          <w:ilvl w:val="0"/>
          <w:numId w:val="36"/>
        </w:numPr>
        <w:spacing w:after="0" w:line="240" w:lineRule="auto"/>
        <w:rPr>
          <w:rFonts w:eastAsia="Times New Roman"/>
        </w:rPr>
      </w:pPr>
      <w:r w:rsidRPr="00D379E5">
        <w:rPr>
          <w:rFonts w:eastAsia="Times New Roman"/>
        </w:rPr>
        <w:t>Ensure people have continued access to heating</w:t>
      </w:r>
    </w:p>
    <w:p w14:paraId="6206B2E4" w14:textId="7AEF26E4" w:rsidR="00474FD2" w:rsidRPr="00D379E5" w:rsidRDefault="00286545" w:rsidP="00474FD2">
      <w:pPr>
        <w:numPr>
          <w:ilvl w:val="0"/>
          <w:numId w:val="36"/>
        </w:numPr>
        <w:spacing w:after="0" w:line="240" w:lineRule="auto"/>
        <w:rPr>
          <w:rFonts w:eastAsia="Times New Roman"/>
        </w:rPr>
      </w:pPr>
      <w:r>
        <w:rPr>
          <w:rFonts w:eastAsia="Times New Roman"/>
        </w:rPr>
        <w:t>Maintain a</w:t>
      </w:r>
      <w:r w:rsidR="00474FD2" w:rsidRPr="00D379E5">
        <w:rPr>
          <w:rFonts w:eastAsia="Times New Roman"/>
        </w:rPr>
        <w:t xml:space="preserve">ffordability </w:t>
      </w:r>
      <w:r w:rsidR="004553A4">
        <w:rPr>
          <w:rFonts w:eastAsia="Times New Roman"/>
        </w:rPr>
        <w:t xml:space="preserve">of heating </w:t>
      </w:r>
      <w:r w:rsidR="00474FD2" w:rsidRPr="00D379E5">
        <w:rPr>
          <w:rFonts w:eastAsia="Times New Roman"/>
        </w:rPr>
        <w:t>for consumers</w:t>
      </w:r>
    </w:p>
    <w:p w14:paraId="3609BAF5" w14:textId="77777777" w:rsidR="00474FD2" w:rsidRPr="00D379E5" w:rsidRDefault="00474FD2" w:rsidP="00474FD2">
      <w:pPr>
        <w:numPr>
          <w:ilvl w:val="0"/>
          <w:numId w:val="36"/>
        </w:numPr>
        <w:spacing w:after="0" w:line="240" w:lineRule="auto"/>
        <w:rPr>
          <w:rFonts w:eastAsia="Times New Roman"/>
        </w:rPr>
      </w:pPr>
      <w:r w:rsidRPr="00D379E5">
        <w:rPr>
          <w:rFonts w:eastAsia="Times New Roman"/>
        </w:rPr>
        <w:t xml:space="preserve">Maintain consumer confidence in gas </w:t>
      </w:r>
    </w:p>
    <w:p w14:paraId="2E561296" w14:textId="53A86CFD" w:rsidR="00474FD2" w:rsidRDefault="00474FD2" w:rsidP="00474FD2">
      <w:pPr>
        <w:numPr>
          <w:ilvl w:val="0"/>
          <w:numId w:val="36"/>
        </w:numPr>
        <w:spacing w:after="0" w:line="240" w:lineRule="auto"/>
        <w:rPr>
          <w:rFonts w:eastAsia="Times New Roman"/>
        </w:rPr>
      </w:pPr>
      <w:r w:rsidRPr="00D379E5">
        <w:rPr>
          <w:rFonts w:eastAsia="Times New Roman"/>
        </w:rPr>
        <w:t xml:space="preserve">Limit impacts on industry and support industry transition. </w:t>
      </w:r>
    </w:p>
    <w:p w14:paraId="7F69FC00" w14:textId="1FF580E4" w:rsidR="00863BFB" w:rsidRDefault="00863BFB" w:rsidP="00DD6F04">
      <w:pPr>
        <w:spacing w:after="0" w:line="240" w:lineRule="auto"/>
        <w:rPr>
          <w:rFonts w:eastAsia="Times New Roman"/>
        </w:rPr>
      </w:pPr>
    </w:p>
    <w:p w14:paraId="7CDE0B0E" w14:textId="24F05D2A" w:rsidR="00F10451" w:rsidRPr="00F10451" w:rsidRDefault="00F10451" w:rsidP="00F10451">
      <w:r w:rsidRPr="00D379E5">
        <w:t xml:space="preserve">The purpose </w:t>
      </w:r>
      <w:r w:rsidR="00076436">
        <w:t xml:space="preserve">of the </w:t>
      </w:r>
      <w:r w:rsidRPr="00D379E5">
        <w:t xml:space="preserve">RIS is to </w:t>
      </w:r>
      <w:r w:rsidR="00076436">
        <w:t xml:space="preserve">undertake an analysis </w:t>
      </w:r>
      <w:r w:rsidR="002D502D">
        <w:t>to</w:t>
      </w:r>
      <w:r w:rsidR="00076436">
        <w:t xml:space="preserve"> </w:t>
      </w:r>
      <w:r w:rsidRPr="00D379E5">
        <w:t xml:space="preserve">determine </w:t>
      </w:r>
      <w:r w:rsidR="005B796A">
        <w:t>how</w:t>
      </w:r>
      <w:r w:rsidRPr="00D379E5">
        <w:t xml:space="preserve"> best </w:t>
      </w:r>
      <w:r w:rsidR="005B796A">
        <w:t xml:space="preserve">to </w:t>
      </w:r>
      <w:r w:rsidR="00611F62">
        <w:t>achieves the</w:t>
      </w:r>
      <w:r w:rsidR="005B796A">
        <w:t>se</w:t>
      </w:r>
      <w:r w:rsidR="00611F62">
        <w:t xml:space="preserve"> objectives</w:t>
      </w:r>
      <w:r w:rsidR="005B796A">
        <w:t>, including via the potential phase</w:t>
      </w:r>
      <w:r w:rsidR="007D077B">
        <w:t xml:space="preserve"> </w:t>
      </w:r>
      <w:r w:rsidR="005B796A">
        <w:t>out of the installation of new OFGSHs</w:t>
      </w:r>
      <w:r w:rsidR="002B19F9">
        <w:t>.</w:t>
      </w:r>
    </w:p>
    <w:p w14:paraId="6D5B1FB4" w14:textId="3DFF9C5B" w:rsidR="00F10451" w:rsidRPr="00F10451" w:rsidRDefault="00F10451" w:rsidP="00F10451">
      <w:r w:rsidRPr="00F10451">
        <w:t>The analysis in this RIS has</w:t>
      </w:r>
      <w:r w:rsidR="00006715">
        <w:t xml:space="preserve"> also</w:t>
      </w:r>
      <w:r w:rsidRPr="00F10451">
        <w:t xml:space="preserve"> considered whether transitional measures, such as CO alarms and </w:t>
      </w:r>
      <w:r w:rsidR="00B00B65">
        <w:t xml:space="preserve">the </w:t>
      </w:r>
      <w:r w:rsidRPr="00F10451">
        <w:t>servicing for OFGSH</w:t>
      </w:r>
      <w:r w:rsidR="00B00B65">
        <w:t>s</w:t>
      </w:r>
      <w:r w:rsidRPr="00F10451">
        <w:t xml:space="preserve">, should be mandated to manage risks from OFGSHs that have already been installed. </w:t>
      </w:r>
    </w:p>
    <w:p w14:paraId="6D08A087" w14:textId="415D3B7E" w:rsidR="005B796A" w:rsidRDefault="005B796A" w:rsidP="005B796A">
      <w:pPr>
        <w:spacing w:after="0" w:line="240" w:lineRule="auto"/>
        <w:rPr>
          <w:rFonts w:eastAsia="Times New Roman"/>
        </w:rPr>
      </w:pPr>
      <w:r>
        <w:rPr>
          <w:rFonts w:eastAsia="Times New Roman"/>
        </w:rPr>
        <w:t xml:space="preserve">Importantly, this RIS does not </w:t>
      </w:r>
      <w:r w:rsidR="0034671A">
        <w:rPr>
          <w:rFonts w:eastAsia="Times New Roman"/>
        </w:rPr>
        <w:t>analyse options for</w:t>
      </w:r>
      <w:r>
        <w:rPr>
          <w:rFonts w:eastAsia="Times New Roman"/>
        </w:rPr>
        <w:t xml:space="preserve"> the potential wholesale removal of existing OFGSHs. </w:t>
      </w:r>
      <w:r w:rsidR="002B2071">
        <w:rPr>
          <w:rFonts w:eastAsia="Times New Roman"/>
        </w:rPr>
        <w:t>However,</w:t>
      </w:r>
      <w:r>
        <w:rPr>
          <w:rFonts w:eastAsia="Times New Roman"/>
        </w:rPr>
        <w:t xml:space="preserve"> the Victorian Government has recently announced its intention </w:t>
      </w:r>
      <w:r w:rsidR="00C86820">
        <w:rPr>
          <w:rFonts w:eastAsia="Times New Roman"/>
        </w:rPr>
        <w:t xml:space="preserve">to </w:t>
      </w:r>
      <w:r>
        <w:rPr>
          <w:rFonts w:asciiTheme="minorHAnsi" w:hAnsiTheme="minorHAnsi" w:cs="Segoe UI Light"/>
        </w:rPr>
        <w:t>spend $335 million to replace inefficient heaters (including OFGSHs). This is expected to result in approximately</w:t>
      </w:r>
      <w:r w:rsidRPr="007A6E6C">
        <w:rPr>
          <w:rFonts w:asciiTheme="minorHAnsi" w:hAnsiTheme="minorHAnsi" w:cs="Segoe UI Light"/>
        </w:rPr>
        <w:t xml:space="preserve"> 100,000 </w:t>
      </w:r>
      <w:r>
        <w:rPr>
          <w:rFonts w:asciiTheme="minorHAnsi" w:hAnsiTheme="minorHAnsi" w:cs="Segoe UI Light"/>
        </w:rPr>
        <w:t xml:space="preserve">of Victoria’s estimated 287,000 </w:t>
      </w:r>
      <w:r w:rsidRPr="007A6E6C">
        <w:rPr>
          <w:rFonts w:asciiTheme="minorHAnsi" w:hAnsiTheme="minorHAnsi" w:cs="Segoe UI Light"/>
        </w:rPr>
        <w:t>OFGSHs being removed</w:t>
      </w:r>
      <w:r>
        <w:rPr>
          <w:rFonts w:asciiTheme="minorHAnsi" w:hAnsiTheme="minorHAnsi" w:cs="Segoe UI Light"/>
        </w:rPr>
        <w:t xml:space="preserve"> and substantially reduce the risk of harms to health and safety from the existing stock of OFGSHs.</w:t>
      </w:r>
      <w:r>
        <w:rPr>
          <w:rStyle w:val="FootnoteReference"/>
          <w:rFonts w:eastAsia="Times New Roman"/>
        </w:rPr>
        <w:footnoteReference w:id="7"/>
      </w:r>
    </w:p>
    <w:p w14:paraId="21582DDC" w14:textId="77777777" w:rsidR="005B796A" w:rsidRPr="00D379E5" w:rsidRDefault="005B796A" w:rsidP="005B796A">
      <w:pPr>
        <w:spacing w:after="0" w:line="240" w:lineRule="auto"/>
        <w:rPr>
          <w:rFonts w:eastAsia="Times New Roman"/>
        </w:rPr>
      </w:pPr>
    </w:p>
    <w:p w14:paraId="5BDC33E6" w14:textId="7A693298" w:rsidR="00F10451" w:rsidRPr="00F10451" w:rsidRDefault="00F10451" w:rsidP="00F10451">
      <w:r w:rsidRPr="00F10451">
        <w:t>The following key matters have been considered and are discussed throughout this paper:</w:t>
      </w:r>
    </w:p>
    <w:p w14:paraId="29BFF3F8" w14:textId="77777777" w:rsidR="00F10451" w:rsidRPr="00F10451" w:rsidRDefault="00F10451" w:rsidP="00F10451">
      <w:pPr>
        <w:numPr>
          <w:ilvl w:val="0"/>
          <w:numId w:val="27"/>
        </w:numPr>
        <w:contextualSpacing/>
      </w:pPr>
      <w:r w:rsidRPr="00F10451">
        <w:t>The risk factors that contribute to CO exposure from OFGSHs (the problem being addressed)</w:t>
      </w:r>
    </w:p>
    <w:p w14:paraId="43FF3CC5" w14:textId="30C6F7F1" w:rsidR="00F10451" w:rsidRPr="00F10451" w:rsidRDefault="00F10451" w:rsidP="00F10451">
      <w:pPr>
        <w:numPr>
          <w:ilvl w:val="0"/>
          <w:numId w:val="27"/>
        </w:numPr>
        <w:contextualSpacing/>
      </w:pPr>
      <w:r w:rsidRPr="00F10451">
        <w:t>Options for addressing the problem (i.e. measures to reduce the risks of harm to human health and life due to CO exposure)</w:t>
      </w:r>
    </w:p>
    <w:p w14:paraId="31CB3CF1" w14:textId="77777777" w:rsidR="00F10451" w:rsidRPr="00F10451" w:rsidRDefault="00F10451" w:rsidP="00F10451">
      <w:pPr>
        <w:numPr>
          <w:ilvl w:val="0"/>
          <w:numId w:val="27"/>
        </w:numPr>
        <w:contextualSpacing/>
      </w:pPr>
      <w:r w:rsidRPr="00F10451">
        <w:t>The costs and benefits of the options proposed to address the problem</w:t>
      </w:r>
    </w:p>
    <w:p w14:paraId="5CEDA830" w14:textId="77777777" w:rsidR="00F10451" w:rsidRPr="00F10451" w:rsidRDefault="00F10451" w:rsidP="00F10451">
      <w:pPr>
        <w:numPr>
          <w:ilvl w:val="0"/>
          <w:numId w:val="27"/>
        </w:numPr>
        <w:contextualSpacing/>
      </w:pPr>
      <w:r w:rsidRPr="00F10451">
        <w:t>The preferred option and the rationale for choosing this option</w:t>
      </w:r>
    </w:p>
    <w:p w14:paraId="245A33F3" w14:textId="37CC92E7" w:rsidR="00F10451" w:rsidRPr="00F10451" w:rsidRDefault="00F10451" w:rsidP="00530A10">
      <w:pPr>
        <w:numPr>
          <w:ilvl w:val="0"/>
          <w:numId w:val="27"/>
        </w:numPr>
        <w:spacing w:after="0"/>
        <w:contextualSpacing/>
      </w:pPr>
      <w:r w:rsidRPr="00F10451">
        <w:t xml:space="preserve">Arrangements for implementing </w:t>
      </w:r>
      <w:r w:rsidR="00386CE7">
        <w:t>the preferred option</w:t>
      </w:r>
    </w:p>
    <w:p w14:paraId="6F8BF539" w14:textId="3E2C6822" w:rsidR="00F359E2" w:rsidRDefault="00F10451" w:rsidP="00AD76EF">
      <w:pPr>
        <w:pStyle w:val="ListParagraph"/>
        <w:numPr>
          <w:ilvl w:val="0"/>
          <w:numId w:val="27"/>
        </w:numPr>
        <w:spacing w:after="240"/>
      </w:pPr>
      <w:r w:rsidRPr="00F10451">
        <w:t xml:space="preserve">The evaluation strategy for </w:t>
      </w:r>
      <w:r w:rsidR="002A20F7">
        <w:t>the preferred option</w:t>
      </w:r>
      <w:r w:rsidRPr="00F10451">
        <w:t>.</w:t>
      </w:r>
      <w:bookmarkStart w:id="77" w:name="_Toc17892117"/>
      <w:bookmarkStart w:id="78" w:name="_Toc19092395"/>
      <w:bookmarkStart w:id="79" w:name="_Toc20138638"/>
      <w:bookmarkEnd w:id="74"/>
      <w:bookmarkEnd w:id="75"/>
      <w:bookmarkEnd w:id="76"/>
    </w:p>
    <w:p w14:paraId="66EE6696" w14:textId="48A3AD61" w:rsidR="00D03A7C" w:rsidRDefault="00466C9B">
      <w:pPr>
        <w:pStyle w:val="Heading2un-numbered"/>
      </w:pPr>
      <w:r>
        <w:t>Feasible o</w:t>
      </w:r>
      <w:r w:rsidR="00D03A7C">
        <w:t>ptions</w:t>
      </w:r>
      <w:bookmarkEnd w:id="77"/>
      <w:bookmarkEnd w:id="78"/>
      <w:bookmarkEnd w:id="79"/>
    </w:p>
    <w:p w14:paraId="16392BE8" w14:textId="296189DE" w:rsidR="00AA7566" w:rsidRDefault="00AA7566" w:rsidP="00AA7566">
      <w:r>
        <w:t>As part of this RIS process, two types of option</w:t>
      </w:r>
      <w:r w:rsidR="00FE3A74">
        <w:t>s</w:t>
      </w:r>
      <w:r>
        <w:t xml:space="preserve"> have been considered:</w:t>
      </w:r>
    </w:p>
    <w:p w14:paraId="2A5630FC" w14:textId="272760DB" w:rsidR="00AA7566" w:rsidRDefault="00AA7566" w:rsidP="00AA7566">
      <w:pPr>
        <w:pStyle w:val="ListParagraph"/>
        <w:numPr>
          <w:ilvl w:val="0"/>
          <w:numId w:val="34"/>
        </w:numPr>
      </w:pPr>
      <w:r>
        <w:rPr>
          <w:b/>
        </w:rPr>
        <w:t>Phase</w:t>
      </w:r>
      <w:r w:rsidR="008049D5">
        <w:rPr>
          <w:b/>
        </w:rPr>
        <w:t xml:space="preserve"> </w:t>
      </w:r>
      <w:r>
        <w:rPr>
          <w:b/>
        </w:rPr>
        <w:t>out</w:t>
      </w:r>
      <w:r w:rsidRPr="007F3851">
        <w:rPr>
          <w:b/>
        </w:rPr>
        <w:t xml:space="preserve"> options</w:t>
      </w:r>
      <w:r>
        <w:t xml:space="preserve"> – </w:t>
      </w:r>
      <w:r w:rsidR="00FE3A74">
        <w:t xml:space="preserve">these </w:t>
      </w:r>
      <w:r>
        <w:t>address the risk associated with any future installations of OFGSHs.</w:t>
      </w:r>
      <w:r w:rsidRPr="003A4B7F">
        <w:rPr>
          <w:rFonts w:asciiTheme="minorHAnsi" w:hAnsiTheme="minorHAnsi" w:cs="Segoe UI Light"/>
        </w:rPr>
        <w:t xml:space="preserve"> </w:t>
      </w:r>
      <w:r w:rsidR="006710E3">
        <w:rPr>
          <w:rFonts w:asciiTheme="minorHAnsi" w:hAnsiTheme="minorHAnsi" w:cs="Segoe UI Light"/>
        </w:rPr>
        <w:t>Phase</w:t>
      </w:r>
      <w:r w:rsidR="008049D5">
        <w:rPr>
          <w:rFonts w:asciiTheme="minorHAnsi" w:hAnsiTheme="minorHAnsi" w:cs="Segoe UI Light"/>
        </w:rPr>
        <w:t xml:space="preserve"> </w:t>
      </w:r>
      <w:r w:rsidR="006710E3">
        <w:rPr>
          <w:rFonts w:asciiTheme="minorHAnsi" w:hAnsiTheme="minorHAnsi" w:cs="Segoe UI Light"/>
        </w:rPr>
        <w:t xml:space="preserve">out </w:t>
      </w:r>
      <w:r w:rsidRPr="003A4B7F">
        <w:rPr>
          <w:rFonts w:asciiTheme="minorHAnsi" w:hAnsiTheme="minorHAnsi" w:cs="Segoe UI Light"/>
        </w:rPr>
        <w:t xml:space="preserve">options are mutually exclusive, meaning that only one phase out option can be implemented at a time. Phase out options, on their own, do not address </w:t>
      </w:r>
      <w:r w:rsidRPr="003A4B7F">
        <w:rPr>
          <w:rFonts w:asciiTheme="minorHAnsi" w:hAnsiTheme="minorHAnsi" w:cs="Segoe UI Light"/>
        </w:rPr>
        <w:lastRenderedPageBreak/>
        <w:t xml:space="preserve">risks associated with OFGSHs that are already installed in buildings. </w:t>
      </w:r>
      <w:r w:rsidR="00FD6645">
        <w:rPr>
          <w:rFonts w:asciiTheme="minorHAnsi" w:hAnsiTheme="minorHAnsi" w:cs="Segoe UI Light"/>
        </w:rPr>
        <w:t>Two</w:t>
      </w:r>
      <w:r>
        <w:rPr>
          <w:rFonts w:asciiTheme="minorHAnsi" w:hAnsiTheme="minorHAnsi" w:cs="Segoe UI Light"/>
        </w:rPr>
        <w:t xml:space="preserve"> </w:t>
      </w:r>
      <w:r w:rsidR="00E754EB">
        <w:rPr>
          <w:rFonts w:asciiTheme="minorHAnsi" w:hAnsiTheme="minorHAnsi" w:cs="Segoe UI Light"/>
        </w:rPr>
        <w:t xml:space="preserve">main </w:t>
      </w:r>
      <w:r>
        <w:rPr>
          <w:rFonts w:asciiTheme="minorHAnsi" w:hAnsiTheme="minorHAnsi" w:cs="Segoe UI Light"/>
        </w:rPr>
        <w:t>phase</w:t>
      </w:r>
      <w:r w:rsidR="008049D5">
        <w:rPr>
          <w:rFonts w:asciiTheme="minorHAnsi" w:hAnsiTheme="minorHAnsi" w:cs="Segoe UI Light"/>
        </w:rPr>
        <w:t xml:space="preserve"> </w:t>
      </w:r>
      <w:r>
        <w:rPr>
          <w:rFonts w:asciiTheme="minorHAnsi" w:hAnsiTheme="minorHAnsi" w:cs="Segoe UI Light"/>
        </w:rPr>
        <w:t xml:space="preserve">out options are considered in detail in this RIS </w:t>
      </w:r>
      <w:r w:rsidR="006D6E4A">
        <w:rPr>
          <w:rFonts w:asciiTheme="minorHAnsi" w:hAnsiTheme="minorHAnsi" w:cs="Segoe UI Light"/>
        </w:rPr>
        <w:t xml:space="preserve">and are assessed </w:t>
      </w:r>
      <w:r w:rsidR="00EB701E">
        <w:rPr>
          <w:rFonts w:asciiTheme="minorHAnsi" w:hAnsiTheme="minorHAnsi" w:cs="Segoe UI Light"/>
        </w:rPr>
        <w:t>against the</w:t>
      </w:r>
      <w:r>
        <w:rPr>
          <w:rFonts w:asciiTheme="minorHAnsi" w:hAnsiTheme="minorHAnsi" w:cs="Segoe UI Light"/>
        </w:rPr>
        <w:t xml:space="preserve"> Base Case. </w:t>
      </w:r>
    </w:p>
    <w:p w14:paraId="47A20063" w14:textId="0A31FA08" w:rsidR="00AA7566" w:rsidRDefault="00AA7566" w:rsidP="00AA7566">
      <w:pPr>
        <w:pStyle w:val="ListParagraph"/>
        <w:numPr>
          <w:ilvl w:val="0"/>
          <w:numId w:val="34"/>
        </w:numPr>
      </w:pPr>
      <w:r w:rsidRPr="001A2A01">
        <w:rPr>
          <w:b/>
        </w:rPr>
        <w:t>Transitional measures</w:t>
      </w:r>
      <w:r>
        <w:t xml:space="preserve"> – address the risk associated with OFGSHs that have already </w:t>
      </w:r>
      <w:r w:rsidRPr="00530A10">
        <w:rPr>
          <w:rFonts w:asciiTheme="minorHAnsi" w:hAnsiTheme="minorHAnsi" w:cs="Segoe UI Light"/>
        </w:rPr>
        <w:t>been installed. As such, transitional measures are intended to address the residual risk that remains after</w:t>
      </w:r>
      <w:r w:rsidR="00346E7F">
        <w:rPr>
          <w:rFonts w:asciiTheme="minorHAnsi" w:hAnsiTheme="minorHAnsi" w:cs="Segoe UI Light"/>
        </w:rPr>
        <w:t xml:space="preserve"> a </w:t>
      </w:r>
      <w:r w:rsidRPr="00530A10">
        <w:rPr>
          <w:rFonts w:asciiTheme="minorHAnsi" w:hAnsiTheme="minorHAnsi" w:cs="Segoe UI Light"/>
        </w:rPr>
        <w:t>phase out option</w:t>
      </w:r>
      <w:r w:rsidR="00346E7F">
        <w:rPr>
          <w:rFonts w:asciiTheme="minorHAnsi" w:hAnsiTheme="minorHAnsi" w:cs="Segoe UI Light"/>
        </w:rPr>
        <w:t xml:space="preserve"> is implemented</w:t>
      </w:r>
      <w:r w:rsidRPr="00530A10">
        <w:rPr>
          <w:rFonts w:asciiTheme="minorHAnsi" w:hAnsiTheme="minorHAnsi" w:cs="Segoe UI Light"/>
        </w:rPr>
        <w:t xml:space="preserve"> and are not intended to be implemented in isolation. </w:t>
      </w:r>
      <w:r w:rsidR="005B796A">
        <w:rPr>
          <w:rFonts w:asciiTheme="minorHAnsi" w:hAnsiTheme="minorHAnsi" w:cs="Segoe UI Light"/>
        </w:rPr>
        <w:t xml:space="preserve">The installation of </w:t>
      </w:r>
      <w:r w:rsidRPr="00530A10">
        <w:rPr>
          <w:rFonts w:asciiTheme="minorHAnsi" w:hAnsiTheme="minorHAnsi" w:cs="Segoe UI Light"/>
        </w:rPr>
        <w:t>CO alarms is the only transitional measure considered feasible and subject to detailed analysis</w:t>
      </w:r>
      <w:r w:rsidR="00DC302F">
        <w:rPr>
          <w:rFonts w:asciiTheme="minorHAnsi" w:hAnsiTheme="minorHAnsi" w:cs="Segoe UI Light"/>
        </w:rPr>
        <w:t xml:space="preserve"> in the RIS</w:t>
      </w:r>
      <w:r w:rsidRPr="00530A10">
        <w:rPr>
          <w:rFonts w:asciiTheme="minorHAnsi" w:hAnsiTheme="minorHAnsi" w:cs="Segoe UI Light"/>
        </w:rPr>
        <w:t>.</w:t>
      </w:r>
    </w:p>
    <w:p w14:paraId="5C7F1BCB" w14:textId="1CE9F133" w:rsidR="00AA7566" w:rsidRDefault="00AA7566" w:rsidP="00530A10">
      <w:pPr>
        <w:rPr>
          <w:rFonts w:asciiTheme="minorHAnsi" w:hAnsiTheme="minorHAnsi" w:cs="Segoe UI Light"/>
        </w:rPr>
      </w:pPr>
      <w:r>
        <w:rPr>
          <w:rFonts w:asciiTheme="minorHAnsi" w:hAnsiTheme="minorHAnsi" w:cs="Segoe UI Light"/>
        </w:rPr>
        <w:t xml:space="preserve">Other options were considered but not </w:t>
      </w:r>
      <w:r w:rsidR="00DC302F">
        <w:rPr>
          <w:rFonts w:asciiTheme="minorHAnsi" w:hAnsiTheme="minorHAnsi" w:cs="Segoe UI Light"/>
        </w:rPr>
        <w:t xml:space="preserve">subject to </w:t>
      </w:r>
      <w:r>
        <w:rPr>
          <w:rFonts w:asciiTheme="minorHAnsi" w:hAnsiTheme="minorHAnsi" w:cs="Segoe UI Light"/>
        </w:rPr>
        <w:t>detailed analysis</w:t>
      </w:r>
      <w:r w:rsidR="00C17C48">
        <w:rPr>
          <w:rFonts w:asciiTheme="minorHAnsi" w:hAnsiTheme="minorHAnsi" w:cs="Segoe UI Light"/>
        </w:rPr>
        <w:t>,</w:t>
      </w:r>
      <w:r>
        <w:rPr>
          <w:rFonts w:asciiTheme="minorHAnsi" w:hAnsiTheme="minorHAnsi" w:cs="Segoe UI Light"/>
        </w:rPr>
        <w:t xml:space="preserve"> mainly </w:t>
      </w:r>
      <w:r w:rsidR="005270E1">
        <w:rPr>
          <w:rFonts w:asciiTheme="minorHAnsi" w:hAnsiTheme="minorHAnsi" w:cs="Segoe UI Light"/>
        </w:rPr>
        <w:t xml:space="preserve">because of </w:t>
      </w:r>
      <w:r>
        <w:rPr>
          <w:rFonts w:asciiTheme="minorHAnsi" w:hAnsiTheme="minorHAnsi" w:cs="Segoe UI Light"/>
        </w:rPr>
        <w:t xml:space="preserve">potential implementation difficulties. </w:t>
      </w:r>
    </w:p>
    <w:p w14:paraId="40372FE6" w14:textId="77777777" w:rsidR="00AA7566" w:rsidRPr="001A2A01" w:rsidRDefault="00AA7566">
      <w:pPr>
        <w:pStyle w:val="Heading3"/>
        <w:numPr>
          <w:ilvl w:val="0"/>
          <w:numId w:val="0"/>
        </w:numPr>
      </w:pPr>
      <w:r w:rsidRPr="001A2A01">
        <w:t xml:space="preserve">Phase out options </w:t>
      </w:r>
    </w:p>
    <w:p w14:paraId="38906870" w14:textId="77777777" w:rsidR="00AA7566" w:rsidRPr="00152079" w:rsidRDefault="00AA7566" w:rsidP="00691E2A">
      <w:pPr>
        <w:pStyle w:val="Heading4"/>
        <w:numPr>
          <w:ilvl w:val="0"/>
          <w:numId w:val="0"/>
        </w:numPr>
        <w:ind w:left="864" w:hanging="864"/>
      </w:pPr>
      <w:r w:rsidRPr="00B31CA3">
        <w:t>B</w:t>
      </w:r>
      <w:r w:rsidRPr="00152079">
        <w:t xml:space="preserve">ase case </w:t>
      </w:r>
    </w:p>
    <w:p w14:paraId="17035C4B" w14:textId="77777777" w:rsidR="00AA7566" w:rsidRPr="001A2A01" w:rsidRDefault="00AA7566" w:rsidP="000276F0">
      <w:pPr>
        <w:spacing w:before="60" w:after="60"/>
        <w:rPr>
          <w:u w:val="single"/>
        </w:rPr>
      </w:pPr>
      <w:r w:rsidRPr="001A2A01">
        <w:rPr>
          <w:u w:val="single"/>
        </w:rPr>
        <w:t xml:space="preserve">Description </w:t>
      </w:r>
    </w:p>
    <w:p w14:paraId="413B35CD" w14:textId="1C18F719" w:rsidR="00C1629A" w:rsidRPr="001A2A01" w:rsidRDefault="00AA7566" w:rsidP="00C1629A">
      <w:pPr>
        <w:rPr>
          <w:u w:val="single"/>
        </w:rPr>
      </w:pPr>
      <w:r w:rsidRPr="001A2A01">
        <w:rPr>
          <w:szCs w:val="17"/>
        </w:rPr>
        <w:t xml:space="preserve">The Base Case is a counter-factual scenario used in a quantitative analysis to provide a common point of comparison for all </w:t>
      </w:r>
      <w:r w:rsidR="00E62223">
        <w:rPr>
          <w:szCs w:val="17"/>
        </w:rPr>
        <w:t xml:space="preserve">phase out </w:t>
      </w:r>
      <w:r w:rsidRPr="001A2A01">
        <w:rPr>
          <w:szCs w:val="17"/>
        </w:rPr>
        <w:t>options. The Base Case</w:t>
      </w:r>
      <w:r w:rsidRPr="00E51D51">
        <w:rPr>
          <w:szCs w:val="17"/>
        </w:rPr>
        <w:t xml:space="preserve"> would maintain the current set of Victorian regulations relevant to OFGSHs, which aim to reduce the risk of CO poisoning</w:t>
      </w:r>
      <w:r w:rsidRPr="001A2A01">
        <w:rPr>
          <w:szCs w:val="17"/>
        </w:rPr>
        <w:t xml:space="preserve">. </w:t>
      </w:r>
      <w:r w:rsidR="00C1629A" w:rsidRPr="00E51D51">
        <w:rPr>
          <w:szCs w:val="17"/>
        </w:rPr>
        <w:t xml:space="preserve">In the Base Case, </w:t>
      </w:r>
      <w:r w:rsidR="00C1629A" w:rsidRPr="00691E2A">
        <w:rPr>
          <w:szCs w:val="17"/>
        </w:rPr>
        <w:t>22</w:t>
      </w:r>
      <w:r w:rsidR="00C1629A">
        <w:rPr>
          <w:szCs w:val="17"/>
        </w:rPr>
        <w:t xml:space="preserve"> </w:t>
      </w:r>
      <w:r w:rsidR="00C1629A" w:rsidRPr="00E51D51">
        <w:rPr>
          <w:szCs w:val="17"/>
        </w:rPr>
        <w:t xml:space="preserve">presently certified </w:t>
      </w:r>
      <w:r w:rsidR="000932DA">
        <w:rPr>
          <w:szCs w:val="17"/>
        </w:rPr>
        <w:t xml:space="preserve">OFGSH </w:t>
      </w:r>
      <w:r w:rsidR="00C1629A" w:rsidRPr="00E51D51">
        <w:rPr>
          <w:szCs w:val="17"/>
        </w:rPr>
        <w:t>models will continue to be permitted for sale in Victoria.</w:t>
      </w:r>
      <w:r w:rsidR="00C1629A">
        <w:rPr>
          <w:rStyle w:val="FootnoteReference"/>
          <w:szCs w:val="17"/>
        </w:rPr>
        <w:footnoteReference w:id="8"/>
      </w:r>
      <w:r w:rsidR="00C1629A" w:rsidRPr="00E51D51">
        <w:rPr>
          <w:szCs w:val="17"/>
        </w:rPr>
        <w:t xml:space="preserve"> </w:t>
      </w:r>
      <w:r w:rsidR="005B796A">
        <w:rPr>
          <w:szCs w:val="17"/>
        </w:rPr>
        <w:t>It</w:t>
      </w:r>
      <w:r w:rsidR="00733CC8">
        <w:rPr>
          <w:szCs w:val="17"/>
        </w:rPr>
        <w:t xml:space="preserve"> is assumed that </w:t>
      </w:r>
      <w:r w:rsidR="00D13722">
        <w:rPr>
          <w:szCs w:val="17"/>
        </w:rPr>
        <w:t>OFGSH s</w:t>
      </w:r>
      <w:r w:rsidR="00591CD2">
        <w:rPr>
          <w:szCs w:val="17"/>
        </w:rPr>
        <w:t>ales would reduce to zero by 2027</w:t>
      </w:r>
      <w:r w:rsidR="00733CC8">
        <w:rPr>
          <w:szCs w:val="17"/>
        </w:rPr>
        <w:t xml:space="preserve"> </w:t>
      </w:r>
      <w:r w:rsidR="00462BB1">
        <w:rPr>
          <w:szCs w:val="17"/>
        </w:rPr>
        <w:t>based on current industry sales forecasts</w:t>
      </w:r>
      <w:r w:rsidR="00F84275">
        <w:rPr>
          <w:szCs w:val="17"/>
        </w:rPr>
        <w:t xml:space="preserve">. </w:t>
      </w:r>
      <w:r w:rsidR="00C1629A" w:rsidRPr="00E51D51">
        <w:rPr>
          <w:szCs w:val="17"/>
        </w:rPr>
        <w:t xml:space="preserve">The installation of CO alarms and regular servicing of gas appliances would be recommended, but not mandated. </w:t>
      </w:r>
    </w:p>
    <w:p w14:paraId="2C500887" w14:textId="130E7F1F" w:rsidR="00AB3F45" w:rsidRPr="00691E2A" w:rsidRDefault="00C1629A" w:rsidP="00C1629A">
      <w:pPr>
        <w:rPr>
          <w:szCs w:val="17"/>
        </w:rPr>
      </w:pPr>
      <w:r w:rsidRPr="00691E2A">
        <w:rPr>
          <w:szCs w:val="17"/>
        </w:rPr>
        <w:t xml:space="preserve">The Base Case includes </w:t>
      </w:r>
      <w:r w:rsidR="003F1C8D">
        <w:rPr>
          <w:szCs w:val="17"/>
        </w:rPr>
        <w:t xml:space="preserve">current </w:t>
      </w:r>
      <w:r w:rsidRPr="00691E2A">
        <w:rPr>
          <w:szCs w:val="17"/>
        </w:rPr>
        <w:t>government initiatives and reforms including</w:t>
      </w:r>
      <w:r w:rsidR="0028443C" w:rsidRPr="00691E2A">
        <w:rPr>
          <w:szCs w:val="17"/>
        </w:rPr>
        <w:t>:</w:t>
      </w:r>
      <w:r w:rsidRPr="00691E2A">
        <w:rPr>
          <w:szCs w:val="17"/>
        </w:rPr>
        <w:t xml:space="preserve"> </w:t>
      </w:r>
    </w:p>
    <w:p w14:paraId="38B7192D" w14:textId="2E2F89FA" w:rsidR="00AB3F45" w:rsidRPr="00691E2A" w:rsidRDefault="00473245" w:rsidP="00AB3F45">
      <w:pPr>
        <w:pStyle w:val="ListParagraph"/>
        <w:numPr>
          <w:ilvl w:val="0"/>
          <w:numId w:val="162"/>
        </w:numPr>
      </w:pPr>
      <w:r>
        <w:rPr>
          <w:szCs w:val="17"/>
        </w:rPr>
        <w:t>T</w:t>
      </w:r>
      <w:r w:rsidR="00C1629A" w:rsidRPr="00691E2A">
        <w:rPr>
          <w:szCs w:val="17"/>
        </w:rPr>
        <w:t>he Energy Safe Victoria (ESV) ‘Be Sure’ CO public awareness campaign about risks of CO poisoning and the importance of regular servicing</w:t>
      </w:r>
    </w:p>
    <w:p w14:paraId="5C2ABD35" w14:textId="3FD27818" w:rsidR="00604262" w:rsidRPr="00691E2A" w:rsidRDefault="00473245" w:rsidP="00AB3F45">
      <w:pPr>
        <w:pStyle w:val="ListParagraph"/>
        <w:numPr>
          <w:ilvl w:val="0"/>
          <w:numId w:val="162"/>
        </w:numPr>
      </w:pPr>
      <w:r>
        <w:rPr>
          <w:szCs w:val="17"/>
        </w:rPr>
        <w:t>P</w:t>
      </w:r>
      <w:r w:rsidR="00946B6A" w:rsidRPr="00691E2A">
        <w:rPr>
          <w:szCs w:val="17"/>
        </w:rPr>
        <w:t xml:space="preserve">roposed </w:t>
      </w:r>
      <w:r w:rsidR="00C1629A" w:rsidRPr="00691E2A">
        <w:rPr>
          <w:szCs w:val="17"/>
        </w:rPr>
        <w:t xml:space="preserve">changes to the Residential Tenancies </w:t>
      </w:r>
      <w:r w:rsidR="000F442A" w:rsidRPr="00691E2A">
        <w:rPr>
          <w:szCs w:val="17"/>
        </w:rPr>
        <w:t>Regulations</w:t>
      </w:r>
      <w:r w:rsidR="00C1629A" w:rsidRPr="00691E2A">
        <w:rPr>
          <w:szCs w:val="17"/>
        </w:rPr>
        <w:t xml:space="preserve"> to prescribe mandatory gas safety checks</w:t>
      </w:r>
      <w:r w:rsidR="000F442A" w:rsidRPr="00691E2A">
        <w:rPr>
          <w:szCs w:val="17"/>
        </w:rPr>
        <w:t xml:space="preserve"> for gas appliances installed in rental properties</w:t>
      </w:r>
      <w:r w:rsidR="00AB3F45" w:rsidRPr="00691E2A">
        <w:rPr>
          <w:szCs w:val="17"/>
        </w:rPr>
        <w:t xml:space="preserve">. These changes were consulted on through a RIS </w:t>
      </w:r>
      <w:r w:rsidR="00B80629" w:rsidRPr="00691E2A">
        <w:rPr>
          <w:szCs w:val="17"/>
        </w:rPr>
        <w:t xml:space="preserve">in late </w:t>
      </w:r>
      <w:r w:rsidR="00B80629">
        <w:t>201</w:t>
      </w:r>
      <w:r w:rsidR="3F915B09">
        <w:t>9</w:t>
      </w:r>
      <w:r w:rsidR="005B796A">
        <w:rPr>
          <w:szCs w:val="17"/>
        </w:rPr>
        <w:t xml:space="preserve"> and</w:t>
      </w:r>
      <w:r w:rsidR="00B80629" w:rsidRPr="00691E2A">
        <w:rPr>
          <w:szCs w:val="17"/>
        </w:rPr>
        <w:t xml:space="preserve"> </w:t>
      </w:r>
      <w:r w:rsidR="00AB3F45" w:rsidRPr="00691E2A">
        <w:rPr>
          <w:szCs w:val="17"/>
        </w:rPr>
        <w:t>t</w:t>
      </w:r>
      <w:r w:rsidR="00AB3F45" w:rsidRPr="00691E2A">
        <w:rPr>
          <w:rFonts w:cs="Arial"/>
          <w:szCs w:val="20"/>
        </w:rPr>
        <w:t xml:space="preserve">he Department of Justice and Community Safety (DJCS) is </w:t>
      </w:r>
      <w:r w:rsidR="00604262" w:rsidRPr="00691E2A">
        <w:rPr>
          <w:rFonts w:cs="Arial"/>
          <w:szCs w:val="20"/>
        </w:rPr>
        <w:t xml:space="preserve">currently </w:t>
      </w:r>
      <w:r w:rsidR="00AB3F45" w:rsidRPr="00691E2A">
        <w:rPr>
          <w:rFonts w:cs="Arial"/>
          <w:szCs w:val="20"/>
        </w:rPr>
        <w:t>considering the feedback provided through the RIS process</w:t>
      </w:r>
      <w:r w:rsidR="00B80629" w:rsidRPr="00691E2A">
        <w:rPr>
          <w:rFonts w:cs="Arial"/>
          <w:szCs w:val="20"/>
        </w:rPr>
        <w:t xml:space="preserve"> a</w:t>
      </w:r>
      <w:r w:rsidR="00C6101D" w:rsidRPr="00691E2A">
        <w:rPr>
          <w:rFonts w:cs="Arial"/>
          <w:szCs w:val="20"/>
        </w:rPr>
        <w:t>head of final regulations being made</w:t>
      </w:r>
      <w:r w:rsidR="00604262" w:rsidRPr="00691E2A">
        <w:rPr>
          <w:rFonts w:cs="Arial"/>
          <w:szCs w:val="20"/>
        </w:rPr>
        <w:t xml:space="preserve"> in 2021</w:t>
      </w:r>
    </w:p>
    <w:p w14:paraId="7851EB6C" w14:textId="0856138E" w:rsidR="00604262" w:rsidRPr="00691E2A" w:rsidRDefault="00473245" w:rsidP="00AB3F45">
      <w:pPr>
        <w:pStyle w:val="ListParagraph"/>
        <w:numPr>
          <w:ilvl w:val="0"/>
          <w:numId w:val="162"/>
        </w:numPr>
      </w:pPr>
      <w:r>
        <w:rPr>
          <w:szCs w:val="17"/>
        </w:rPr>
        <w:t>T</w:t>
      </w:r>
      <w:r w:rsidR="00C1629A" w:rsidRPr="00691E2A">
        <w:rPr>
          <w:szCs w:val="17"/>
        </w:rPr>
        <w:t xml:space="preserve">he current DHHS program of removing </w:t>
      </w:r>
      <w:r w:rsidR="000932DA">
        <w:rPr>
          <w:szCs w:val="17"/>
        </w:rPr>
        <w:t xml:space="preserve">OFGSHs </w:t>
      </w:r>
      <w:r w:rsidR="00C1629A" w:rsidRPr="00691E2A">
        <w:rPr>
          <w:szCs w:val="17"/>
        </w:rPr>
        <w:t>in public housing</w:t>
      </w:r>
    </w:p>
    <w:p w14:paraId="5E346AE4" w14:textId="6938D21A" w:rsidR="00830695" w:rsidRPr="00FC4247" w:rsidRDefault="00473245" w:rsidP="00AB3F45">
      <w:pPr>
        <w:pStyle w:val="ListParagraph"/>
        <w:numPr>
          <w:ilvl w:val="0"/>
          <w:numId w:val="162"/>
        </w:numPr>
      </w:pPr>
      <w:r>
        <w:rPr>
          <w:szCs w:val="17"/>
        </w:rPr>
        <w:t>R</w:t>
      </w:r>
      <w:r w:rsidR="00C1629A" w:rsidRPr="00691E2A">
        <w:rPr>
          <w:szCs w:val="17"/>
        </w:rPr>
        <w:t>egular servicing of heaters in schools</w:t>
      </w:r>
    </w:p>
    <w:p w14:paraId="511FC7B0" w14:textId="06D352C0" w:rsidR="00473245" w:rsidRPr="00691E2A" w:rsidRDefault="00830695" w:rsidP="00AB3F45">
      <w:pPr>
        <w:pStyle w:val="ListParagraph"/>
        <w:numPr>
          <w:ilvl w:val="0"/>
          <w:numId w:val="162"/>
        </w:numPr>
      </w:pPr>
      <w:r w:rsidRPr="007B28CA">
        <w:rPr>
          <w:iCs/>
          <w:lang w:eastAsia="en-AU"/>
        </w:rPr>
        <w:t>Annual V</w:t>
      </w:r>
      <w:r w:rsidR="00264DE9">
        <w:rPr>
          <w:iCs/>
          <w:lang w:eastAsia="en-AU"/>
        </w:rPr>
        <w:t>ictorian Building Authority (</w:t>
      </w:r>
      <w:r w:rsidRPr="007B28CA">
        <w:rPr>
          <w:iCs/>
          <w:lang w:eastAsia="en-AU"/>
        </w:rPr>
        <w:t>VBA</w:t>
      </w:r>
      <w:r w:rsidR="00264DE9">
        <w:rPr>
          <w:iCs/>
          <w:lang w:eastAsia="en-AU"/>
        </w:rPr>
        <w:t xml:space="preserve">) and </w:t>
      </w:r>
      <w:r w:rsidRPr="007B28CA">
        <w:rPr>
          <w:iCs/>
          <w:lang w:eastAsia="en-AU"/>
        </w:rPr>
        <w:t xml:space="preserve">ESV co-branded seminars and webinars on carbon monoxide safety for gasfitters to </w:t>
      </w:r>
      <w:r w:rsidRPr="00512583">
        <w:rPr>
          <w:szCs w:val="17"/>
        </w:rPr>
        <w:t>detect</w:t>
      </w:r>
      <w:r w:rsidRPr="00691453">
        <w:rPr>
          <w:szCs w:val="17"/>
        </w:rPr>
        <w:t xml:space="preserve"> CO spillage</w:t>
      </w:r>
    </w:p>
    <w:p w14:paraId="7C26405D" w14:textId="5CB38581" w:rsidR="000307D1" w:rsidRDefault="009D0C28" w:rsidP="000276F0">
      <w:pPr>
        <w:pStyle w:val="ListParagraph"/>
        <w:numPr>
          <w:ilvl w:val="0"/>
          <w:numId w:val="162"/>
        </w:numPr>
      </w:pPr>
      <w:r w:rsidRPr="000276F0">
        <w:rPr>
          <w:szCs w:val="17"/>
        </w:rPr>
        <w:t xml:space="preserve">Mandatory </w:t>
      </w:r>
      <w:r w:rsidR="007E2F28">
        <w:rPr>
          <w:szCs w:val="17"/>
        </w:rPr>
        <w:t>CO</w:t>
      </w:r>
      <w:r w:rsidRPr="000276F0">
        <w:rPr>
          <w:szCs w:val="17"/>
        </w:rPr>
        <w:t xml:space="preserve"> training for gasfitters (approximately 17,920 gasfitters have completed the VBA training module as of August 2020) as part of their licence/registration renewal</w:t>
      </w:r>
      <w:r w:rsidR="0054536E">
        <w:rPr>
          <w:szCs w:val="17"/>
        </w:rPr>
        <w:t>.</w:t>
      </w:r>
    </w:p>
    <w:p w14:paraId="231941CA" w14:textId="7244CCB1" w:rsidR="00AA7566" w:rsidRPr="00785CA0" w:rsidRDefault="00AA7566" w:rsidP="00691E2A">
      <w:pPr>
        <w:pStyle w:val="Heading4"/>
        <w:numPr>
          <w:ilvl w:val="0"/>
          <w:numId w:val="0"/>
        </w:numPr>
        <w:ind w:left="864" w:hanging="864"/>
      </w:pPr>
      <w:r w:rsidRPr="00B31CA3">
        <w:t xml:space="preserve">Option 1 - </w:t>
      </w:r>
      <w:r w:rsidR="00B54A0B" w:rsidRPr="00152079">
        <w:t>Restrictions on</w:t>
      </w:r>
      <w:r w:rsidRPr="00152079">
        <w:t xml:space="preserve"> future installations</w:t>
      </w:r>
      <w:r w:rsidR="00B54A0B" w:rsidRPr="00152079">
        <w:t xml:space="preserve"> of OFGSHs</w:t>
      </w:r>
    </w:p>
    <w:p w14:paraId="1A8801B4" w14:textId="77777777" w:rsidR="003F39E9" w:rsidRPr="00785CA0" w:rsidRDefault="003F39E9" w:rsidP="000276F0">
      <w:pPr>
        <w:spacing w:before="60" w:after="60"/>
        <w:rPr>
          <w:u w:val="single"/>
        </w:rPr>
      </w:pPr>
      <w:r w:rsidRPr="00785CA0">
        <w:rPr>
          <w:u w:val="single"/>
        </w:rPr>
        <w:t>Description</w:t>
      </w:r>
    </w:p>
    <w:p w14:paraId="6EB61BB2" w14:textId="2D4BC500" w:rsidR="003F39E9" w:rsidRPr="00785CA0" w:rsidRDefault="003F39E9" w:rsidP="003F39E9">
      <w:r w:rsidRPr="00785CA0">
        <w:t xml:space="preserve">No new </w:t>
      </w:r>
      <w:r w:rsidR="000445D5">
        <w:t>or</w:t>
      </w:r>
      <w:r w:rsidRPr="00785CA0">
        <w:t xml:space="preserve"> replacement installations of </w:t>
      </w:r>
      <w:r w:rsidR="000932DA">
        <w:t>OFGSH</w:t>
      </w:r>
      <w:r w:rsidR="008229CA">
        <w:t>s</w:t>
      </w:r>
      <w:r w:rsidRPr="00785CA0">
        <w:t xml:space="preserve"> will be permitted in Victoria under amendments to the Gas Safety (Gas Installation) Regulations. This would include new and like for like replacements. </w:t>
      </w:r>
      <w:r w:rsidR="00676EEF">
        <w:t xml:space="preserve">In this option the </w:t>
      </w:r>
      <w:r w:rsidR="007E2F28">
        <w:t xml:space="preserve">key regulatory amendment involves </w:t>
      </w:r>
      <w:r w:rsidRPr="00785CA0">
        <w:t>insert</w:t>
      </w:r>
      <w:r w:rsidR="007E2F28">
        <w:t>ing</w:t>
      </w:r>
      <w:r w:rsidRPr="00785CA0">
        <w:t xml:space="preserve"> a new regulation (25A) </w:t>
      </w:r>
      <w:r w:rsidR="00E46998">
        <w:t xml:space="preserve">stating </w:t>
      </w:r>
      <w:r w:rsidRPr="00785CA0">
        <w:t xml:space="preserve">that a gasfitter must not </w:t>
      </w:r>
      <w:r w:rsidRPr="000276F0">
        <w:rPr>
          <w:b/>
          <w:bCs/>
        </w:rPr>
        <w:t>install</w:t>
      </w:r>
      <w:r w:rsidRPr="00785CA0">
        <w:t xml:space="preserve"> an </w:t>
      </w:r>
      <w:r w:rsidR="000932DA">
        <w:t xml:space="preserve">OFGSH </w:t>
      </w:r>
      <w:r w:rsidRPr="00785CA0">
        <w:t>in any premises, except if the gasfitter is carrying out a repair or service or if the heater is an exempt fan-</w:t>
      </w:r>
      <w:r w:rsidRPr="00A7337D">
        <w:t>assist</w:t>
      </w:r>
      <w:r w:rsidR="001E6B20" w:rsidRPr="00A7337D">
        <w:t>e</w:t>
      </w:r>
      <w:r w:rsidRPr="00A7337D">
        <w:t>d</w:t>
      </w:r>
      <w:r w:rsidRPr="00785CA0">
        <w:t xml:space="preserve"> </w:t>
      </w:r>
      <w:r w:rsidR="000932DA">
        <w:t xml:space="preserve">OFGSHs </w:t>
      </w:r>
      <w:r w:rsidRPr="00785CA0">
        <w:t xml:space="preserve">with a fail-safe interlock (see </w:t>
      </w:r>
      <w:r w:rsidRPr="00E754EB">
        <w:t xml:space="preserve">draft regulation in full at </w:t>
      </w:r>
      <w:r w:rsidR="007E2F28" w:rsidRPr="00E754EB">
        <w:t xml:space="preserve">Appendix </w:t>
      </w:r>
      <w:r w:rsidR="00691E2A" w:rsidRPr="00E754EB">
        <w:t>D</w:t>
      </w:r>
      <w:r w:rsidRPr="00E754EB">
        <w:t>).</w:t>
      </w:r>
      <w:r w:rsidR="009C7482" w:rsidRPr="00E754EB">
        <w:t xml:space="preserve"> The exemption recognises that</w:t>
      </w:r>
      <w:r w:rsidR="008D48D2" w:rsidRPr="00E754EB">
        <w:t xml:space="preserve"> fan-assisted OFGSHs with a fail-safe interlock are safe because </w:t>
      </w:r>
      <w:r w:rsidR="00A55A4D" w:rsidRPr="00A7337D">
        <w:t xml:space="preserve">these heaters would shut down if CO was spilled. </w:t>
      </w:r>
      <w:r w:rsidR="000932DA" w:rsidRPr="00E754EB">
        <w:t xml:space="preserve">OFGSHs </w:t>
      </w:r>
      <w:r w:rsidRPr="00E754EB">
        <w:t xml:space="preserve">already installed would not be affected by </w:t>
      </w:r>
      <w:r w:rsidR="00BC7170" w:rsidRPr="00E754EB">
        <w:t>this option</w:t>
      </w:r>
      <w:r w:rsidR="009231D0">
        <w:t>.</w:t>
      </w:r>
    </w:p>
    <w:p w14:paraId="5B517C8A" w14:textId="43AAB7AA" w:rsidR="003F39E9" w:rsidRPr="00785CA0" w:rsidRDefault="003F39E9" w:rsidP="003F39E9">
      <w:r w:rsidRPr="00785CA0">
        <w:t xml:space="preserve">The </w:t>
      </w:r>
      <w:r w:rsidR="00B54A0B" w:rsidRPr="00785CA0">
        <w:rPr>
          <w:i/>
          <w:iCs/>
        </w:rPr>
        <w:t>Gas Safety Act 1997</w:t>
      </w:r>
      <w:r w:rsidR="00B54A0B" w:rsidRPr="00785CA0">
        <w:t xml:space="preserve"> (</w:t>
      </w:r>
      <w:r w:rsidR="00930706">
        <w:t xml:space="preserve">the </w:t>
      </w:r>
      <w:r w:rsidRPr="00785CA0">
        <w:t>GS Act</w:t>
      </w:r>
      <w:r w:rsidR="00B54A0B" w:rsidRPr="00785CA0">
        <w:t>)</w:t>
      </w:r>
      <w:r w:rsidRPr="00785CA0">
        <w:t xml:space="preserve"> provides the relevant Minister (Minister for Energy, Environment and Climate Change) </w:t>
      </w:r>
      <w:r w:rsidR="0096009E">
        <w:t xml:space="preserve">with </w:t>
      </w:r>
      <w:r w:rsidRPr="00785CA0">
        <w:t xml:space="preserve">powers to recommend regulations to </w:t>
      </w:r>
      <w:r w:rsidR="00DA0733">
        <w:t>restrict</w:t>
      </w:r>
      <w:r w:rsidR="00DA0733" w:rsidRPr="00785CA0">
        <w:t xml:space="preserve"> </w:t>
      </w:r>
      <w:r w:rsidRPr="00785CA0">
        <w:t xml:space="preserve">the installation of </w:t>
      </w:r>
      <w:r w:rsidR="000932DA">
        <w:t>OFGSHs.</w:t>
      </w:r>
      <w:r w:rsidRPr="00785CA0">
        <w:t xml:space="preserve"> The GS Act also provides ESV with powers to declare the non-acceptance of </w:t>
      </w:r>
      <w:r w:rsidR="000932DA">
        <w:t xml:space="preserve">OFGSHs </w:t>
      </w:r>
      <w:r w:rsidRPr="00785CA0">
        <w:t xml:space="preserve">(which means these appliances could not be certified for use in Victoria and therefore it would be an offence to </w:t>
      </w:r>
      <w:r w:rsidRPr="000276F0">
        <w:rPr>
          <w:b/>
          <w:bCs/>
        </w:rPr>
        <w:t>sell, supply or install</w:t>
      </w:r>
      <w:r w:rsidRPr="00785CA0">
        <w:t xml:space="preserve"> them), and to prohibit the </w:t>
      </w:r>
      <w:r w:rsidRPr="000276F0">
        <w:rPr>
          <w:b/>
          <w:bCs/>
        </w:rPr>
        <w:t>sale and supply</w:t>
      </w:r>
      <w:r w:rsidRPr="00785CA0">
        <w:t xml:space="preserve"> of </w:t>
      </w:r>
      <w:r w:rsidR="000932DA">
        <w:t>OFGSHs.</w:t>
      </w:r>
      <w:r w:rsidRPr="00785CA0">
        <w:t xml:space="preserve"> </w:t>
      </w:r>
    </w:p>
    <w:p w14:paraId="6023A428" w14:textId="77777777" w:rsidR="003F39E9" w:rsidRPr="00785CA0" w:rsidRDefault="003F39E9" w:rsidP="003F39E9">
      <w:r w:rsidRPr="00785CA0">
        <w:lastRenderedPageBreak/>
        <w:t xml:space="preserve">ESV’s powers and the Minister’s powers complement each other but are distinct decisions by different persons. </w:t>
      </w:r>
    </w:p>
    <w:p w14:paraId="525D6D32" w14:textId="77777777" w:rsidR="003F39E9" w:rsidRPr="00785CA0" w:rsidRDefault="003F39E9" w:rsidP="003F39E9">
      <w:r w:rsidRPr="00785CA0">
        <w:t xml:space="preserve">It is possible that ESV may consider exercising its own powers separately to the Minister and declare non-acceptance and/or prohibit sale and supply of OFGSHs. As such, the assessment of Option 1 takes into account the range of scenarios under which regulations could be made, including: </w:t>
      </w:r>
    </w:p>
    <w:p w14:paraId="6532E8C2" w14:textId="718492D1" w:rsidR="003F39E9" w:rsidRPr="00785CA0" w:rsidRDefault="003F39E9" w:rsidP="003F39E9">
      <w:pPr>
        <w:pStyle w:val="ListParagraph"/>
        <w:numPr>
          <w:ilvl w:val="0"/>
          <w:numId w:val="120"/>
        </w:numPr>
        <w:spacing w:after="160" w:line="259" w:lineRule="auto"/>
      </w:pPr>
      <w:r w:rsidRPr="00785CA0">
        <w:rPr>
          <w:b/>
          <w:bCs/>
        </w:rPr>
        <w:t>Scenario 1</w:t>
      </w:r>
      <w:r w:rsidRPr="00785CA0">
        <w:t xml:space="preserve"> - standalone Regulations implementing a restriction on future </w:t>
      </w:r>
      <w:r w:rsidR="009811ED">
        <w:t xml:space="preserve">new or replacement </w:t>
      </w:r>
      <w:r w:rsidRPr="00785CA0">
        <w:t>installations of OFGSHs</w:t>
      </w:r>
    </w:p>
    <w:p w14:paraId="6D185342" w14:textId="52E58CD0" w:rsidR="003F39E9" w:rsidRPr="00785CA0" w:rsidRDefault="003F39E9" w:rsidP="003F39E9">
      <w:pPr>
        <w:pStyle w:val="ListParagraph"/>
        <w:numPr>
          <w:ilvl w:val="0"/>
          <w:numId w:val="120"/>
        </w:numPr>
        <w:spacing w:after="160" w:line="259" w:lineRule="auto"/>
      </w:pPr>
      <w:r w:rsidRPr="00785CA0">
        <w:rPr>
          <w:b/>
          <w:bCs/>
        </w:rPr>
        <w:t>Scenario 2</w:t>
      </w:r>
      <w:r w:rsidRPr="00785CA0">
        <w:t xml:space="preserve"> - Regulations </w:t>
      </w:r>
      <w:r w:rsidRPr="00785CA0">
        <w:rPr>
          <w:b/>
          <w:bCs/>
        </w:rPr>
        <w:t>(</w:t>
      </w:r>
      <w:r w:rsidR="009811ED">
        <w:rPr>
          <w:b/>
          <w:bCs/>
        </w:rPr>
        <w:t>S</w:t>
      </w:r>
      <w:r w:rsidRPr="00785CA0">
        <w:rPr>
          <w:b/>
          <w:bCs/>
        </w:rPr>
        <w:t xml:space="preserve">cenario 1) </w:t>
      </w:r>
      <w:r w:rsidRPr="00785CA0">
        <w:t xml:space="preserve">together with a separate decision by ESV to </w:t>
      </w:r>
      <w:r w:rsidR="00DA0733">
        <w:t>restrict</w:t>
      </w:r>
      <w:r w:rsidR="00DA0733" w:rsidRPr="00785CA0">
        <w:t xml:space="preserve"> </w:t>
      </w:r>
      <w:r w:rsidRPr="00785CA0">
        <w:t xml:space="preserve">certification and/or sale and supply. Within </w:t>
      </w:r>
      <w:r w:rsidR="009811ED">
        <w:t>S</w:t>
      </w:r>
      <w:r w:rsidRPr="00785CA0">
        <w:t xml:space="preserve">cenario 2 there are two possibilities: </w:t>
      </w:r>
    </w:p>
    <w:p w14:paraId="593F03AF" w14:textId="77777777" w:rsidR="003F39E9" w:rsidRPr="00785CA0" w:rsidRDefault="003F39E9" w:rsidP="003F39E9">
      <w:pPr>
        <w:pStyle w:val="ListParagraph"/>
        <w:numPr>
          <w:ilvl w:val="1"/>
          <w:numId w:val="120"/>
        </w:numPr>
        <w:spacing w:after="160" w:line="259" w:lineRule="auto"/>
      </w:pPr>
      <w:r w:rsidRPr="00785CA0">
        <w:t xml:space="preserve">Regulations are made before any ESV decision </w:t>
      </w:r>
      <w:r w:rsidRPr="000276F0">
        <w:rPr>
          <w:b/>
          <w:bCs/>
        </w:rPr>
        <w:t>(Scenario 2a)</w:t>
      </w:r>
      <w:r w:rsidRPr="00785CA0">
        <w:t>;</w:t>
      </w:r>
    </w:p>
    <w:p w14:paraId="617D4263" w14:textId="06014F18" w:rsidR="003F39E9" w:rsidRPr="00785CA0" w:rsidRDefault="003F39E9" w:rsidP="003F39E9">
      <w:pPr>
        <w:pStyle w:val="ListParagraph"/>
        <w:numPr>
          <w:ilvl w:val="1"/>
          <w:numId w:val="120"/>
        </w:numPr>
        <w:spacing w:after="160" w:line="259" w:lineRule="auto"/>
      </w:pPr>
      <w:r w:rsidRPr="00785CA0">
        <w:t xml:space="preserve">Any ESV decision/s is made before the Regulations </w:t>
      </w:r>
      <w:r w:rsidRPr="000276F0">
        <w:rPr>
          <w:b/>
          <w:bCs/>
        </w:rPr>
        <w:t>(Scenario 2b)</w:t>
      </w:r>
      <w:r w:rsidRPr="00785CA0">
        <w:t>.</w:t>
      </w:r>
    </w:p>
    <w:p w14:paraId="627A3B11" w14:textId="24243654" w:rsidR="00A9203D" w:rsidRPr="000276F0" w:rsidRDefault="00A9203D" w:rsidP="003F39E9">
      <w:pPr>
        <w:spacing w:after="120"/>
      </w:pPr>
      <w:r w:rsidRPr="000276F0">
        <w:t xml:space="preserve">All </w:t>
      </w:r>
      <w:r w:rsidR="00EB667E">
        <w:t xml:space="preserve">of </w:t>
      </w:r>
      <w:r w:rsidRPr="000276F0">
        <w:t xml:space="preserve">Option 1’s scenarios are assumed to have very similar costs and benefits hence the modelling undertaken for Option 1 is applicable to all scenarios. It is worth noting that Scenario 2a and 2b would provide a more comprehensive and consistent regulatory regime, covering acceptance, sale and supply directly in addition to the Regulations covering installation. </w:t>
      </w:r>
    </w:p>
    <w:p w14:paraId="5885791D" w14:textId="77777777" w:rsidR="003F39E9" w:rsidRPr="00E754EB" w:rsidRDefault="003F39E9" w:rsidP="003F39E9">
      <w:pPr>
        <w:spacing w:after="60"/>
      </w:pPr>
      <w:r w:rsidRPr="00E754EB">
        <w:rPr>
          <w:u w:val="single"/>
        </w:rPr>
        <w:t>Timing</w:t>
      </w:r>
    </w:p>
    <w:p w14:paraId="1384208F" w14:textId="3590FF74" w:rsidR="003F39E9" w:rsidRPr="00785CA0" w:rsidRDefault="00F70D5A" w:rsidP="000276F0">
      <w:pPr>
        <w:spacing w:after="120"/>
      </w:pPr>
      <w:r w:rsidRPr="00E754EB">
        <w:t xml:space="preserve">Option 1’s proposed regulatory amendments </w:t>
      </w:r>
      <w:r w:rsidR="00E754EB" w:rsidRPr="00E754EB">
        <w:t>would</w:t>
      </w:r>
      <w:r w:rsidRPr="00E754EB">
        <w:t xml:space="preserve"> </w:t>
      </w:r>
      <w:r w:rsidR="003F39E9" w:rsidRPr="00E754EB">
        <w:t>commence</w:t>
      </w:r>
      <w:r w:rsidR="003F39E9" w:rsidRPr="00785CA0">
        <w:t xml:space="preserve"> </w:t>
      </w:r>
      <w:r w:rsidR="00EF66FF">
        <w:t>on</w:t>
      </w:r>
      <w:r w:rsidR="00EF66FF" w:rsidRPr="00785CA0">
        <w:t xml:space="preserve"> </w:t>
      </w:r>
      <w:r w:rsidR="003F39E9" w:rsidRPr="00785CA0">
        <w:t xml:space="preserve">1 June </w:t>
      </w:r>
      <w:r w:rsidR="003F39E9" w:rsidRPr="00691E2A">
        <w:t>2021</w:t>
      </w:r>
      <w:r w:rsidR="007E2F28">
        <w:rPr>
          <w:rStyle w:val="CommentReference"/>
        </w:rPr>
        <w:t>.</w:t>
      </w:r>
      <w:r w:rsidR="003F39E9" w:rsidRPr="00785CA0">
        <w:t xml:space="preserve"> </w:t>
      </w:r>
      <w:r w:rsidR="00EF66FF">
        <w:t>From this date,</w:t>
      </w:r>
      <w:r w:rsidR="00DE59BF">
        <w:t xml:space="preserve"> </w:t>
      </w:r>
      <w:r w:rsidR="000932DA">
        <w:t>OFGSHs</w:t>
      </w:r>
      <w:r w:rsidR="00DE59BF">
        <w:t xml:space="preserve"> would no longer </w:t>
      </w:r>
      <w:r w:rsidR="004F63F9">
        <w:t>be allowed to be installed in Victoria</w:t>
      </w:r>
      <w:r w:rsidR="003F39E9" w:rsidRPr="00785CA0">
        <w:t>.</w:t>
      </w:r>
    </w:p>
    <w:p w14:paraId="4EE1CB51" w14:textId="01AF4AEC" w:rsidR="003F39E9" w:rsidRPr="00785CA0" w:rsidRDefault="003F39E9" w:rsidP="000276F0">
      <w:pPr>
        <w:spacing w:before="60" w:after="60"/>
        <w:rPr>
          <w:u w:val="single"/>
        </w:rPr>
      </w:pPr>
      <w:r w:rsidRPr="00785CA0">
        <w:rPr>
          <w:u w:val="single"/>
        </w:rPr>
        <w:t>Compliance</w:t>
      </w:r>
    </w:p>
    <w:p w14:paraId="4741B333" w14:textId="4621E8D3" w:rsidR="003F39E9" w:rsidRPr="00785CA0" w:rsidRDefault="00FD203E" w:rsidP="003F39E9">
      <w:pPr>
        <w:spacing w:after="60"/>
      </w:pPr>
      <w:r>
        <w:t>In Option 1 g</w:t>
      </w:r>
      <w:r w:rsidR="003F39E9" w:rsidRPr="00785CA0">
        <w:t xml:space="preserve">asfitters would be required to comply with proposed </w:t>
      </w:r>
      <w:r w:rsidR="007C4412" w:rsidRPr="00785CA0">
        <w:t>regulations and</w:t>
      </w:r>
      <w:r w:rsidR="003F39E9" w:rsidRPr="00785CA0">
        <w:t xml:space="preserve"> would not be allowed to install OFGSHs. Penalties for non-compliance would apply under the GS Act (40 penalty units in the case of a natural person and 200 penalty units in the case of a body corporate). ESV would also ensure retailers are aware of regulations and point of sale would be monitored to </w:t>
      </w:r>
      <w:r w:rsidR="003F39E9" w:rsidRPr="00691E2A">
        <w:t>ensure retailers are aware certain heaters cannot be installed in Victoria.</w:t>
      </w:r>
    </w:p>
    <w:p w14:paraId="3E847E06" w14:textId="6CB39354" w:rsidR="003F39E9" w:rsidRDefault="003F39E9" w:rsidP="003F39E9">
      <w:r w:rsidRPr="00785CA0">
        <w:t xml:space="preserve">If regulations are made under a scenario where ESV has also made a decision to declare non-acceptance of </w:t>
      </w:r>
      <w:r w:rsidR="000932DA">
        <w:t xml:space="preserve">OFGSHs </w:t>
      </w:r>
      <w:r w:rsidRPr="00785CA0">
        <w:t xml:space="preserve">or prohibit their sale and supply, then </w:t>
      </w:r>
      <w:r w:rsidRPr="00691E2A">
        <w:t>ESV would ensure that manufacturers, retailers and suppliers are aware of the point of sale legislation.</w:t>
      </w:r>
      <w:r w:rsidRPr="00785CA0">
        <w:t xml:space="preserve"> In addition, manufacturers, retailers, suppliers would not be permitted to sell or supply OFGSHs for use in Victoria, and penalties for non</w:t>
      </w:r>
      <w:r w:rsidR="00C02CEE">
        <w:t>-</w:t>
      </w:r>
      <w:r w:rsidRPr="00785CA0">
        <w:t>compliance would apply under the GS Act</w:t>
      </w:r>
      <w:r w:rsidRPr="00785CA0">
        <w:rPr>
          <w:i/>
          <w:iCs/>
        </w:rPr>
        <w:t xml:space="preserve"> </w:t>
      </w:r>
      <w:r w:rsidRPr="00785CA0">
        <w:t>(40 penalty units apply in the case of a natural person and 200 penalty units apply in the case of a body corporate).</w:t>
      </w:r>
      <w:r w:rsidR="0089792D" w:rsidDel="0089792D">
        <w:rPr>
          <w:rStyle w:val="FootnoteReference"/>
        </w:rPr>
        <w:t xml:space="preserve"> </w:t>
      </w:r>
    </w:p>
    <w:p w14:paraId="2EE4C456" w14:textId="2E55449D" w:rsidR="003728F5" w:rsidRDefault="00872BDA" w:rsidP="003F39E9">
      <w:r>
        <w:t>Option 1</w:t>
      </w:r>
      <w:r w:rsidR="0094120A">
        <w:t xml:space="preserve"> </w:t>
      </w:r>
      <w:r w:rsidR="007E2F28">
        <w:t xml:space="preserve">is a Victorian-only solution. In other States and Territories </w:t>
      </w:r>
      <w:r w:rsidRPr="00872BDA">
        <w:t>OFGSHs could still display a certification label or badge for sale or supply</w:t>
      </w:r>
      <w:r w:rsidR="00854B38">
        <w:t xml:space="preserve">, </w:t>
      </w:r>
      <w:r w:rsidR="007E2F28">
        <w:t xml:space="preserve">and </w:t>
      </w:r>
      <w:r w:rsidR="00854B38">
        <w:t xml:space="preserve">as such </w:t>
      </w:r>
      <w:r w:rsidR="003728F5">
        <w:t xml:space="preserve">the following measures </w:t>
      </w:r>
      <w:r w:rsidR="00854B38">
        <w:t>would</w:t>
      </w:r>
      <w:r w:rsidR="003728F5">
        <w:t xml:space="preserve"> likely be required:</w:t>
      </w:r>
    </w:p>
    <w:p w14:paraId="73F87546" w14:textId="6E867EA3" w:rsidR="00947BB1" w:rsidRDefault="007E2F28" w:rsidP="00DD6F04">
      <w:pPr>
        <w:pStyle w:val="ListParagraph"/>
        <w:numPr>
          <w:ilvl w:val="0"/>
          <w:numId w:val="257"/>
        </w:numPr>
      </w:pPr>
      <w:r>
        <w:t>A</w:t>
      </w:r>
      <w:r w:rsidR="003728F5" w:rsidRPr="00947BB1">
        <w:t>dditional markings displayed on the appliance and/or additional instructions to indicate that an OFGSH is not acceptable for installation in Victoria</w:t>
      </w:r>
    </w:p>
    <w:p w14:paraId="639933D3" w14:textId="1A8B014F" w:rsidR="00042B16" w:rsidRDefault="007E2F28" w:rsidP="000276F0">
      <w:pPr>
        <w:pStyle w:val="ListParagraph"/>
        <w:numPr>
          <w:ilvl w:val="0"/>
          <w:numId w:val="257"/>
        </w:numPr>
      </w:pPr>
      <w:r>
        <w:t>C</w:t>
      </w:r>
      <w:r w:rsidR="00BC02D4" w:rsidRPr="00947BB1">
        <w:t>ommunication</w:t>
      </w:r>
      <w:r>
        <w:t>s</w:t>
      </w:r>
      <w:r w:rsidR="00BC02D4">
        <w:t xml:space="preserve"> material (either on a </w:t>
      </w:r>
      <w:r w:rsidR="00BC02D4" w:rsidRPr="00947BB1">
        <w:t xml:space="preserve">website </w:t>
      </w:r>
      <w:r w:rsidR="00BC02D4">
        <w:t>or through</w:t>
      </w:r>
      <w:r w:rsidR="00BC02D4" w:rsidRPr="00947BB1">
        <w:t xml:space="preserve"> email alerts</w:t>
      </w:r>
      <w:r w:rsidR="00BC02D4">
        <w:t>)</w:t>
      </w:r>
      <w:r w:rsidR="00BC02D4" w:rsidRPr="00947BB1">
        <w:t xml:space="preserve"> </w:t>
      </w:r>
      <w:r w:rsidR="00BC02D4">
        <w:t xml:space="preserve">notifying </w:t>
      </w:r>
      <w:r w:rsidR="00BC02D4" w:rsidRPr="00947BB1">
        <w:t xml:space="preserve">gasfitters </w:t>
      </w:r>
      <w:r w:rsidR="002C46E5">
        <w:t xml:space="preserve">of the </w:t>
      </w:r>
      <w:r w:rsidR="00BC02D4" w:rsidRPr="00947BB1">
        <w:t>list of models that are not acceptable for sale or installation in Victoria.</w:t>
      </w:r>
    </w:p>
    <w:p w14:paraId="70DF1194" w14:textId="1C45037E" w:rsidR="00AA7566" w:rsidRPr="00785CA0" w:rsidRDefault="00AA7566" w:rsidP="00691E2A">
      <w:pPr>
        <w:pStyle w:val="Heading4"/>
        <w:numPr>
          <w:ilvl w:val="0"/>
          <w:numId w:val="0"/>
        </w:numPr>
        <w:ind w:left="864" w:hanging="864"/>
        <w:rPr>
          <w:b w:val="0"/>
        </w:rPr>
      </w:pPr>
      <w:r w:rsidRPr="00B04C32">
        <w:t>Option 2</w:t>
      </w:r>
      <w:r w:rsidRPr="00B31CA3">
        <w:t xml:space="preserve"> </w:t>
      </w:r>
      <w:r w:rsidR="009979E1">
        <w:t>–</w:t>
      </w:r>
      <w:r w:rsidRPr="00B31CA3">
        <w:t xml:space="preserve"> </w:t>
      </w:r>
      <w:r w:rsidR="009979E1">
        <w:t>Fast-tracked</w:t>
      </w:r>
      <w:r w:rsidRPr="00B31CA3">
        <w:t xml:space="preserve"> </w:t>
      </w:r>
      <w:r w:rsidR="00DC78E5">
        <w:t>s</w:t>
      </w:r>
      <w:r w:rsidRPr="00152079">
        <w:t>tandards</w:t>
      </w:r>
      <w:r w:rsidR="0083269F">
        <w:t>-</w:t>
      </w:r>
      <w:r w:rsidRPr="00152079">
        <w:t>based approach</w:t>
      </w:r>
    </w:p>
    <w:p w14:paraId="0FE2DF8E" w14:textId="3CD9E32D" w:rsidR="00785CA0" w:rsidRPr="00785CA0" w:rsidRDefault="00785CA0">
      <w:pPr>
        <w:spacing w:after="60"/>
        <w:rPr>
          <w:u w:val="single"/>
        </w:rPr>
      </w:pPr>
      <w:r w:rsidRPr="00785CA0">
        <w:rPr>
          <w:u w:val="single"/>
        </w:rPr>
        <w:t xml:space="preserve">Description </w:t>
      </w:r>
    </w:p>
    <w:p w14:paraId="0DA70E06" w14:textId="5BE0DE9F" w:rsidR="00785CA0" w:rsidRPr="00785CA0" w:rsidRDefault="00F13974" w:rsidP="00D31FF3">
      <w:pPr>
        <w:spacing w:line="252" w:lineRule="auto"/>
      </w:pPr>
      <w:r>
        <w:t>In Option 2</w:t>
      </w:r>
      <w:r w:rsidR="002113B7">
        <w:t>,</w:t>
      </w:r>
      <w:r w:rsidR="00785CA0" w:rsidRPr="00785CA0">
        <w:t xml:space="preserve"> amendments </w:t>
      </w:r>
      <w:r>
        <w:t xml:space="preserve">would be introduced </w:t>
      </w:r>
      <w:r w:rsidR="004562A9">
        <w:t xml:space="preserve">by </w:t>
      </w:r>
      <w:r w:rsidR="00785CA0" w:rsidRPr="00785CA0">
        <w:t xml:space="preserve">the relevant Australian Standards (AS/NZS5263.1.3 </w:t>
      </w:r>
      <w:r w:rsidR="001B03F9">
        <w:t>and AS/NZS5263.1.8)</w:t>
      </w:r>
      <w:r w:rsidR="004562A9">
        <w:t xml:space="preserve"> by the relevant </w:t>
      </w:r>
      <w:r w:rsidR="00E37AAE">
        <w:t>Standards Australia working group,</w:t>
      </w:r>
      <w:r w:rsidR="001B03F9">
        <w:t xml:space="preserve"> </w:t>
      </w:r>
      <w:r w:rsidR="00785CA0" w:rsidRPr="00785CA0">
        <w:t xml:space="preserve">to require </w:t>
      </w:r>
      <w:r w:rsidR="002113B7">
        <w:t xml:space="preserve">that </w:t>
      </w:r>
      <w:r w:rsidR="00785CA0" w:rsidRPr="00785CA0">
        <w:t xml:space="preserve">OFGSHs </w:t>
      </w:r>
      <w:r w:rsidR="001B03F9">
        <w:t>and Type 2 decorative effect appliances</w:t>
      </w:r>
      <w:r w:rsidR="002113B7">
        <w:t xml:space="preserve"> (</w:t>
      </w:r>
      <w:r w:rsidR="001B03F9">
        <w:t>that meet thermal efficiency requirements respectively</w:t>
      </w:r>
      <w:r w:rsidR="002113B7">
        <w:t>)</w:t>
      </w:r>
      <w:r w:rsidR="00785CA0" w:rsidRPr="00785CA0">
        <w:t xml:space="preserve"> shut down safely in a negative pressure environment. </w:t>
      </w:r>
      <w:r w:rsidR="00DB5FF7">
        <w:t>The a</w:t>
      </w:r>
      <w:r w:rsidR="00785CA0" w:rsidRPr="00785CA0">
        <w:t xml:space="preserve">mended standards would apply to all Australian jurisdictions </w:t>
      </w:r>
      <w:r w:rsidR="00DB5FF7">
        <w:t>that</w:t>
      </w:r>
      <w:r w:rsidR="00DB5FF7" w:rsidRPr="00785CA0">
        <w:t xml:space="preserve"> </w:t>
      </w:r>
      <w:r w:rsidR="00785CA0" w:rsidRPr="00785CA0">
        <w:t xml:space="preserve">recognise those standards, not just Victoria. </w:t>
      </w:r>
      <w:r w:rsidR="00DB5FF7">
        <w:t>Any a</w:t>
      </w:r>
      <w:r w:rsidR="00D31FF3" w:rsidRPr="00066864">
        <w:t>mendments to the Australian Standard would only apply to newly manufactured appliances</w:t>
      </w:r>
      <w:r w:rsidR="00D31FF3">
        <w:t xml:space="preserve"> and</w:t>
      </w:r>
      <w:r w:rsidR="00D31FF3" w:rsidRPr="00066864">
        <w:t xml:space="preserve"> would not apply to appliances already installed. Retrofitting installed appliances is out of </w:t>
      </w:r>
      <w:r w:rsidR="007B4389">
        <w:t xml:space="preserve">the </w:t>
      </w:r>
      <w:r w:rsidR="00D31FF3" w:rsidRPr="00066864">
        <w:t xml:space="preserve">scope of the </w:t>
      </w:r>
      <w:r w:rsidR="003B6822">
        <w:t>s</w:t>
      </w:r>
      <w:r w:rsidR="00D31FF3" w:rsidRPr="00066864">
        <w:t>tandards process.</w:t>
      </w:r>
      <w:r w:rsidR="00D31FF3">
        <w:t xml:space="preserve"> </w:t>
      </w:r>
      <w:r w:rsidR="0079184E">
        <w:t xml:space="preserve">Any </w:t>
      </w:r>
      <w:r w:rsidR="00785CA0" w:rsidRPr="00785CA0">
        <w:t>OFGSH that meet</w:t>
      </w:r>
      <w:r w:rsidR="0079184E">
        <w:t>s</w:t>
      </w:r>
      <w:r w:rsidR="00785CA0" w:rsidRPr="00785CA0">
        <w:t xml:space="preserve"> the requirements could be sold, supplied, and installed.</w:t>
      </w:r>
      <w:r w:rsidR="00785CA0" w:rsidRPr="00785CA0">
        <w:rPr>
          <w:rStyle w:val="FootnoteReference"/>
        </w:rPr>
        <w:footnoteReference w:id="9"/>
      </w:r>
    </w:p>
    <w:p w14:paraId="3487720C" w14:textId="1FA1DFBA" w:rsidR="003A16C4" w:rsidRDefault="00630738" w:rsidP="00785CA0">
      <w:pPr>
        <w:rPr>
          <w:highlight w:val="yellow"/>
        </w:rPr>
      </w:pPr>
      <w:r w:rsidRPr="000276F0">
        <w:lastRenderedPageBreak/>
        <w:t xml:space="preserve">The </w:t>
      </w:r>
      <w:r w:rsidR="00856EAE" w:rsidRPr="000276F0">
        <w:t>amendment to the</w:t>
      </w:r>
      <w:r w:rsidR="007E2F28">
        <w:t xml:space="preserve"> Australian</w:t>
      </w:r>
      <w:r w:rsidR="00856EAE" w:rsidRPr="000276F0">
        <w:t xml:space="preserve"> </w:t>
      </w:r>
      <w:r w:rsidR="007E2F28">
        <w:t>S</w:t>
      </w:r>
      <w:r w:rsidRPr="000276F0">
        <w:t xml:space="preserve">tandard would </w:t>
      </w:r>
      <w:r w:rsidR="00853CE1" w:rsidRPr="00543DB5">
        <w:t>require</w:t>
      </w:r>
      <w:r w:rsidR="00853CE1" w:rsidRPr="00853CE1">
        <w:t xml:space="preserve"> OFGSHs to shut down within 15 minutes in a negative pressure environment</w:t>
      </w:r>
      <w:r w:rsidR="00142AC7">
        <w:t xml:space="preserve">, thereby preventing </w:t>
      </w:r>
      <w:r w:rsidR="002D5D90">
        <w:t>long term</w:t>
      </w:r>
      <w:r w:rsidR="00142AC7">
        <w:t xml:space="preserve"> CO s</w:t>
      </w:r>
      <w:r w:rsidR="00DC4B2A">
        <w:t>pillage</w:t>
      </w:r>
      <w:r w:rsidR="00C3745C">
        <w:t xml:space="preserve"> that can be detrimental to health</w:t>
      </w:r>
      <w:r w:rsidR="00853CE1" w:rsidRPr="00853CE1">
        <w:t xml:space="preserve">. The shut-down condition </w:t>
      </w:r>
      <w:r w:rsidR="00561156">
        <w:t>would be</w:t>
      </w:r>
      <w:r w:rsidR="00853CE1" w:rsidRPr="00853CE1">
        <w:t xml:space="preserve"> a non-volatile lockout</w:t>
      </w:r>
      <w:r w:rsidR="001944A4">
        <w:t xml:space="preserve"> (</w:t>
      </w:r>
      <w:r w:rsidR="00853CE1" w:rsidRPr="00853CE1">
        <w:t xml:space="preserve">i.e. the appliance </w:t>
      </w:r>
      <w:r w:rsidR="00561156">
        <w:t>would not</w:t>
      </w:r>
      <w:r w:rsidR="00853CE1" w:rsidRPr="00853CE1">
        <w:t xml:space="preserve"> automatically restart but would</w:t>
      </w:r>
      <w:r w:rsidR="00C551B9">
        <w:t xml:space="preserve"> instead</w:t>
      </w:r>
      <w:r w:rsidR="00853CE1" w:rsidRPr="00853CE1">
        <w:t xml:space="preserve"> require manual intervention by a qualified practitioner</w:t>
      </w:r>
      <w:r w:rsidR="00441F5A">
        <w:t>,</w:t>
      </w:r>
      <w:r w:rsidR="00441F5A" w:rsidRPr="00853CE1">
        <w:t xml:space="preserve"> us</w:t>
      </w:r>
      <w:r w:rsidR="00441F5A">
        <w:t>ing</w:t>
      </w:r>
      <w:r w:rsidR="00441F5A" w:rsidRPr="00853CE1">
        <w:t xml:space="preserve"> a tool</w:t>
      </w:r>
      <w:r w:rsidR="00441F5A">
        <w:t>,</w:t>
      </w:r>
      <w:r w:rsidR="00853CE1" w:rsidRPr="00853CE1">
        <w:t xml:space="preserve"> </w:t>
      </w:r>
      <w:r w:rsidR="00561156">
        <w:t xml:space="preserve">in order </w:t>
      </w:r>
      <w:r w:rsidR="00853CE1" w:rsidRPr="00853CE1">
        <w:t>to reset</w:t>
      </w:r>
      <w:r w:rsidR="00C551B9">
        <w:t>)</w:t>
      </w:r>
      <w:r w:rsidR="00853CE1" w:rsidRPr="00853CE1">
        <w:t>.</w:t>
      </w:r>
    </w:p>
    <w:p w14:paraId="02F56F79" w14:textId="286CD62B" w:rsidR="00DE2E5E" w:rsidRDefault="007B16E4" w:rsidP="00785CA0">
      <w:r>
        <w:t>Option 2</w:t>
      </w:r>
      <w:r w:rsidR="007E2F28">
        <w:t xml:space="preserve"> </w:t>
      </w:r>
      <w:r>
        <w:t>would</w:t>
      </w:r>
      <w:r w:rsidR="00860AC1">
        <w:t xml:space="preserve"> require</w:t>
      </w:r>
      <w:r w:rsidR="00785CA0" w:rsidRPr="00785CA0">
        <w:t xml:space="preserve"> all </w:t>
      </w:r>
      <w:r w:rsidR="006132CB">
        <w:t>OFGSHs</w:t>
      </w:r>
      <w:r w:rsidR="00785CA0" w:rsidRPr="00785CA0">
        <w:t xml:space="preserve"> meet </w:t>
      </w:r>
      <w:r w:rsidR="003C1020">
        <w:t xml:space="preserve">the </w:t>
      </w:r>
      <w:r w:rsidR="00785CA0" w:rsidRPr="00785CA0">
        <w:t xml:space="preserve">amended certification testing standards and </w:t>
      </w:r>
      <w:r w:rsidR="000D4F9B">
        <w:t>non-compliant stock would not be able to be certified</w:t>
      </w:r>
      <w:r w:rsidR="00785CA0" w:rsidRPr="00785CA0">
        <w:t xml:space="preserve">. </w:t>
      </w:r>
      <w:r w:rsidR="003C1020">
        <w:t xml:space="preserve">Under this option </w:t>
      </w:r>
      <w:r w:rsidR="005B3D23">
        <w:t>i</w:t>
      </w:r>
      <w:r w:rsidR="00785CA0" w:rsidRPr="00785CA0">
        <w:t xml:space="preserve">ndustry could sell existing </w:t>
      </w:r>
      <w:r w:rsidR="000932DA">
        <w:t xml:space="preserve">OFGSH </w:t>
      </w:r>
      <w:r w:rsidR="00785CA0" w:rsidRPr="00785CA0">
        <w:t xml:space="preserve">stock, however it is </w:t>
      </w:r>
      <w:r w:rsidR="005B3D23">
        <w:t>likely</w:t>
      </w:r>
      <w:r w:rsidR="005B3D23" w:rsidRPr="00785CA0">
        <w:t xml:space="preserve"> </w:t>
      </w:r>
      <w:r w:rsidR="00785CA0" w:rsidRPr="00785CA0">
        <w:t xml:space="preserve">that such sales </w:t>
      </w:r>
      <w:r w:rsidR="005B3D23">
        <w:t>would</w:t>
      </w:r>
      <w:r w:rsidR="005B3D23" w:rsidRPr="00785CA0">
        <w:t xml:space="preserve"> </w:t>
      </w:r>
      <w:r w:rsidR="00785CA0" w:rsidRPr="00785CA0">
        <w:t xml:space="preserve">be low because manufacturers are expected to sell down existing </w:t>
      </w:r>
      <w:r w:rsidR="000932DA">
        <w:t xml:space="preserve">OFGSH </w:t>
      </w:r>
      <w:r w:rsidR="00785CA0" w:rsidRPr="00785CA0">
        <w:t xml:space="preserve">stock prior to the change, </w:t>
      </w:r>
      <w:r w:rsidR="00DD7804">
        <w:t xml:space="preserve">and sales are already decreasing </w:t>
      </w:r>
      <w:r w:rsidR="00785CA0" w:rsidRPr="00785CA0">
        <w:t>(discussed in detail in Chapter 5).</w:t>
      </w:r>
    </w:p>
    <w:p w14:paraId="4F271A4B" w14:textId="450DD402" w:rsidR="00101768" w:rsidRDefault="00BD1F38" w:rsidP="00101768">
      <w:pPr>
        <w:spacing w:before="240" w:after="120"/>
        <w:contextualSpacing/>
        <w:textboxTightWrap w:val="allLines"/>
      </w:pPr>
      <w:r>
        <w:t>Typically</w:t>
      </w:r>
      <w:r w:rsidR="00CC3A6A">
        <w:t>, amending a</w:t>
      </w:r>
      <w:r w:rsidR="007E2F28">
        <w:t>n Australian</w:t>
      </w:r>
      <w:r w:rsidR="00CC3A6A">
        <w:t xml:space="preserve"> </w:t>
      </w:r>
      <w:r w:rsidR="009231D0">
        <w:t>S</w:t>
      </w:r>
      <w:r w:rsidR="00CC3A6A">
        <w:t xml:space="preserve">tandard requires a proposal to be submitted to Standards Australia for consideration, and if the amendment is progressed </w:t>
      </w:r>
      <w:r w:rsidR="008B66C9">
        <w:t xml:space="preserve">it would usually take </w:t>
      </w:r>
      <w:r w:rsidR="008B66C9" w:rsidRPr="008B66C9">
        <w:t xml:space="preserve">18 to 24 months to </w:t>
      </w:r>
      <w:r w:rsidR="008B66C9">
        <w:t>amend after</w:t>
      </w:r>
      <w:r w:rsidR="00F500A6">
        <w:t xml:space="preserve"> which manufacturers would be given an additional 2 years </w:t>
      </w:r>
      <w:r w:rsidR="008528B3">
        <w:t>to comply.</w:t>
      </w:r>
      <w:r w:rsidR="009D44A0">
        <w:rPr>
          <w:rStyle w:val="FootnoteReference"/>
        </w:rPr>
        <w:footnoteReference w:id="10"/>
      </w:r>
      <w:r w:rsidR="008528B3">
        <w:t xml:space="preserve"> </w:t>
      </w:r>
    </w:p>
    <w:p w14:paraId="70608F9C" w14:textId="77777777" w:rsidR="00101768" w:rsidRDefault="00101768" w:rsidP="00101768">
      <w:pPr>
        <w:spacing w:before="240" w:after="120"/>
        <w:contextualSpacing/>
        <w:textboxTightWrap w:val="allLines"/>
      </w:pPr>
    </w:p>
    <w:p w14:paraId="43D043A8" w14:textId="37C4AC6B" w:rsidR="00101768" w:rsidRDefault="00101768" w:rsidP="00101768">
      <w:pPr>
        <w:spacing w:before="240" w:after="120"/>
        <w:contextualSpacing/>
        <w:textboxTightWrap w:val="allLines"/>
      </w:pPr>
      <w:r>
        <w:t>However, u</w:t>
      </w:r>
      <w:r w:rsidR="00BA0838">
        <w:t>nder Option 2</w:t>
      </w:r>
      <w:r w:rsidR="00BA0838" w:rsidRPr="00BA0838">
        <w:t xml:space="preserve"> </w:t>
      </w:r>
      <w:r>
        <w:rPr>
          <w:rFonts w:asciiTheme="minorHAnsi" w:hAnsiTheme="minorHAnsi"/>
        </w:rPr>
        <w:t xml:space="preserve">the preferred approach is </w:t>
      </w:r>
      <w:r w:rsidR="006132CB">
        <w:rPr>
          <w:rFonts w:asciiTheme="minorHAnsi" w:hAnsiTheme="minorHAnsi"/>
        </w:rPr>
        <w:t>to fast-track</w:t>
      </w:r>
      <w:r>
        <w:rPr>
          <w:rFonts w:asciiTheme="minorHAnsi" w:hAnsiTheme="minorHAnsi"/>
        </w:rPr>
        <w:t xml:space="preserve"> </w:t>
      </w:r>
      <w:r w:rsidR="006132CB">
        <w:rPr>
          <w:rFonts w:asciiTheme="minorHAnsi" w:hAnsiTheme="minorHAnsi"/>
        </w:rPr>
        <w:t>adoption of</w:t>
      </w:r>
      <w:r>
        <w:rPr>
          <w:rFonts w:asciiTheme="minorHAnsi" w:hAnsiTheme="minorHAnsi"/>
        </w:rPr>
        <w:t xml:space="preserve"> the relevant Australian Standards (</w:t>
      </w:r>
      <w:r w:rsidRPr="00103FCD">
        <w:rPr>
          <w:rFonts w:asciiTheme="minorHAnsi" w:hAnsiTheme="minorHAnsi" w:cstheme="minorHAnsi"/>
          <w:szCs w:val="17"/>
        </w:rPr>
        <w:t>AS/NZS 5263.1.3 and AS/NZS 5263.1.8</w:t>
      </w:r>
      <w:r>
        <w:rPr>
          <w:rFonts w:asciiTheme="minorHAnsi" w:hAnsiTheme="minorHAnsi" w:cstheme="minorHAnsi"/>
          <w:szCs w:val="17"/>
        </w:rPr>
        <w:t xml:space="preserve">) </w:t>
      </w:r>
      <w:r>
        <w:rPr>
          <w:rFonts w:asciiTheme="minorHAnsi" w:hAnsiTheme="minorHAnsi"/>
        </w:rPr>
        <w:t xml:space="preserve">through the issuance of a </w:t>
      </w:r>
      <w:r w:rsidRPr="00066864">
        <w:t>G</w:t>
      </w:r>
      <w:r>
        <w:t>as Technical Regulator</w:t>
      </w:r>
      <w:r w:rsidR="00225586">
        <w:t>s</w:t>
      </w:r>
      <w:r>
        <w:t xml:space="preserve"> Committee (G</w:t>
      </w:r>
      <w:r w:rsidRPr="00066864">
        <w:t>TRC</w:t>
      </w:r>
      <w:r>
        <w:t>)</w:t>
      </w:r>
      <w:r w:rsidRPr="00066864">
        <w:t xml:space="preserve"> Technical Guidance Bulletin</w:t>
      </w:r>
      <w:r>
        <w:t xml:space="preserve">. Technical Guidance Bulletins are the method Australia’s gas technical regulators (including ESV) use to require the implementation of changes without waiting for standards to be amended or revised. Technical Guidance Bulletins provide technical guidance to </w:t>
      </w:r>
      <w:r w:rsidR="00E754EB">
        <w:t>conformity assessment bodies (</w:t>
      </w:r>
      <w:r>
        <w:t>CABs</w:t>
      </w:r>
      <w:r w:rsidR="00E754EB">
        <w:t>)</w:t>
      </w:r>
      <w:r>
        <w:t xml:space="preserve"> and other stakeholders on a position by jurisdictions on specific issues. They require CABs to ensure information in Technical Guidance Bulletins is taken into account when considering whether to certify gas equipment. Importantly, CABs must withhold certification if appliances do not meet the requirements in GTRC Technical </w:t>
      </w:r>
      <w:r w:rsidR="00E754EB">
        <w:t xml:space="preserve">Guidance </w:t>
      </w:r>
      <w:r>
        <w:t>Bulletins.</w:t>
      </w:r>
    </w:p>
    <w:p w14:paraId="27C069EF" w14:textId="77777777" w:rsidR="00101768" w:rsidRDefault="00101768" w:rsidP="00101768">
      <w:pPr>
        <w:spacing w:after="120"/>
        <w:contextualSpacing/>
        <w:textboxTightWrap w:val="allLines"/>
      </w:pPr>
    </w:p>
    <w:p w14:paraId="4E3F93AF" w14:textId="4CFE5095" w:rsidR="00101768" w:rsidRPr="00B978F7" w:rsidRDefault="00101768" w:rsidP="00101768">
      <w:r>
        <w:t xml:space="preserve">The GTRC approach also ensures a national approach and therefore ensures consistency between jurisdictions. It removes any confusion that would occur if appliances were still accepted in other jurisdictions and displayed a certification label. Once the revised standard is released all non-conforming OFGSHs would be phased-out across Australia. </w:t>
      </w:r>
    </w:p>
    <w:p w14:paraId="4C10B99A" w14:textId="5C116F35" w:rsidR="00101768" w:rsidRDefault="00101768" w:rsidP="00101768">
      <w:pPr>
        <w:spacing w:after="120"/>
        <w:contextualSpacing/>
        <w:textboxTightWrap w:val="allLines"/>
      </w:pPr>
      <w:r>
        <w:t xml:space="preserve">The GTRC has indicated its support for this approach and under Option 2 ESV is assumed to </w:t>
      </w:r>
      <w:r w:rsidRPr="00066864">
        <w:t xml:space="preserve">release a Technical Guidance Bulletin </w:t>
      </w:r>
      <w:r w:rsidR="00AD0F21">
        <w:t>in 2021</w:t>
      </w:r>
      <w:r w:rsidRPr="00066864">
        <w:t xml:space="preserve"> with a compliance date of 1 January 2022.</w:t>
      </w:r>
      <w:r>
        <w:rPr>
          <w:rStyle w:val="FootnoteReference"/>
        </w:rPr>
        <w:footnoteReference w:id="11"/>
      </w:r>
      <w:r>
        <w:t xml:space="preserve"> </w:t>
      </w:r>
    </w:p>
    <w:p w14:paraId="38AD1D2A" w14:textId="77777777" w:rsidR="00101768" w:rsidRDefault="00101768" w:rsidP="00101768">
      <w:pPr>
        <w:spacing w:after="120"/>
        <w:contextualSpacing/>
        <w:textboxTightWrap w:val="allLines"/>
      </w:pPr>
    </w:p>
    <w:p w14:paraId="550B7251" w14:textId="54BCECE9" w:rsidR="00101768" w:rsidRDefault="00101768" w:rsidP="00101768">
      <w:pPr>
        <w:spacing w:line="252" w:lineRule="auto"/>
      </w:pPr>
      <w:r>
        <w:t>While the GTRC approach is in place, the usual process for amending the Australian Standard</w:t>
      </w:r>
      <w:r w:rsidR="00AD028E">
        <w:t>s</w:t>
      </w:r>
      <w:r>
        <w:t xml:space="preserve"> will proceed, </w:t>
      </w:r>
      <w:r w:rsidR="000C710B">
        <w:t>although</w:t>
      </w:r>
      <w:r w:rsidRPr="003C56D0">
        <w:t xml:space="preserve"> </w:t>
      </w:r>
      <w:r w:rsidRPr="007A6E6C">
        <w:t>this</w:t>
      </w:r>
      <w:r w:rsidRPr="003C56D0">
        <w:t xml:space="preserve"> is not expected</w:t>
      </w:r>
      <w:r>
        <w:t xml:space="preserve"> to be implemented before 31 December 2023. Once the amended Australian Standards have been published the GTRC Technical Guidance Bulletin will be withdrawn.</w:t>
      </w:r>
    </w:p>
    <w:p w14:paraId="17B2BBFF" w14:textId="799AE1CD" w:rsidR="00C42D58" w:rsidRPr="00B35B5C" w:rsidRDefault="00422A83" w:rsidP="00101768">
      <w:pPr>
        <w:spacing w:line="252" w:lineRule="auto"/>
      </w:pPr>
      <w:r>
        <w:t>It should be noted that</w:t>
      </w:r>
      <w:r w:rsidR="00C42D58" w:rsidRPr="00B35B5C">
        <w:t xml:space="preserve">, </w:t>
      </w:r>
      <w:r w:rsidR="00C42D58" w:rsidRPr="00C05212">
        <w:t xml:space="preserve">if the Minister is not satisfied that the Australian Standards amendments and GTRC process are </w:t>
      </w:r>
      <w:r w:rsidR="00826160">
        <w:t>progressing reasonably towards a</w:t>
      </w:r>
      <w:r w:rsidR="00C42D58" w:rsidRPr="00C05212">
        <w:t xml:space="preserve"> </w:t>
      </w:r>
      <w:r w:rsidR="002F1974">
        <w:t xml:space="preserve">compliance </w:t>
      </w:r>
      <w:r w:rsidR="00826160">
        <w:t>date of</w:t>
      </w:r>
      <w:r w:rsidR="002F1974">
        <w:t xml:space="preserve"> </w:t>
      </w:r>
      <w:r w:rsidR="00C42D58" w:rsidRPr="00C05212">
        <w:t>1 January 2022,</w:t>
      </w:r>
      <w:r w:rsidR="00804BB5">
        <w:t xml:space="preserve"> or if </w:t>
      </w:r>
      <w:r w:rsidR="00EB2B9A">
        <w:t>the approach appears to be unfeasible or ineffective,</w:t>
      </w:r>
      <w:r w:rsidR="00C42D58" w:rsidRPr="00C05212">
        <w:t xml:space="preserve"> she will consider </w:t>
      </w:r>
      <w:r w:rsidR="000E236C">
        <w:t>recommend</w:t>
      </w:r>
      <w:r w:rsidR="00BC1173">
        <w:t>ing</w:t>
      </w:r>
      <w:r w:rsidR="000E236C">
        <w:t xml:space="preserve"> </w:t>
      </w:r>
      <w:r w:rsidR="00C42D58" w:rsidRPr="00C05212">
        <w:t xml:space="preserve">the regulations set out in Option 1 </w:t>
      </w:r>
      <w:r w:rsidR="00163DFD">
        <w:t>be implemented with a</w:t>
      </w:r>
      <w:r w:rsidR="00C42D58" w:rsidRPr="00C05212">
        <w:t xml:space="preserve"> commence</w:t>
      </w:r>
      <w:r w:rsidR="00163DFD">
        <w:t>ment date either</w:t>
      </w:r>
      <w:r w:rsidR="00C42D58" w:rsidRPr="00C05212">
        <w:t xml:space="preserve"> on or before 1 Jan</w:t>
      </w:r>
      <w:r w:rsidR="00163DFD">
        <w:t>uary</w:t>
      </w:r>
      <w:r w:rsidR="00C42D58" w:rsidRPr="00C05212">
        <w:t xml:space="preserve"> 2022.</w:t>
      </w:r>
      <w:r w:rsidR="00A34027">
        <w:t xml:space="preserve"> </w:t>
      </w:r>
      <w:r w:rsidR="000112D8">
        <w:t>R</w:t>
      </w:r>
      <w:r w:rsidR="00D077B1">
        <w:t xml:space="preserve">eserving the flexibility to </w:t>
      </w:r>
      <w:r w:rsidR="00BF1139">
        <w:t>implement the regulations specified under Option 1</w:t>
      </w:r>
      <w:r w:rsidR="000112D8">
        <w:t xml:space="preserve"> limits the potential impact that might result from uncertainty in timelines under Option 2.</w:t>
      </w:r>
    </w:p>
    <w:p w14:paraId="42DE1E87" w14:textId="10E0B657" w:rsidR="00AA7566" w:rsidRDefault="00AA7566" w:rsidP="00691E2A">
      <w:pPr>
        <w:pStyle w:val="Heading3"/>
        <w:numPr>
          <w:ilvl w:val="0"/>
          <w:numId w:val="0"/>
        </w:numPr>
        <w:ind w:left="720" w:hanging="720"/>
      </w:pPr>
      <w:r>
        <w:t>Transitional measure</w:t>
      </w:r>
      <w:r w:rsidR="00903A6A">
        <w:t>s</w:t>
      </w:r>
      <w:r>
        <w:t xml:space="preserve"> </w:t>
      </w:r>
    </w:p>
    <w:p w14:paraId="5E45FAF5" w14:textId="77777777" w:rsidR="00AA7566" w:rsidRPr="00152079" w:rsidRDefault="00AA7566" w:rsidP="00691E2A">
      <w:pPr>
        <w:pStyle w:val="Heading4"/>
        <w:numPr>
          <w:ilvl w:val="0"/>
          <w:numId w:val="0"/>
        </w:numPr>
        <w:ind w:left="864" w:hanging="864"/>
      </w:pPr>
      <w:r w:rsidRPr="00B31CA3">
        <w:t>R</w:t>
      </w:r>
      <w:r w:rsidRPr="00152079">
        <w:t xml:space="preserve">egulations to mandate the installation of CO alarms </w:t>
      </w:r>
    </w:p>
    <w:p w14:paraId="46ADA48D" w14:textId="4409164F" w:rsidR="005838A1" w:rsidRDefault="005838A1" w:rsidP="005838A1">
      <w:pPr>
        <w:ind w:right="148"/>
        <w:rPr>
          <w:szCs w:val="17"/>
        </w:rPr>
      </w:pPr>
      <w:r w:rsidRPr="00691E2A">
        <w:rPr>
          <w:szCs w:val="17"/>
        </w:rPr>
        <w:t xml:space="preserve">Currently in Australia, </w:t>
      </w:r>
      <w:r w:rsidRPr="002D2B31">
        <w:rPr>
          <w:bCs/>
          <w:szCs w:val="17"/>
        </w:rPr>
        <w:t>CO alarms are recommended</w:t>
      </w:r>
      <w:r w:rsidRPr="002D2B31">
        <w:rPr>
          <w:szCs w:val="17"/>
        </w:rPr>
        <w:t>, but not required. CO alarms are similar in function and appearance to smoke alarms</w:t>
      </w:r>
      <w:r w:rsidR="002D57E6">
        <w:rPr>
          <w:szCs w:val="17"/>
        </w:rPr>
        <w:t>.</w:t>
      </w:r>
      <w:r w:rsidRPr="002D2B31">
        <w:rPr>
          <w:rStyle w:val="FootnoteReference"/>
          <w:szCs w:val="17"/>
        </w:rPr>
        <w:footnoteReference w:id="12"/>
      </w:r>
      <w:r w:rsidRPr="002D2B31">
        <w:rPr>
          <w:szCs w:val="17"/>
        </w:rPr>
        <w:t xml:space="preserve"> They monitor the concentration of CO in the air, </w:t>
      </w:r>
      <w:r w:rsidRPr="002D2B31">
        <w:rPr>
          <w:szCs w:val="17"/>
        </w:rPr>
        <w:lastRenderedPageBreak/>
        <w:t>providing a visual and audible alarm where a certain concentration of CO has been detected</w:t>
      </w:r>
      <w:r>
        <w:rPr>
          <w:szCs w:val="17"/>
        </w:rPr>
        <w:t xml:space="preserve"> </w:t>
      </w:r>
      <w:r w:rsidRPr="00691E2A">
        <w:rPr>
          <w:szCs w:val="17"/>
        </w:rPr>
        <w:t xml:space="preserve">over a given period of time. </w:t>
      </w:r>
      <w:r w:rsidRPr="002D2B31">
        <w:rPr>
          <w:szCs w:val="17"/>
        </w:rPr>
        <w:t>By alerting building occupants to the presence of CO</w:t>
      </w:r>
      <w:r w:rsidRPr="002D2B31">
        <w:rPr>
          <w:szCs w:val="17"/>
          <w:lang w:eastAsia="en-AU"/>
        </w:rPr>
        <w:t xml:space="preserve">, occupants are given the opportunity to turn off the </w:t>
      </w:r>
      <w:r w:rsidR="00631B01">
        <w:rPr>
          <w:szCs w:val="17"/>
          <w:lang w:eastAsia="en-AU"/>
        </w:rPr>
        <w:t xml:space="preserve">gas </w:t>
      </w:r>
      <w:r w:rsidRPr="002D2B31">
        <w:rPr>
          <w:szCs w:val="17"/>
          <w:lang w:eastAsia="en-AU"/>
        </w:rPr>
        <w:t>appliance and seek fresh air.</w:t>
      </w:r>
      <w:r w:rsidRPr="002D2B31">
        <w:rPr>
          <w:szCs w:val="17"/>
        </w:rPr>
        <w:t xml:space="preserve"> This can reduce the likelihood of fatal or non-fatal incidents of CO exposure and other associated harms.</w:t>
      </w:r>
    </w:p>
    <w:p w14:paraId="1C292CDF" w14:textId="16C75052" w:rsidR="00AA7566" w:rsidRPr="001A2A01" w:rsidRDefault="00101768" w:rsidP="00AA7566">
      <w:r>
        <w:rPr>
          <w:szCs w:val="17"/>
        </w:rPr>
        <w:t>This RIS considers whether regulations should be introduced to mandate b</w:t>
      </w:r>
      <w:r w:rsidR="00AA7566">
        <w:rPr>
          <w:szCs w:val="17"/>
        </w:rPr>
        <w:t xml:space="preserve">uilding owners/rental providers </w:t>
      </w:r>
      <w:r>
        <w:rPr>
          <w:szCs w:val="17"/>
        </w:rPr>
        <w:t>to install CO alarms</w:t>
      </w:r>
      <w:r w:rsidR="00AA7566">
        <w:rPr>
          <w:szCs w:val="17"/>
        </w:rPr>
        <w:t xml:space="preserve">. </w:t>
      </w:r>
      <w:r>
        <w:rPr>
          <w:szCs w:val="17"/>
        </w:rPr>
        <w:t>It</w:t>
      </w:r>
      <w:r w:rsidR="00AA7566">
        <w:rPr>
          <w:szCs w:val="17"/>
        </w:rPr>
        <w:t xml:space="preserve"> </w:t>
      </w:r>
      <w:r w:rsidR="00AA7566" w:rsidRPr="002D2B31">
        <w:rPr>
          <w:szCs w:val="17"/>
        </w:rPr>
        <w:t xml:space="preserve">considers the costs and benefits of mandatory installation in only rental buildings because compliance in rental buildings is </w:t>
      </w:r>
      <w:r>
        <w:rPr>
          <w:szCs w:val="17"/>
        </w:rPr>
        <w:t xml:space="preserve">much </w:t>
      </w:r>
      <w:r w:rsidR="00B13678">
        <w:rPr>
          <w:szCs w:val="17"/>
        </w:rPr>
        <w:t xml:space="preserve">easier </w:t>
      </w:r>
      <w:r w:rsidR="00AA7566" w:rsidRPr="002D2B31">
        <w:rPr>
          <w:szCs w:val="17"/>
        </w:rPr>
        <w:t xml:space="preserve">to monitor and enforce than in owner-occupied buildings. </w:t>
      </w:r>
    </w:p>
    <w:p w14:paraId="65C3D6A4" w14:textId="2128A57C" w:rsidR="000419B3" w:rsidRPr="00AD76EF" w:rsidRDefault="00B14FB8" w:rsidP="00691E2A">
      <w:pPr>
        <w:pStyle w:val="Heading3"/>
        <w:numPr>
          <w:ilvl w:val="0"/>
          <w:numId w:val="0"/>
        </w:numPr>
        <w:ind w:left="720" w:hanging="720"/>
      </w:pPr>
      <w:r w:rsidRPr="00C21188">
        <w:t xml:space="preserve">Options </w:t>
      </w:r>
      <w:r w:rsidR="006E52EA" w:rsidRPr="00C21188">
        <w:t>considered but not included for detailed RIS analysis</w:t>
      </w:r>
    </w:p>
    <w:p w14:paraId="26FC5FD8" w14:textId="3DF22E97" w:rsidR="000419B3" w:rsidRDefault="000419B3" w:rsidP="000419B3">
      <w:r>
        <w:t xml:space="preserve">Throughout the process of developing the </w:t>
      </w:r>
      <w:r w:rsidR="001E69EF">
        <w:t>phase</w:t>
      </w:r>
      <w:r w:rsidR="008049D5">
        <w:t xml:space="preserve"> </w:t>
      </w:r>
      <w:r w:rsidR="001E69EF">
        <w:t>out</w:t>
      </w:r>
      <w:r>
        <w:t xml:space="preserve"> options and </w:t>
      </w:r>
      <w:r w:rsidR="005E0477">
        <w:t xml:space="preserve">transitional </w:t>
      </w:r>
      <w:r>
        <w:t>measures, a number of other options were identified</w:t>
      </w:r>
      <w:r w:rsidR="00101768">
        <w:t xml:space="preserve"> and </w:t>
      </w:r>
      <w:r w:rsidR="00E7043F">
        <w:t xml:space="preserve">carefully considered </w:t>
      </w:r>
      <w:r>
        <w:t xml:space="preserve">but </w:t>
      </w:r>
      <w:r w:rsidR="00D23301">
        <w:t xml:space="preserve">determined not </w:t>
      </w:r>
      <w:r>
        <w:t xml:space="preserve">feasible </w:t>
      </w:r>
      <w:r w:rsidR="00D23301">
        <w:t xml:space="preserve">because they do not meet the </w:t>
      </w:r>
      <w:r>
        <w:t>objectives</w:t>
      </w:r>
      <w:r w:rsidR="000D18C2">
        <w:t xml:space="preserve"> of the reforms</w:t>
      </w:r>
      <w:r>
        <w:t xml:space="preserve">. </w:t>
      </w:r>
      <w:r w:rsidR="00E7043F">
        <w:t>These are:</w:t>
      </w:r>
    </w:p>
    <w:p w14:paraId="52126947" w14:textId="6F5AFB61" w:rsidR="00E93AEE" w:rsidRPr="00C05212" w:rsidRDefault="00E93AEE" w:rsidP="00B0108E">
      <w:pPr>
        <w:pStyle w:val="ListParagraph"/>
        <w:numPr>
          <w:ilvl w:val="0"/>
          <w:numId w:val="64"/>
        </w:numPr>
      </w:pPr>
      <w:r w:rsidRPr="005A2840">
        <w:rPr>
          <w:b/>
        </w:rPr>
        <w:t xml:space="preserve">Phase out </w:t>
      </w:r>
      <w:r>
        <w:rPr>
          <w:b/>
        </w:rPr>
        <w:t xml:space="preserve">of OFGSHs </w:t>
      </w:r>
      <w:r w:rsidRPr="005A2840">
        <w:rPr>
          <w:b/>
        </w:rPr>
        <w:t xml:space="preserve">through </w:t>
      </w:r>
      <w:r>
        <w:rPr>
          <w:b/>
        </w:rPr>
        <w:t xml:space="preserve">additional safety requirements </w:t>
      </w:r>
      <w:r w:rsidRPr="005A2840">
        <w:rPr>
          <w:b/>
        </w:rPr>
        <w:t>prescribed</w:t>
      </w:r>
      <w:r>
        <w:rPr>
          <w:b/>
        </w:rPr>
        <w:t xml:space="preserve"> in</w:t>
      </w:r>
      <w:r w:rsidRPr="005A2840">
        <w:rPr>
          <w:b/>
        </w:rPr>
        <w:t xml:space="preserve"> regulation</w:t>
      </w:r>
      <w:r>
        <w:rPr>
          <w:b/>
        </w:rPr>
        <w:t xml:space="preserve"> </w:t>
      </w:r>
      <w:r>
        <w:rPr>
          <w:bCs/>
        </w:rPr>
        <w:t xml:space="preserve">- </w:t>
      </w:r>
      <w:r w:rsidR="00F2545A" w:rsidRPr="00111CE1">
        <w:t>In this option, the Victorian Government would prescribe the shut-down requirements agreed in principle by the Australian Standards committee (AG</w:t>
      </w:r>
      <w:r w:rsidR="00E448A7">
        <w:t>-</w:t>
      </w:r>
      <w:r w:rsidR="00F2545A" w:rsidRPr="00111CE1">
        <w:t>001) and published in the GTRC Bulletin (if this has occurred) in Victorian regulation.</w:t>
      </w:r>
      <w:r w:rsidR="007266B6">
        <w:t xml:space="preserve"> However, further investigation identified that GTRC bulletins are interim documents </w:t>
      </w:r>
      <w:r w:rsidR="0061177A">
        <w:t>with</w:t>
      </w:r>
      <w:r w:rsidR="007266B6">
        <w:t xml:space="preserve"> limited life span</w:t>
      </w:r>
      <w:r w:rsidR="0061177A">
        <w:t>s</w:t>
      </w:r>
      <w:r w:rsidR="007266B6">
        <w:t>. If a standard is published</w:t>
      </w:r>
      <w:r w:rsidR="0061177A">
        <w:t>,</w:t>
      </w:r>
      <w:r w:rsidR="007266B6">
        <w:t xml:space="preserve"> then the bulletin </w:t>
      </w:r>
      <w:r w:rsidR="00396ACD">
        <w:t>would be</w:t>
      </w:r>
      <w:r w:rsidR="007266B6">
        <w:t xml:space="preserve"> withdrawn from the GTRC website. Therefore</w:t>
      </w:r>
      <w:r w:rsidR="00396ACD">
        <w:t>,</w:t>
      </w:r>
      <w:r w:rsidR="007266B6">
        <w:t xml:space="preserve"> legislation </w:t>
      </w:r>
      <w:r w:rsidR="00657965">
        <w:t xml:space="preserve">would </w:t>
      </w:r>
      <w:r w:rsidR="00396ACD">
        <w:t>refer</w:t>
      </w:r>
      <w:r w:rsidR="007266B6">
        <w:t xml:space="preserve"> to a document that no longer exists</w:t>
      </w:r>
      <w:r w:rsidR="00396ACD">
        <w:t>, making this option no</w:t>
      </w:r>
      <w:r w:rsidR="00374E14">
        <w:t>n</w:t>
      </w:r>
      <w:r w:rsidR="00396ACD">
        <w:t>viable</w:t>
      </w:r>
      <w:r w:rsidR="007266B6">
        <w:t>.</w:t>
      </w:r>
    </w:p>
    <w:p w14:paraId="6204A134" w14:textId="3D333DCD" w:rsidR="00101768" w:rsidRDefault="00101768" w:rsidP="00B0108E">
      <w:pPr>
        <w:pStyle w:val="ListParagraph"/>
        <w:numPr>
          <w:ilvl w:val="0"/>
          <w:numId w:val="64"/>
        </w:numPr>
      </w:pPr>
      <w:r>
        <w:rPr>
          <w:b/>
          <w:bCs/>
        </w:rPr>
        <w:t>Mandatory r</w:t>
      </w:r>
      <w:r w:rsidR="0045470D">
        <w:rPr>
          <w:b/>
          <w:bCs/>
        </w:rPr>
        <w:t>emoval of</w:t>
      </w:r>
      <w:r w:rsidR="00B0108E" w:rsidRPr="00C21188">
        <w:rPr>
          <w:b/>
          <w:bCs/>
        </w:rPr>
        <w:t xml:space="preserve"> all OFG</w:t>
      </w:r>
      <w:r w:rsidR="00B0108E">
        <w:rPr>
          <w:b/>
          <w:bCs/>
        </w:rPr>
        <w:t>SHs</w:t>
      </w:r>
      <w:r w:rsidR="00B0108E" w:rsidRPr="00C21188">
        <w:rPr>
          <w:b/>
          <w:bCs/>
        </w:rPr>
        <w:t xml:space="preserve"> in households where they </w:t>
      </w:r>
      <w:r w:rsidR="00B0108E">
        <w:rPr>
          <w:b/>
          <w:bCs/>
        </w:rPr>
        <w:t xml:space="preserve">are </w:t>
      </w:r>
      <w:r w:rsidR="00B0108E" w:rsidRPr="00C21188">
        <w:rPr>
          <w:b/>
          <w:bCs/>
        </w:rPr>
        <w:t>already installed</w:t>
      </w:r>
      <w:r w:rsidR="00E93AEE">
        <w:rPr>
          <w:b/>
          <w:bCs/>
        </w:rPr>
        <w:t xml:space="preserve"> -</w:t>
      </w:r>
      <w:r w:rsidR="00B0108E">
        <w:rPr>
          <w:b/>
          <w:bCs/>
        </w:rPr>
        <w:t xml:space="preserve"> </w:t>
      </w:r>
      <w:r w:rsidR="00B0108E">
        <w:t>T</w:t>
      </w:r>
      <w:r w:rsidR="00B0108E" w:rsidRPr="00E7043F">
        <w:t xml:space="preserve">his would remove </w:t>
      </w:r>
      <w:r w:rsidR="00B0108E">
        <w:t xml:space="preserve">safety </w:t>
      </w:r>
      <w:r w:rsidR="00B0108E" w:rsidRPr="00E7043F">
        <w:t>risk</w:t>
      </w:r>
      <w:r w:rsidR="00B0108E">
        <w:t>s</w:t>
      </w:r>
      <w:r w:rsidR="00B0108E" w:rsidRPr="00E7043F">
        <w:t xml:space="preserve"> </w:t>
      </w:r>
      <w:r w:rsidR="00B0108E">
        <w:t>from existing OFGSHs</w:t>
      </w:r>
      <w:r w:rsidR="00B0108E" w:rsidRPr="00E7043F">
        <w:t>.</w:t>
      </w:r>
      <w:r w:rsidR="00B0108E">
        <w:t xml:space="preserve"> However, it would be difficult to enforce, particularly in owner-occupied homes, could cause affordability issues (and lead to unintended health and safety risks such as vulnerable people not having heating in cold weather</w:t>
      </w:r>
      <w:r w:rsidR="002D57E6">
        <w:t>)</w:t>
      </w:r>
      <w:r w:rsidR="00B0108E">
        <w:t xml:space="preserve"> </w:t>
      </w:r>
      <w:r w:rsidR="00B0108E" w:rsidRPr="00691E2A">
        <w:t xml:space="preserve">and increases the </w:t>
      </w:r>
      <w:r w:rsidR="001D6B26">
        <w:t>likelihood</w:t>
      </w:r>
      <w:r w:rsidR="001D6B26" w:rsidRPr="00691E2A">
        <w:t xml:space="preserve"> </w:t>
      </w:r>
      <w:r w:rsidR="00B0108E" w:rsidRPr="00691E2A">
        <w:t>of people using outdoor appliances inside.</w:t>
      </w:r>
      <w:r w:rsidR="00B0108E" w:rsidRPr="003A35CE">
        <w:t xml:space="preserve"> </w:t>
      </w:r>
    </w:p>
    <w:p w14:paraId="0B73C123" w14:textId="10C373A3" w:rsidR="00B0108E" w:rsidRPr="004D58DB" w:rsidRDefault="00101768" w:rsidP="00101768">
      <w:pPr>
        <w:pStyle w:val="ListParagraph"/>
        <w:numPr>
          <w:ilvl w:val="0"/>
          <w:numId w:val="64"/>
        </w:numPr>
      </w:pPr>
      <w:r>
        <w:rPr>
          <w:b/>
        </w:rPr>
        <w:t xml:space="preserve">Not prohibiting </w:t>
      </w:r>
      <w:r w:rsidR="00B0108E" w:rsidRPr="002A0C2A">
        <w:rPr>
          <w:b/>
        </w:rPr>
        <w:t xml:space="preserve">installations </w:t>
      </w:r>
      <w:r w:rsidR="00A608B8">
        <w:rPr>
          <w:b/>
        </w:rPr>
        <w:t xml:space="preserve">of </w:t>
      </w:r>
      <w:r w:rsidR="00B0108E" w:rsidRPr="002A0C2A">
        <w:rPr>
          <w:b/>
        </w:rPr>
        <w:t xml:space="preserve">“like for like replacements” </w:t>
      </w:r>
      <w:r w:rsidR="00E93AEE">
        <w:rPr>
          <w:b/>
        </w:rPr>
        <w:t xml:space="preserve">- </w:t>
      </w:r>
      <w:r w:rsidR="00B0108E" w:rsidRPr="00691E2A">
        <w:t xml:space="preserve">(i.e. an existing </w:t>
      </w:r>
      <w:r w:rsidR="000932DA">
        <w:t xml:space="preserve">OFGSH </w:t>
      </w:r>
      <w:r>
        <w:t>could</w:t>
      </w:r>
      <w:r w:rsidRPr="00691E2A">
        <w:t xml:space="preserve"> </w:t>
      </w:r>
      <w:r w:rsidR="00B0108E" w:rsidRPr="00691E2A">
        <w:t>still be replaced with a new OFGSH)</w:t>
      </w:r>
      <w:r>
        <w:t xml:space="preserve">. </w:t>
      </w:r>
      <w:r w:rsidR="00B0108E" w:rsidRPr="002A0C2A">
        <w:t>This option would address a very small</w:t>
      </w:r>
      <w:r w:rsidR="00B0108E" w:rsidRPr="00873DEC">
        <w:t xml:space="preserve"> part of the problem because most new installations are like for like replacements. </w:t>
      </w:r>
    </w:p>
    <w:p w14:paraId="49084BCF" w14:textId="11DDB0BE" w:rsidR="00A87866" w:rsidRPr="000276F0" w:rsidRDefault="00020F84" w:rsidP="0007250B">
      <w:pPr>
        <w:pStyle w:val="ListParagraph"/>
        <w:numPr>
          <w:ilvl w:val="0"/>
          <w:numId w:val="64"/>
        </w:numPr>
      </w:pPr>
      <w:r w:rsidRPr="000276F0">
        <w:rPr>
          <w:b/>
          <w:bCs/>
        </w:rPr>
        <w:t xml:space="preserve">A </w:t>
      </w:r>
      <w:r w:rsidRPr="007C7277">
        <w:rPr>
          <w:b/>
          <w:bCs/>
        </w:rPr>
        <w:t>standards-based</w:t>
      </w:r>
      <w:r w:rsidRPr="000276F0">
        <w:rPr>
          <w:b/>
          <w:bCs/>
        </w:rPr>
        <w:t xml:space="preserve"> approach under normal timeliness</w:t>
      </w:r>
      <w:r>
        <w:t xml:space="preserve"> – Under normal timelines </w:t>
      </w:r>
      <w:r w:rsidRPr="00020F84">
        <w:t>amending a standard requires a proposal to be submitted to Standards Australia for consideration, and if the amendment is progressed it would usually take 18 to 24 months to amend the standard after which manufacturers would be given an additional 2 years to comply</w:t>
      </w:r>
      <w:r w:rsidR="002546E3">
        <w:t xml:space="preserve">. </w:t>
      </w:r>
      <w:r w:rsidR="0029147F">
        <w:t xml:space="preserve">This option was not considered </w:t>
      </w:r>
      <w:r w:rsidR="00101768">
        <w:t>appropriate</w:t>
      </w:r>
      <w:r w:rsidR="0029147F">
        <w:t xml:space="preserve"> because of </w:t>
      </w:r>
      <w:r w:rsidR="00CF4593">
        <w:t>its</w:t>
      </w:r>
      <w:r w:rsidR="0029147F">
        <w:t xml:space="preserve"> extended timeframes</w:t>
      </w:r>
      <w:r w:rsidR="00CF4593">
        <w:t>, and the fast-tracked standards-based approach was progressed as a feasible option instead.</w:t>
      </w:r>
    </w:p>
    <w:p w14:paraId="17473EE5" w14:textId="653137D8" w:rsidR="000076B4" w:rsidRPr="00B066FA" w:rsidRDefault="00187D0F" w:rsidP="0007250B">
      <w:pPr>
        <w:pStyle w:val="ListParagraph"/>
        <w:numPr>
          <w:ilvl w:val="0"/>
          <w:numId w:val="64"/>
        </w:numPr>
      </w:pPr>
      <w:r w:rsidRPr="00920587">
        <w:rPr>
          <w:b/>
          <w:bCs/>
        </w:rPr>
        <w:t>Mandate</w:t>
      </w:r>
      <w:r w:rsidR="00AA592C" w:rsidRPr="00920587">
        <w:rPr>
          <w:b/>
          <w:bCs/>
        </w:rPr>
        <w:t xml:space="preserve"> regular servicing of OFGSHs in all buildings where</w:t>
      </w:r>
      <w:r w:rsidR="00447B3E" w:rsidRPr="00616D29">
        <w:rPr>
          <w:b/>
        </w:rPr>
        <w:t xml:space="preserve"> </w:t>
      </w:r>
      <w:r w:rsidR="00C5539D" w:rsidRPr="00827E2D">
        <w:rPr>
          <w:b/>
        </w:rPr>
        <w:t>they</w:t>
      </w:r>
      <w:r w:rsidR="00AA592C" w:rsidRPr="00BF3F79">
        <w:rPr>
          <w:b/>
        </w:rPr>
        <w:t xml:space="preserve"> are installed</w:t>
      </w:r>
      <w:r w:rsidR="00063557" w:rsidRPr="00BF3F79">
        <w:t xml:space="preserve"> </w:t>
      </w:r>
      <w:r w:rsidR="006E6199" w:rsidRPr="00B066FA">
        <w:t>–</w:t>
      </w:r>
      <w:r w:rsidR="00063557" w:rsidRPr="00B066FA">
        <w:t xml:space="preserve"> This</w:t>
      </w:r>
      <w:r w:rsidR="006E6199" w:rsidRPr="00B066FA">
        <w:t xml:space="preserve"> is</w:t>
      </w:r>
      <w:r w:rsidR="000076B4" w:rsidRPr="00B066FA">
        <w:t xml:space="preserve"> not considered to be feasible because </w:t>
      </w:r>
      <w:r w:rsidR="00101768">
        <w:t>it</w:t>
      </w:r>
      <w:r w:rsidR="00101768" w:rsidRPr="00B066FA">
        <w:t xml:space="preserve"> </w:t>
      </w:r>
      <w:r w:rsidR="000076B4" w:rsidRPr="00B066FA">
        <w:t xml:space="preserve">would be difficult to monitor and enforce in owner-occupied buildings. </w:t>
      </w:r>
      <w:r w:rsidR="00063557" w:rsidRPr="00B066FA">
        <w:t xml:space="preserve">As noted above, gas safety checks are expected to be introduced into the Residential Tenancies </w:t>
      </w:r>
      <w:r w:rsidR="00CD5FEB" w:rsidRPr="00B066FA">
        <w:t xml:space="preserve">Regulations </w:t>
      </w:r>
      <w:r w:rsidR="00063557" w:rsidRPr="00B066FA">
        <w:t xml:space="preserve">which </w:t>
      </w:r>
      <w:r w:rsidR="00BD0F98">
        <w:t xml:space="preserve">is expected to </w:t>
      </w:r>
      <w:r w:rsidR="00063557" w:rsidRPr="00B066FA">
        <w:t xml:space="preserve">address </w:t>
      </w:r>
      <w:r w:rsidR="009C3367">
        <w:t xml:space="preserve">the </w:t>
      </w:r>
      <w:r w:rsidR="00063557" w:rsidRPr="00B066FA">
        <w:t>risk of CO exposure from OFGSHs in rental homes.</w:t>
      </w:r>
    </w:p>
    <w:p w14:paraId="0F7DBF80" w14:textId="3909290B" w:rsidR="00AA592C" w:rsidRPr="00C21188" w:rsidRDefault="00063557" w:rsidP="0007250B">
      <w:pPr>
        <w:pStyle w:val="ListParagraph"/>
        <w:numPr>
          <w:ilvl w:val="0"/>
          <w:numId w:val="64"/>
        </w:numPr>
        <w:rPr>
          <w:b/>
          <w:bCs/>
        </w:rPr>
      </w:pPr>
      <w:r w:rsidRPr="00B066FA">
        <w:rPr>
          <w:b/>
          <w:bCs/>
        </w:rPr>
        <w:t>Potential change to compliance certificates</w:t>
      </w:r>
      <w:r w:rsidR="00D55242" w:rsidRPr="00B066FA">
        <w:rPr>
          <w:b/>
          <w:bCs/>
        </w:rPr>
        <w:t xml:space="preserve"> - </w:t>
      </w:r>
      <w:r w:rsidR="00765FAE" w:rsidRPr="00B066FA">
        <w:t xml:space="preserve">Under the </w:t>
      </w:r>
      <w:r w:rsidR="00765FAE" w:rsidRPr="00B066FA">
        <w:rPr>
          <w:i/>
        </w:rPr>
        <w:t>Building Act 1993</w:t>
      </w:r>
      <w:r w:rsidR="007B5865">
        <w:rPr>
          <w:i/>
        </w:rPr>
        <w:t xml:space="preserve"> </w:t>
      </w:r>
      <w:r w:rsidR="007B5865" w:rsidRPr="000276F0">
        <w:rPr>
          <w:iCs/>
        </w:rPr>
        <w:t>(the Building Act)</w:t>
      </w:r>
      <w:r w:rsidR="00765FAE" w:rsidRPr="00B066FA">
        <w:t>, a certificate of compliance is required to be issued to consumers and lodged with the VBA by a licensed plumber (including gasfitters), where the total value of work is $750</w:t>
      </w:r>
      <w:r w:rsidR="00101768">
        <w:t xml:space="preserve"> </w:t>
      </w:r>
      <w:r w:rsidR="00765FAE" w:rsidRPr="00B066FA">
        <w:t xml:space="preserve">or more as well as in other </w:t>
      </w:r>
      <w:r w:rsidR="005F36BF">
        <w:t>specified</w:t>
      </w:r>
      <w:r w:rsidR="005F36BF" w:rsidRPr="00B066FA">
        <w:t xml:space="preserve"> </w:t>
      </w:r>
      <w:r w:rsidR="00765FAE" w:rsidRPr="00B066FA">
        <w:t>circumstances</w:t>
      </w:r>
      <w:r w:rsidR="00AA6200">
        <w:t>, such as the installation of gas appliances</w:t>
      </w:r>
      <w:r w:rsidR="009D0C28">
        <w:rPr>
          <w:rStyle w:val="FootnoteReference"/>
        </w:rPr>
        <w:footnoteReference w:id="13"/>
      </w:r>
      <w:r w:rsidR="00765FAE" w:rsidRPr="001F0F0B">
        <w:t>.</w:t>
      </w:r>
      <w:r w:rsidR="000C6CF3">
        <w:t xml:space="preserve"> However, currently, a compliance certificate for gas servicing work is only </w:t>
      </w:r>
      <w:r w:rsidR="000C6CF3">
        <w:lastRenderedPageBreak/>
        <w:t xml:space="preserve">required where the value of the work exceeds $750. </w:t>
      </w:r>
      <w:r w:rsidR="00D55242" w:rsidRPr="00C21188">
        <w:t>Any change to the requirements for compliance certificates is outside the scope of this RIS process</w:t>
      </w:r>
      <w:r w:rsidR="000C6CF3">
        <w:t xml:space="preserve"> and</w:t>
      </w:r>
      <w:r w:rsidR="007B5865">
        <w:t xml:space="preserve"> </w:t>
      </w:r>
      <w:r w:rsidR="00D55242" w:rsidRPr="00C21188">
        <w:t xml:space="preserve">would require an amendment to the </w:t>
      </w:r>
      <w:r w:rsidR="00D55242" w:rsidRPr="000276F0">
        <w:t>Building Act</w:t>
      </w:r>
      <w:r w:rsidR="00D55242" w:rsidRPr="00C737A5">
        <w:rPr>
          <w:i/>
          <w:iCs/>
        </w:rPr>
        <w:t>.</w:t>
      </w:r>
      <w:r w:rsidR="00D55242" w:rsidRPr="00C21188">
        <w:t xml:space="preserve"> </w:t>
      </w:r>
    </w:p>
    <w:p w14:paraId="53D4DF5E" w14:textId="669E595A" w:rsidR="003A35CE" w:rsidRDefault="00765FAE" w:rsidP="0007250B">
      <w:pPr>
        <w:pStyle w:val="ListParagraph"/>
        <w:numPr>
          <w:ilvl w:val="0"/>
          <w:numId w:val="64"/>
        </w:numPr>
      </w:pPr>
      <w:r>
        <w:rPr>
          <w:b/>
          <w:bCs/>
        </w:rPr>
        <w:t>Publi</w:t>
      </w:r>
      <w:r w:rsidRPr="00C21188">
        <w:rPr>
          <w:b/>
          <w:bCs/>
        </w:rPr>
        <w:t>c education</w:t>
      </w:r>
      <w:r w:rsidRPr="00CC4A0B">
        <w:t xml:space="preserve"> on the risks of CO poisoning and measures households could take such as servicing and installation of CO alarms</w:t>
      </w:r>
      <w:r w:rsidR="00C5539D">
        <w:t xml:space="preserve"> </w:t>
      </w:r>
      <w:r w:rsidR="00734890">
        <w:t>–</w:t>
      </w:r>
      <w:r w:rsidR="00C5539D">
        <w:t xml:space="preserve"> </w:t>
      </w:r>
      <w:r w:rsidR="00E53950">
        <w:t>ESV</w:t>
      </w:r>
      <w:r w:rsidR="00C5539D">
        <w:t xml:space="preserve"> has already undertaken substantial </w:t>
      </w:r>
      <w:r w:rsidR="00D53B41">
        <w:t>yearly</w:t>
      </w:r>
      <w:r w:rsidR="00C5539D">
        <w:t xml:space="preserve"> public awareness campaigns. Continuing public education campaigns </w:t>
      </w:r>
      <w:r w:rsidR="00101768">
        <w:t>are</w:t>
      </w:r>
      <w:r w:rsidR="00C5539D">
        <w:t xml:space="preserve"> a part of the Base Case. Additional public education is not likely to lead to </w:t>
      </w:r>
      <w:r w:rsidR="00871CB5">
        <w:t xml:space="preserve">a </w:t>
      </w:r>
      <w:r w:rsidR="00C5539D">
        <w:t xml:space="preserve">significant </w:t>
      </w:r>
      <w:r w:rsidR="00871CB5">
        <w:t xml:space="preserve">further </w:t>
      </w:r>
      <w:r w:rsidR="00C5539D">
        <w:t xml:space="preserve">reduction in </w:t>
      </w:r>
      <w:r w:rsidR="00101768">
        <w:t>harms</w:t>
      </w:r>
      <w:r w:rsidR="00C5539D">
        <w:t>.</w:t>
      </w:r>
    </w:p>
    <w:p w14:paraId="120595D3" w14:textId="3FCE577B" w:rsidR="00DC0436" w:rsidRDefault="00DC0436" w:rsidP="00886BDE">
      <w:pPr>
        <w:pStyle w:val="Heading2un-numbered"/>
        <w:spacing w:line="240" w:lineRule="auto"/>
      </w:pPr>
      <w:r>
        <w:t>Methodology</w:t>
      </w:r>
    </w:p>
    <w:p w14:paraId="60D50B24" w14:textId="71E13802" w:rsidR="000C4EE2" w:rsidRDefault="000C4EE2" w:rsidP="00886BDE">
      <w:pPr>
        <w:spacing w:before="120" w:after="0" w:line="240" w:lineRule="auto"/>
      </w:pPr>
      <w:bookmarkStart w:id="80" w:name="_Toc17892118"/>
      <w:bookmarkStart w:id="81" w:name="_Toc19092396"/>
      <w:bookmarkStart w:id="82" w:name="_Toc20138639"/>
      <w:r>
        <w:t>Options have been assessed using a breakeven approach</w:t>
      </w:r>
      <w:r w:rsidR="00F84DC7">
        <w:t xml:space="preserve"> with key assumptions outlined in section 4.2.</w:t>
      </w:r>
      <w:r w:rsidR="00C13702">
        <w:t>6</w:t>
      </w:r>
      <w:r>
        <w:t>.</w:t>
      </w:r>
      <w:r w:rsidR="00332E28">
        <w:t xml:space="preserve"> </w:t>
      </w:r>
      <w:r>
        <w:t xml:space="preserve">Breakeven has been chosen as the preferred analysis tool because of the nature of benefits (reduction in fatalities/injuries) combined with the uncertain and episodic nature of such incidents. </w:t>
      </w:r>
    </w:p>
    <w:p w14:paraId="68194901" w14:textId="1D627CED" w:rsidR="000C4EE2" w:rsidRDefault="000C4EE2" w:rsidP="00C21188">
      <w:pPr>
        <w:spacing w:before="120" w:after="0" w:line="240" w:lineRule="auto"/>
      </w:pPr>
      <w:r>
        <w:t>In practice, given that a large number of the benefits and costs have been quantified, the analysis is similar to a full cost-benefit analysis. However</w:t>
      </w:r>
      <w:r w:rsidR="001D0DCB">
        <w:t>,</w:t>
      </w:r>
      <w:r>
        <w:t xml:space="preserve"> given the uncertainty around some of the quantification (e.g. the low illness number</w:t>
      </w:r>
      <w:r w:rsidR="00B0229C">
        <w:t xml:space="preserve"> for people experiencing non-lethal CO poisoning</w:t>
      </w:r>
      <w:r>
        <w:t xml:space="preserve">), </w:t>
      </w:r>
      <w:r w:rsidR="00C935FC">
        <w:t>results of the analysis have been</w:t>
      </w:r>
      <w:r>
        <w:t xml:space="preserve"> expressed as breakeven analysis. Importantly, </w:t>
      </w:r>
      <w:r w:rsidR="00C935FC">
        <w:t>conclusions of the analysis</w:t>
      </w:r>
      <w:r>
        <w:t xml:space="preserve"> </w:t>
      </w:r>
      <w:r w:rsidR="00101768">
        <w:t>are highly likely to be</w:t>
      </w:r>
      <w:r>
        <w:t xml:space="preserve"> the same regardless of method and terminology used.</w:t>
      </w:r>
    </w:p>
    <w:p w14:paraId="435F8B41" w14:textId="0551E47B" w:rsidR="005F2883" w:rsidRDefault="00795512" w:rsidP="00C21188">
      <w:pPr>
        <w:spacing w:before="120" w:after="0" w:line="240" w:lineRule="auto"/>
      </w:pPr>
      <w:r>
        <w:t>Much of t</w:t>
      </w:r>
      <w:r w:rsidR="000C4EE2">
        <w:t xml:space="preserve">he analysis in this </w:t>
      </w:r>
      <w:r>
        <w:t>report</w:t>
      </w:r>
      <w:r w:rsidR="00015D4D">
        <w:t xml:space="preserve"> is based on </w:t>
      </w:r>
      <w:r w:rsidR="002560C8">
        <w:t xml:space="preserve">previous </w:t>
      </w:r>
      <w:r w:rsidR="00015D4D">
        <w:t>analysis and data</w:t>
      </w:r>
      <w:r w:rsidR="000C4EE2">
        <w:t xml:space="preserve"> </w:t>
      </w:r>
      <w:r w:rsidR="002560C8">
        <w:t xml:space="preserve">describing the period </w:t>
      </w:r>
      <w:r w:rsidR="000C4EE2">
        <w:t xml:space="preserve">prior to </w:t>
      </w:r>
      <w:r w:rsidR="00955F68">
        <w:t>coronavirus (</w:t>
      </w:r>
      <w:r w:rsidR="000C4EE2">
        <w:t>COVID-19</w:t>
      </w:r>
      <w:r w:rsidR="00955F68">
        <w:t>)</w:t>
      </w:r>
      <w:r w:rsidR="000C4EE2">
        <w:t xml:space="preserve">. </w:t>
      </w:r>
      <w:r w:rsidR="00922069">
        <w:t>Coronavirus (</w:t>
      </w:r>
      <w:r w:rsidR="000C4EE2">
        <w:t>COVID-19</w:t>
      </w:r>
      <w:r w:rsidR="00922069">
        <w:t>)</w:t>
      </w:r>
      <w:r w:rsidR="000C4EE2">
        <w:t xml:space="preserve"> has the potential to impact the analysis, </w:t>
      </w:r>
      <w:r w:rsidR="001D3085">
        <w:t xml:space="preserve">including </w:t>
      </w:r>
      <w:r w:rsidR="000C4EE2">
        <w:t xml:space="preserve">in regard to relative energy prices </w:t>
      </w:r>
      <w:r w:rsidR="008333E1">
        <w:t xml:space="preserve">(notably lower gas prices) </w:t>
      </w:r>
      <w:r w:rsidR="0042234A">
        <w:t>and</w:t>
      </w:r>
      <w:r w:rsidR="000C4EE2">
        <w:t xml:space="preserve"> consumer choices. </w:t>
      </w:r>
      <w:r w:rsidR="00F01060">
        <w:t xml:space="preserve">If </w:t>
      </w:r>
      <w:r w:rsidR="00922069">
        <w:t>coronavirus (COVID-19)</w:t>
      </w:r>
      <w:r w:rsidR="00F01060">
        <w:t xml:space="preserve"> results in individuals being at home longer and using </w:t>
      </w:r>
      <w:r w:rsidR="000932DA">
        <w:t xml:space="preserve">OFGSHs </w:t>
      </w:r>
      <w:r w:rsidR="00F01060">
        <w:t xml:space="preserve">more than they otherwise would, it may also </w:t>
      </w:r>
      <w:r w:rsidR="008333E1">
        <w:t xml:space="preserve">increase the likelihood of CO poisoning. </w:t>
      </w:r>
      <w:r w:rsidR="00922069">
        <w:t xml:space="preserve">Coronavirus (COVID-19) </w:t>
      </w:r>
      <w:r w:rsidR="002560C8">
        <w:t xml:space="preserve">may also lead some individuals to experience reductions in income, impacting their ability to service and properly maintain OFGSHs installed in their home. </w:t>
      </w:r>
      <w:r w:rsidR="000C4EE2">
        <w:t>Given uncertainty around these impacts</w:t>
      </w:r>
      <w:r w:rsidR="0042234A">
        <w:t>, and the extent to which they are just temporary or longer term,</w:t>
      </w:r>
      <w:r w:rsidR="000C4EE2">
        <w:t xml:space="preserve"> no changes have been made to the underlying assumptions, however sensitivity analysis has been undertaken to test the </w:t>
      </w:r>
      <w:r w:rsidR="0030749A">
        <w:t>impact of</w:t>
      </w:r>
      <w:r w:rsidR="000C4EE2">
        <w:t xml:space="preserve"> changes in some key assumptions</w:t>
      </w:r>
      <w:r w:rsidR="000E088F">
        <w:t>.</w:t>
      </w:r>
      <w:r w:rsidR="00650739">
        <w:t xml:space="preserve"> </w:t>
      </w:r>
      <w:r w:rsidR="000E088F">
        <w:br/>
      </w:r>
    </w:p>
    <w:p w14:paraId="51E0E4CE" w14:textId="7DE6B598" w:rsidR="004B5F03" w:rsidRDefault="007E74D2">
      <w:pPr>
        <w:pStyle w:val="Heading2un-numbered"/>
      </w:pPr>
      <w:bookmarkStart w:id="83" w:name="_Toc17892119"/>
      <w:bookmarkStart w:id="84" w:name="_Toc19092397"/>
      <w:bookmarkStart w:id="85" w:name="_Toc20138640"/>
      <w:bookmarkEnd w:id="80"/>
      <w:bookmarkEnd w:id="81"/>
      <w:bookmarkEnd w:id="82"/>
      <w:r>
        <w:t>Summary</w:t>
      </w:r>
      <w:r w:rsidR="004B5F03">
        <w:t xml:space="preserve"> of </w:t>
      </w:r>
      <w:r>
        <w:t>breakeven</w:t>
      </w:r>
      <w:r w:rsidR="004B5F03">
        <w:t xml:space="preserve"> analysis </w:t>
      </w:r>
    </w:p>
    <w:p w14:paraId="28AE92E2" w14:textId="01D9018E" w:rsidR="00D07E17" w:rsidRDefault="002E2B33" w:rsidP="00D07E17">
      <w:r>
        <w:t>The table below</w:t>
      </w:r>
      <w:r w:rsidR="00D07E17" w:rsidRPr="001E6629">
        <w:t xml:space="preserve"> presents </w:t>
      </w:r>
      <w:r w:rsidR="00D07E17">
        <w:t>estimates of benefits</w:t>
      </w:r>
      <w:r w:rsidR="00D07E17" w:rsidRPr="001E6629">
        <w:t xml:space="preserve"> </w:t>
      </w:r>
      <w:r w:rsidR="00D07E17">
        <w:t xml:space="preserve">associated with each option, relative to the Base Case. </w:t>
      </w:r>
      <w:r w:rsidR="00101768">
        <w:t xml:space="preserve">Both </w:t>
      </w:r>
      <w:r w:rsidR="00D07E17">
        <w:t xml:space="preserve">phase out options are expected to </w:t>
      </w:r>
      <w:r w:rsidR="009F48C8">
        <w:t xml:space="preserve">at least </w:t>
      </w:r>
      <w:r w:rsidR="00D07E17">
        <w:t>break</w:t>
      </w:r>
      <w:r w:rsidR="00A669C8">
        <w:t xml:space="preserve"> </w:t>
      </w:r>
      <w:r w:rsidR="00D07E17">
        <w:t>even</w:t>
      </w:r>
      <w:r w:rsidR="009F48C8">
        <w:t>.</w:t>
      </w:r>
    </w:p>
    <w:p w14:paraId="07E9C200" w14:textId="5D4CB4E1" w:rsidR="00BF5018" w:rsidRDefault="00BF5018" w:rsidP="00BF5018">
      <w:pPr>
        <w:spacing w:before="120" w:after="0" w:line="240" w:lineRule="auto"/>
      </w:pPr>
      <w:r>
        <w:t>Benefits from switching to more energy efficient heating appliances are significant for all options and are expected to achieve benefits almost as great as the total costs of each option. These benefits amount to nearly $4.9 million for Option 1, and about $3.6 million for Option 2.</w:t>
      </w:r>
      <w:r w:rsidR="00500922" w:rsidRPr="00500922">
        <w:t xml:space="preserve"> </w:t>
      </w:r>
      <w:r w:rsidR="00500922">
        <w:t>Further, significant avoided health costs are expected for both options. These benefits are nearly $4.1 million for Option 1 and about $3 million for Option 2. Together, these benefits outweigh the estimated costs of $6.1m for Option 1 and $4.9m for Option 2.</w:t>
      </w:r>
    </w:p>
    <w:p w14:paraId="4B5BAF14" w14:textId="68F0992F" w:rsidR="00573B94" w:rsidRDefault="00573B94" w:rsidP="00573B94">
      <w:pPr>
        <w:spacing w:before="120" w:after="0" w:line="240" w:lineRule="auto"/>
      </w:pPr>
      <w:r w:rsidRPr="00305656">
        <w:t>The likelihood that the benefits will outweigh the costs for all options is increased when taking account of the trauma and</w:t>
      </w:r>
      <w:r w:rsidRPr="008A63F6">
        <w:t xml:space="preserve"> grief avoided from death and serious injuries, as well as other avoided costs such as hospital, police and coroner’s inquest costs, which are likely to be significant but </w:t>
      </w:r>
      <w:r>
        <w:t>have not been</w:t>
      </w:r>
      <w:r w:rsidRPr="008A63F6">
        <w:t xml:space="preserve"> assigned a monetary value. Interruption to life and anxiety resulting from low level illnesses is also likely to occur, particularly if it is ongoing and the cause of illness is unknown</w:t>
      </w:r>
      <w:r>
        <w:t xml:space="preserve"> or misdiagnosed</w:t>
      </w:r>
      <w:r w:rsidRPr="008A63F6">
        <w:t xml:space="preserve">, </w:t>
      </w:r>
      <w:r>
        <w:t>however</w:t>
      </w:r>
      <w:r w:rsidRPr="008A63F6">
        <w:t xml:space="preserve"> has </w:t>
      </w:r>
      <w:r>
        <w:t xml:space="preserve">also </w:t>
      </w:r>
      <w:r w:rsidRPr="008A63F6">
        <w:t xml:space="preserve">not been measured quantitatively. </w:t>
      </w:r>
    </w:p>
    <w:p w14:paraId="2B228CBE" w14:textId="6AEDEC0C" w:rsidR="00D07E17" w:rsidRDefault="00D07E17" w:rsidP="00F3018D">
      <w:pPr>
        <w:spacing w:before="120" w:after="0" w:line="240" w:lineRule="auto"/>
      </w:pPr>
      <w:r>
        <w:t>Option 1</w:t>
      </w:r>
      <w:r w:rsidR="00CE4912">
        <w:t xml:space="preserve"> becomes effective </w:t>
      </w:r>
      <w:r w:rsidR="00A7337D">
        <w:t xml:space="preserve">earlier than Option 2 </w:t>
      </w:r>
      <w:r w:rsidR="004F20E0">
        <w:t>lead</w:t>
      </w:r>
      <w:r w:rsidR="00A7337D">
        <w:t>ing</w:t>
      </w:r>
      <w:r w:rsidR="004F20E0">
        <w:t xml:space="preserve"> to</w:t>
      </w:r>
      <w:r w:rsidR="00CE4912">
        <w:t xml:space="preserve"> </w:t>
      </w:r>
      <w:r w:rsidR="00A7337D">
        <w:t>higher costs but slightly better safety outcomes</w:t>
      </w:r>
      <w:r w:rsidR="0009553E">
        <w:t xml:space="preserve">. </w:t>
      </w:r>
      <w:r w:rsidR="00BF5018">
        <w:t>Option 2</w:t>
      </w:r>
      <w:r w:rsidR="0009553E">
        <w:t xml:space="preserve"> meets more of the other considerations on the objectives of the RIS</w:t>
      </w:r>
      <w:r w:rsidR="00BF5018">
        <w:t xml:space="preserve"> than Option 1</w:t>
      </w:r>
      <w:r>
        <w:t>.</w:t>
      </w:r>
      <w:r w:rsidR="00BF5018">
        <w:rPr>
          <w:rStyle w:val="FootnoteReference"/>
        </w:rPr>
        <w:footnoteReference w:id="14"/>
      </w:r>
      <w:r w:rsidR="0078405F">
        <w:t xml:space="preserve"> </w:t>
      </w:r>
      <w:r w:rsidR="00D365E6">
        <w:t>Furthermore,</w:t>
      </w:r>
      <w:r>
        <w:t xml:space="preserve"> the costs of Option 2 are </w:t>
      </w:r>
      <w:r w:rsidR="00B16660">
        <w:t>around 25</w:t>
      </w:r>
      <w:r w:rsidR="001A645C">
        <w:t xml:space="preserve"> per cent</w:t>
      </w:r>
      <w:r w:rsidR="00B16660">
        <w:t xml:space="preserve"> </w:t>
      </w:r>
      <w:r>
        <w:t>lower</w:t>
      </w:r>
      <w:r w:rsidR="00B16660">
        <w:t xml:space="preserve"> than other </w:t>
      </w:r>
      <w:r w:rsidR="00101768">
        <w:t>O</w:t>
      </w:r>
      <w:r w:rsidR="00B16660">
        <w:t>ption</w:t>
      </w:r>
      <w:r w:rsidR="00BF1CA9">
        <w:t xml:space="preserve"> 1</w:t>
      </w:r>
      <w:r>
        <w:t>.</w:t>
      </w:r>
    </w:p>
    <w:p w14:paraId="4989A84A" w14:textId="653B269D" w:rsidR="00125478" w:rsidRDefault="00125478" w:rsidP="00D07E17">
      <w:pPr>
        <w:spacing w:before="120" w:after="0" w:line="240" w:lineRule="auto"/>
      </w:pPr>
    </w:p>
    <w:p w14:paraId="42D989CB" w14:textId="77777777" w:rsidR="00125478" w:rsidRDefault="00125478" w:rsidP="00D07E17">
      <w:pPr>
        <w:spacing w:before="120" w:after="0" w:line="240" w:lineRule="auto"/>
      </w:pPr>
    </w:p>
    <w:p w14:paraId="350ABF66" w14:textId="7E267EA8" w:rsidR="00D07E17" w:rsidRDefault="00E754EB" w:rsidP="00D07E17">
      <w:pPr>
        <w:pStyle w:val="Caption"/>
      </w:pPr>
      <w:r>
        <w:lastRenderedPageBreak/>
        <w:t xml:space="preserve">Table 1 </w:t>
      </w:r>
      <w:r w:rsidR="00D07E17">
        <w:t>Benefits of phase out options, relative to the Base Case, over 10 years</w:t>
      </w:r>
    </w:p>
    <w:tbl>
      <w:tblPr>
        <w:tblStyle w:val="Deloittetable"/>
        <w:tblW w:w="5000" w:type="pct"/>
        <w:tblLayout w:type="fixed"/>
        <w:tblCellMar>
          <w:left w:w="57" w:type="dxa"/>
          <w:right w:w="57" w:type="dxa"/>
        </w:tblCellMar>
        <w:tblLook w:val="04A0" w:firstRow="1" w:lastRow="0" w:firstColumn="1" w:lastColumn="0" w:noHBand="0" w:noVBand="1"/>
      </w:tblPr>
      <w:tblGrid>
        <w:gridCol w:w="2256"/>
        <w:gridCol w:w="2256"/>
        <w:gridCol w:w="2257"/>
        <w:gridCol w:w="2257"/>
      </w:tblGrid>
      <w:tr w:rsidR="00D07E17" w:rsidRPr="00D84C5C" w14:paraId="3E0908F0" w14:textId="77777777" w:rsidTr="00125478">
        <w:trPr>
          <w:cnfStyle w:val="100000000000" w:firstRow="1" w:lastRow="0" w:firstColumn="0" w:lastColumn="0" w:oddVBand="0" w:evenVBand="0" w:oddHBand="0" w:evenHBand="0" w:firstRowFirstColumn="0" w:firstRowLastColumn="0" w:lastRowFirstColumn="0" w:lastRowLastColumn="0"/>
          <w:trHeight w:val="687"/>
        </w:trPr>
        <w:tc>
          <w:tcPr>
            <w:tcW w:w="1250" w:type="pct"/>
          </w:tcPr>
          <w:p w14:paraId="2E1BA809" w14:textId="10F20CD0" w:rsidR="00D07E17" w:rsidRPr="00D84C5C" w:rsidRDefault="00D07E17" w:rsidP="009A0399">
            <w:pPr>
              <w:spacing w:after="0" w:line="240" w:lineRule="auto"/>
              <w:rPr>
                <w:rFonts w:eastAsia="Times New Roman" w:cs="Times New Roman"/>
                <w:color w:val="000000"/>
                <w:lang w:eastAsia="en-AU"/>
              </w:rPr>
            </w:pPr>
          </w:p>
        </w:tc>
        <w:tc>
          <w:tcPr>
            <w:tcW w:w="1250" w:type="pct"/>
            <w:vAlign w:val="center"/>
          </w:tcPr>
          <w:p w14:paraId="760A2B5F" w14:textId="77777777" w:rsidR="00D07E17" w:rsidRPr="00D84C5C" w:rsidRDefault="00D07E17">
            <w:pPr>
              <w:spacing w:after="0" w:line="240" w:lineRule="auto"/>
              <w:jc w:val="center"/>
              <w:rPr>
                <w:rFonts w:eastAsia="Times New Roman" w:cs="Times New Roman"/>
                <w:b/>
                <w:bCs/>
                <w:color w:val="000000"/>
                <w:lang w:eastAsia="en-AU"/>
              </w:rPr>
            </w:pPr>
            <w:r>
              <w:rPr>
                <w:rFonts w:eastAsia="Times New Roman" w:cs="Times New Roman"/>
                <w:b/>
                <w:bCs/>
                <w:color w:val="000000"/>
                <w:lang w:eastAsia="en-AU"/>
              </w:rPr>
              <w:t>Base Case</w:t>
            </w:r>
          </w:p>
        </w:tc>
        <w:tc>
          <w:tcPr>
            <w:tcW w:w="1250" w:type="pct"/>
            <w:vAlign w:val="center"/>
            <w:hideMark/>
          </w:tcPr>
          <w:p w14:paraId="7F2ECE00" w14:textId="6296B91D" w:rsidR="00D07E17" w:rsidRPr="00D84C5C" w:rsidRDefault="00D07E17">
            <w:pPr>
              <w:spacing w:after="0" w:line="240" w:lineRule="auto"/>
              <w:jc w:val="center"/>
              <w:rPr>
                <w:rFonts w:eastAsia="Times New Roman" w:cs="Times New Roman"/>
                <w:b/>
                <w:bCs/>
                <w:color w:val="000000"/>
                <w:lang w:eastAsia="en-AU"/>
              </w:rPr>
            </w:pPr>
            <w:r>
              <w:rPr>
                <w:rFonts w:eastAsia="Times New Roman" w:cs="Times New Roman"/>
                <w:b/>
                <w:bCs/>
                <w:color w:val="000000"/>
                <w:lang w:eastAsia="en-AU"/>
              </w:rPr>
              <w:t xml:space="preserve">Option 1 </w:t>
            </w:r>
            <w:r w:rsidR="00001631">
              <w:rPr>
                <w:rFonts w:eastAsia="Times New Roman" w:cs="Times New Roman"/>
                <w:b/>
                <w:bCs/>
                <w:color w:val="000000"/>
                <w:lang w:eastAsia="en-AU"/>
              </w:rPr>
              <w:t xml:space="preserve">- </w:t>
            </w:r>
            <w:r>
              <w:rPr>
                <w:rFonts w:eastAsia="Times New Roman" w:cs="Times New Roman"/>
                <w:b/>
                <w:bCs/>
                <w:color w:val="000000"/>
                <w:lang w:eastAsia="en-AU"/>
              </w:rPr>
              <w:t>Restriction</w:t>
            </w:r>
            <w:r w:rsidRPr="00D84C5C">
              <w:rPr>
                <w:rFonts w:eastAsia="Times New Roman" w:cs="Times New Roman"/>
                <w:b/>
                <w:bCs/>
                <w:color w:val="000000"/>
                <w:lang w:eastAsia="en-AU"/>
              </w:rPr>
              <w:t xml:space="preserve"> </w:t>
            </w:r>
            <w:r>
              <w:rPr>
                <w:rFonts w:eastAsia="Times New Roman" w:cs="Times New Roman"/>
                <w:b/>
                <w:bCs/>
                <w:color w:val="000000"/>
                <w:lang w:eastAsia="en-AU"/>
              </w:rPr>
              <w:br/>
            </w:r>
            <w:r w:rsidRPr="00D84C5C">
              <w:rPr>
                <w:rFonts w:eastAsia="Times New Roman" w:cs="Times New Roman"/>
                <w:b/>
                <w:bCs/>
                <w:color w:val="000000"/>
                <w:lang w:eastAsia="en-AU"/>
              </w:rPr>
              <w:t>on all</w:t>
            </w:r>
            <w:r>
              <w:rPr>
                <w:rFonts w:eastAsia="Times New Roman" w:cs="Times New Roman"/>
                <w:b/>
                <w:bCs/>
                <w:color w:val="000000"/>
                <w:lang w:eastAsia="en-AU"/>
              </w:rPr>
              <w:t xml:space="preserve"> future </w:t>
            </w:r>
            <w:r w:rsidRPr="00D84C5C">
              <w:rPr>
                <w:rFonts w:eastAsia="Times New Roman" w:cs="Times New Roman"/>
                <w:b/>
                <w:bCs/>
                <w:color w:val="000000"/>
                <w:lang w:eastAsia="en-AU"/>
              </w:rPr>
              <w:t>installations</w:t>
            </w:r>
            <w:r w:rsidR="00101768">
              <w:rPr>
                <w:rFonts w:eastAsia="Times New Roman" w:cs="Times New Roman"/>
                <w:b/>
                <w:bCs/>
                <w:color w:val="000000"/>
                <w:lang w:eastAsia="en-AU"/>
              </w:rPr>
              <w:t xml:space="preserve"> through regulatory change</w:t>
            </w:r>
          </w:p>
        </w:tc>
        <w:tc>
          <w:tcPr>
            <w:tcW w:w="1250" w:type="pct"/>
            <w:vAlign w:val="center"/>
            <w:hideMark/>
          </w:tcPr>
          <w:p w14:paraId="41A1C4D2" w14:textId="36955E50" w:rsidR="00D07E17" w:rsidRPr="00D84C5C" w:rsidRDefault="00D07E17">
            <w:pPr>
              <w:spacing w:after="0" w:line="240" w:lineRule="auto"/>
              <w:jc w:val="center"/>
              <w:rPr>
                <w:rFonts w:eastAsia="Times New Roman" w:cs="Times New Roman"/>
                <w:b/>
                <w:bCs/>
                <w:color w:val="000000"/>
                <w:lang w:eastAsia="en-AU"/>
              </w:rPr>
            </w:pPr>
            <w:r>
              <w:rPr>
                <w:rFonts w:eastAsia="Times New Roman" w:cs="Times New Roman"/>
                <w:b/>
                <w:bCs/>
                <w:color w:val="000000"/>
                <w:lang w:eastAsia="en-AU"/>
              </w:rPr>
              <w:t xml:space="preserve">Option 2 </w:t>
            </w:r>
            <w:r w:rsidR="00001631">
              <w:rPr>
                <w:rFonts w:eastAsia="Times New Roman" w:cs="Times New Roman"/>
                <w:b/>
                <w:bCs/>
                <w:color w:val="000000"/>
                <w:lang w:eastAsia="en-AU"/>
              </w:rPr>
              <w:t xml:space="preserve">- </w:t>
            </w:r>
            <w:r w:rsidRPr="00D84C5C">
              <w:rPr>
                <w:rFonts w:eastAsia="Times New Roman" w:cs="Times New Roman"/>
                <w:b/>
                <w:bCs/>
                <w:color w:val="000000"/>
                <w:lang w:eastAsia="en-AU"/>
              </w:rPr>
              <w:t xml:space="preserve">Phase out through a </w:t>
            </w:r>
            <w:r w:rsidR="009F48C8">
              <w:rPr>
                <w:rFonts w:eastAsia="Times New Roman" w:cs="Times New Roman"/>
                <w:b/>
                <w:bCs/>
                <w:color w:val="000000"/>
                <w:lang w:eastAsia="en-AU"/>
              </w:rPr>
              <w:t xml:space="preserve">fast-tracked </w:t>
            </w:r>
            <w:r w:rsidR="007F1C4B" w:rsidRPr="00D84C5C">
              <w:rPr>
                <w:rFonts w:eastAsia="Times New Roman" w:cs="Times New Roman"/>
                <w:b/>
                <w:bCs/>
                <w:color w:val="000000"/>
                <w:lang w:eastAsia="en-AU"/>
              </w:rPr>
              <w:t>standards-based</w:t>
            </w:r>
            <w:r w:rsidRPr="00D84C5C">
              <w:rPr>
                <w:rFonts w:eastAsia="Times New Roman" w:cs="Times New Roman"/>
                <w:b/>
                <w:bCs/>
                <w:color w:val="000000"/>
                <w:lang w:eastAsia="en-AU"/>
              </w:rPr>
              <w:t xml:space="preserve"> approach</w:t>
            </w:r>
          </w:p>
        </w:tc>
      </w:tr>
      <w:tr w:rsidR="00D07E17" w:rsidRPr="00D84C5C" w14:paraId="53E6ED2C" w14:textId="77777777" w:rsidTr="00EC5F9E">
        <w:trPr>
          <w:trHeight w:val="334"/>
        </w:trPr>
        <w:tc>
          <w:tcPr>
            <w:tcW w:w="1250" w:type="pct"/>
            <w:hideMark/>
          </w:tcPr>
          <w:p w14:paraId="7BA8C59C" w14:textId="77777777" w:rsidR="00D07E17" w:rsidRPr="00BB341C" w:rsidRDefault="00D07E17" w:rsidP="009A0399">
            <w:pPr>
              <w:spacing w:after="0" w:line="240" w:lineRule="auto"/>
              <w:rPr>
                <w:rFonts w:eastAsia="Times New Roman" w:cs="Times New Roman"/>
                <w:b/>
                <w:color w:val="000000"/>
                <w:lang w:eastAsia="en-AU"/>
              </w:rPr>
            </w:pPr>
            <w:r>
              <w:rPr>
                <w:rFonts w:eastAsia="Times New Roman" w:cs="Times New Roman"/>
                <w:b/>
                <w:color w:val="000000"/>
                <w:lang w:eastAsia="en-AU"/>
              </w:rPr>
              <w:t>Total estimated cost of options</w:t>
            </w:r>
          </w:p>
        </w:tc>
        <w:tc>
          <w:tcPr>
            <w:tcW w:w="1250" w:type="pct"/>
            <w:vAlign w:val="center"/>
          </w:tcPr>
          <w:p w14:paraId="14B1FD7E" w14:textId="77777777" w:rsidR="00D07E17" w:rsidRPr="00271683" w:rsidRDefault="00D07E17" w:rsidP="009A0399">
            <w:pPr>
              <w:spacing w:after="0" w:line="240" w:lineRule="auto"/>
              <w:jc w:val="center"/>
              <w:rPr>
                <w:rFonts w:eastAsia="Times New Roman" w:cs="Times New Roman"/>
                <w:color w:val="000000"/>
                <w:lang w:eastAsia="en-AU"/>
              </w:rPr>
            </w:pPr>
            <w:r w:rsidRPr="00D84C5C">
              <w:rPr>
                <w:rFonts w:eastAsia="Times New Roman" w:cs="Times New Roman"/>
                <w:b/>
                <w:color w:val="000000"/>
                <w:lang w:eastAsia="en-AU"/>
              </w:rPr>
              <w:t>$0</w:t>
            </w:r>
          </w:p>
        </w:tc>
        <w:tc>
          <w:tcPr>
            <w:tcW w:w="1250" w:type="pct"/>
            <w:vAlign w:val="center"/>
          </w:tcPr>
          <w:p w14:paraId="0B567C28" w14:textId="77777777" w:rsidR="00D07E17" w:rsidRPr="0072001E" w:rsidRDefault="00D07E17" w:rsidP="009A0399">
            <w:pPr>
              <w:spacing w:after="0" w:line="240" w:lineRule="auto"/>
              <w:jc w:val="center"/>
              <w:rPr>
                <w:rFonts w:eastAsia="Times New Roman" w:cs="Times New Roman"/>
                <w:color w:val="000000"/>
                <w:highlight w:val="cyan"/>
                <w:lang w:eastAsia="en-AU"/>
              </w:rPr>
            </w:pPr>
            <w:r w:rsidRPr="004A1994">
              <w:rPr>
                <w:rFonts w:eastAsia="Times New Roman" w:cs="Times New Roman"/>
                <w:b/>
                <w:sz w:val="16"/>
                <w:szCs w:val="16"/>
                <w:lang w:eastAsia="en-AU"/>
              </w:rPr>
              <w:t>$</w:t>
            </w:r>
            <w:r w:rsidRPr="008E3D5E">
              <w:rPr>
                <w:b/>
                <w:bCs/>
                <w:color w:val="000000"/>
                <w:sz w:val="16"/>
                <w:szCs w:val="16"/>
              </w:rPr>
              <w:t>6,126,089</w:t>
            </w:r>
          </w:p>
        </w:tc>
        <w:tc>
          <w:tcPr>
            <w:tcW w:w="1250" w:type="pct"/>
            <w:vAlign w:val="center"/>
          </w:tcPr>
          <w:p w14:paraId="0FE5B28C" w14:textId="77777777" w:rsidR="00D07E17" w:rsidRPr="0072001E" w:rsidRDefault="00D07E17" w:rsidP="009A0399">
            <w:pPr>
              <w:spacing w:after="0" w:line="240" w:lineRule="auto"/>
              <w:jc w:val="center"/>
              <w:rPr>
                <w:rFonts w:eastAsia="Times New Roman" w:cs="Times New Roman"/>
                <w:color w:val="000000"/>
                <w:highlight w:val="cyan"/>
                <w:lang w:eastAsia="en-AU"/>
              </w:rPr>
            </w:pPr>
            <w:r w:rsidRPr="00AF4D76">
              <w:rPr>
                <w:rFonts w:eastAsia="Times New Roman" w:cs="Times New Roman"/>
                <w:b/>
                <w:sz w:val="16"/>
                <w:szCs w:val="16"/>
                <w:lang w:eastAsia="en-AU"/>
              </w:rPr>
              <w:t>$</w:t>
            </w:r>
            <w:r>
              <w:rPr>
                <w:rFonts w:eastAsia="Times New Roman" w:cs="Times New Roman"/>
                <w:b/>
                <w:sz w:val="16"/>
                <w:szCs w:val="16"/>
                <w:lang w:eastAsia="en-AU"/>
              </w:rPr>
              <w:t>4,917,344</w:t>
            </w:r>
          </w:p>
        </w:tc>
      </w:tr>
      <w:tr w:rsidR="00D07E17" w:rsidRPr="00D84C5C" w14:paraId="03059C9E" w14:textId="77777777" w:rsidTr="00EC5F9E">
        <w:trPr>
          <w:trHeight w:val="134"/>
        </w:trPr>
        <w:tc>
          <w:tcPr>
            <w:tcW w:w="1250" w:type="pct"/>
          </w:tcPr>
          <w:p w14:paraId="5D25929D" w14:textId="77777777" w:rsidR="00D07E17" w:rsidRPr="00DE3B87" w:rsidRDefault="00D07E17" w:rsidP="009A0399">
            <w:pPr>
              <w:spacing w:after="0" w:line="240" w:lineRule="auto"/>
              <w:rPr>
                <w:b/>
              </w:rPr>
            </w:pPr>
          </w:p>
        </w:tc>
        <w:tc>
          <w:tcPr>
            <w:tcW w:w="1250" w:type="pct"/>
            <w:vAlign w:val="center"/>
          </w:tcPr>
          <w:p w14:paraId="057684E1" w14:textId="77777777" w:rsidR="00D07E17" w:rsidRPr="00DE3B87" w:rsidRDefault="00D07E17" w:rsidP="009A0399">
            <w:pPr>
              <w:spacing w:after="0" w:line="240" w:lineRule="auto"/>
              <w:jc w:val="center"/>
              <w:rPr>
                <w:rFonts w:eastAsia="Times New Roman" w:cs="Times New Roman"/>
                <w:b/>
                <w:color w:val="000000"/>
                <w:lang w:eastAsia="en-AU"/>
              </w:rPr>
            </w:pPr>
          </w:p>
        </w:tc>
        <w:tc>
          <w:tcPr>
            <w:tcW w:w="1250" w:type="pct"/>
            <w:vAlign w:val="center"/>
          </w:tcPr>
          <w:p w14:paraId="2ED4582C" w14:textId="77777777" w:rsidR="00D07E17" w:rsidRPr="00DE3B87" w:rsidRDefault="00D07E17" w:rsidP="009A0399">
            <w:pPr>
              <w:spacing w:after="0" w:line="240" w:lineRule="auto"/>
              <w:jc w:val="center"/>
              <w:rPr>
                <w:rFonts w:eastAsia="Times New Roman" w:cs="Times New Roman"/>
                <w:b/>
                <w:color w:val="000000"/>
                <w:lang w:eastAsia="en-AU"/>
              </w:rPr>
            </w:pPr>
          </w:p>
        </w:tc>
        <w:tc>
          <w:tcPr>
            <w:tcW w:w="1250" w:type="pct"/>
            <w:vAlign w:val="center"/>
          </w:tcPr>
          <w:p w14:paraId="23475ED0" w14:textId="77777777" w:rsidR="00D07E17" w:rsidRPr="00DE3B87" w:rsidRDefault="00D07E17" w:rsidP="009A0399">
            <w:pPr>
              <w:spacing w:after="0" w:line="240" w:lineRule="auto"/>
              <w:jc w:val="center"/>
              <w:rPr>
                <w:rFonts w:eastAsia="Times New Roman" w:cs="Times New Roman"/>
                <w:b/>
                <w:color w:val="000000"/>
                <w:lang w:eastAsia="en-AU"/>
              </w:rPr>
            </w:pPr>
          </w:p>
        </w:tc>
      </w:tr>
      <w:tr w:rsidR="00D07E17" w:rsidRPr="00D84C5C" w14:paraId="3401A25C" w14:textId="77777777" w:rsidTr="006D1695">
        <w:trPr>
          <w:trHeight w:val="334"/>
        </w:trPr>
        <w:tc>
          <w:tcPr>
            <w:tcW w:w="5000" w:type="pct"/>
            <w:gridSpan w:val="4"/>
            <w:tcBorders>
              <w:bottom w:val="single" w:sz="4" w:space="0" w:color="auto"/>
            </w:tcBorders>
            <w:shd w:val="clear" w:color="auto" w:fill="DFF0F9" w:themeFill="accent3" w:themeFillTint="33"/>
            <w:vAlign w:val="center"/>
          </w:tcPr>
          <w:p w14:paraId="18EE936F" w14:textId="446D1497" w:rsidR="00D07E17" w:rsidRPr="0028041D" w:rsidRDefault="006D1695" w:rsidP="000276F0">
            <w:pPr>
              <w:spacing w:after="0" w:line="240" w:lineRule="auto"/>
              <w:rPr>
                <w:rFonts w:eastAsia="Times New Roman" w:cs="Times New Roman"/>
                <w:b/>
                <w:bCs/>
                <w:lang w:eastAsia="en-AU"/>
              </w:rPr>
            </w:pPr>
            <w:r>
              <w:rPr>
                <w:rFonts w:eastAsia="Times New Roman" w:cs="Times New Roman"/>
                <w:b/>
                <w:bCs/>
                <w:lang w:eastAsia="en-AU"/>
              </w:rPr>
              <w:t>Avoided deaths and illnesses</w:t>
            </w:r>
          </w:p>
        </w:tc>
      </w:tr>
      <w:tr w:rsidR="00D07E17" w:rsidRPr="00D84C5C" w14:paraId="4DC34675" w14:textId="77777777" w:rsidTr="00125478">
        <w:trPr>
          <w:trHeight w:val="334"/>
        </w:trPr>
        <w:tc>
          <w:tcPr>
            <w:tcW w:w="1250" w:type="pct"/>
            <w:tcBorders>
              <w:top w:val="single" w:sz="4" w:space="0" w:color="auto"/>
              <w:bottom w:val="nil"/>
            </w:tcBorders>
            <w:vAlign w:val="center"/>
          </w:tcPr>
          <w:p w14:paraId="3DBE6C1A" w14:textId="03E70532" w:rsidR="00D07E17" w:rsidRDefault="00D07E17" w:rsidP="009A0399">
            <w:pPr>
              <w:spacing w:after="0" w:line="240" w:lineRule="auto"/>
            </w:pPr>
            <w:r>
              <w:t>Number of lives saved</w:t>
            </w:r>
            <w:r w:rsidR="00861045">
              <w:rPr>
                <w:rStyle w:val="FootnoteReference"/>
              </w:rPr>
              <w:footnoteReference w:id="15"/>
            </w:r>
          </w:p>
        </w:tc>
        <w:tc>
          <w:tcPr>
            <w:tcW w:w="1250" w:type="pct"/>
            <w:tcBorders>
              <w:top w:val="single" w:sz="4" w:space="0" w:color="auto"/>
              <w:bottom w:val="nil"/>
            </w:tcBorders>
            <w:vAlign w:val="center"/>
          </w:tcPr>
          <w:p w14:paraId="4D4602A0" w14:textId="77777777" w:rsidR="00D07E17" w:rsidRPr="00271683" w:rsidRDefault="00D07E17" w:rsidP="009A0399">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250" w:type="pct"/>
            <w:tcBorders>
              <w:top w:val="single" w:sz="4" w:space="0" w:color="auto"/>
              <w:bottom w:val="nil"/>
            </w:tcBorders>
            <w:vAlign w:val="center"/>
          </w:tcPr>
          <w:p w14:paraId="11DFA485" w14:textId="03528B00" w:rsidR="00D07E17" w:rsidRPr="00AB4CAD" w:rsidRDefault="00D07E17" w:rsidP="009A0399">
            <w:pPr>
              <w:spacing w:after="0" w:line="240" w:lineRule="auto"/>
              <w:jc w:val="center"/>
              <w:rPr>
                <w:rFonts w:eastAsia="Times New Roman" w:cs="Times New Roman"/>
                <w:color w:val="000000"/>
                <w:lang w:eastAsia="en-AU"/>
              </w:rPr>
            </w:pPr>
            <w:r w:rsidRPr="00E85FE1">
              <w:rPr>
                <w:rFonts w:eastAsia="Times New Roman" w:cs="Times New Roman"/>
                <w:color w:val="000000"/>
                <w:sz w:val="16"/>
                <w:szCs w:val="16"/>
                <w:lang w:eastAsia="en-AU"/>
              </w:rPr>
              <w:t>0.0</w:t>
            </w:r>
            <w:r>
              <w:rPr>
                <w:rFonts w:eastAsia="Times New Roman" w:cs="Times New Roman"/>
                <w:color w:val="000000"/>
                <w:sz w:val="16"/>
                <w:szCs w:val="16"/>
                <w:lang w:eastAsia="en-AU"/>
              </w:rPr>
              <w:t>6</w:t>
            </w:r>
          </w:p>
        </w:tc>
        <w:tc>
          <w:tcPr>
            <w:tcW w:w="1250" w:type="pct"/>
            <w:tcBorders>
              <w:top w:val="single" w:sz="4" w:space="0" w:color="auto"/>
              <w:bottom w:val="nil"/>
            </w:tcBorders>
            <w:vAlign w:val="center"/>
          </w:tcPr>
          <w:p w14:paraId="4BB7477A" w14:textId="77777777" w:rsidR="00D07E17" w:rsidRPr="00441A93" w:rsidRDefault="00D07E17" w:rsidP="009A0399">
            <w:pPr>
              <w:spacing w:after="0" w:line="240" w:lineRule="auto"/>
              <w:jc w:val="center"/>
              <w:rPr>
                <w:rFonts w:eastAsia="Times New Roman" w:cs="Times New Roman"/>
                <w:color w:val="000000"/>
                <w:lang w:eastAsia="en-AU"/>
              </w:rPr>
            </w:pPr>
            <w:r w:rsidRPr="00AF4D76">
              <w:rPr>
                <w:rFonts w:eastAsia="Times New Roman" w:cs="Times New Roman"/>
                <w:color w:val="000000"/>
                <w:sz w:val="16"/>
                <w:szCs w:val="16"/>
                <w:lang w:eastAsia="en-AU"/>
              </w:rPr>
              <w:t>0.0</w:t>
            </w:r>
            <w:r>
              <w:rPr>
                <w:rFonts w:eastAsia="Times New Roman" w:cs="Times New Roman"/>
                <w:color w:val="000000"/>
                <w:sz w:val="16"/>
                <w:szCs w:val="16"/>
                <w:lang w:eastAsia="en-AU"/>
              </w:rPr>
              <w:t>5</w:t>
            </w:r>
          </w:p>
        </w:tc>
      </w:tr>
      <w:tr w:rsidR="00D07E17" w:rsidRPr="00441A93" w14:paraId="5FDDB961" w14:textId="77777777" w:rsidTr="00125478">
        <w:trPr>
          <w:trHeight w:val="334"/>
        </w:trPr>
        <w:tc>
          <w:tcPr>
            <w:tcW w:w="1250" w:type="pct"/>
            <w:tcBorders>
              <w:top w:val="nil"/>
            </w:tcBorders>
            <w:vAlign w:val="center"/>
          </w:tcPr>
          <w:p w14:paraId="5772D06B" w14:textId="77777777" w:rsidR="00D07E17" w:rsidRDefault="00D07E17" w:rsidP="009A0399">
            <w:pPr>
              <w:spacing w:after="0" w:line="240" w:lineRule="auto"/>
            </w:pPr>
            <w:r>
              <w:t>Lives saved</w:t>
            </w:r>
          </w:p>
        </w:tc>
        <w:tc>
          <w:tcPr>
            <w:tcW w:w="1250" w:type="pct"/>
            <w:tcBorders>
              <w:top w:val="nil"/>
            </w:tcBorders>
            <w:vAlign w:val="center"/>
          </w:tcPr>
          <w:p w14:paraId="6AB27182" w14:textId="77777777" w:rsidR="00D07E17" w:rsidRPr="00271683" w:rsidRDefault="00D07E17" w:rsidP="009A0399">
            <w:pPr>
              <w:spacing w:after="0" w:line="240" w:lineRule="auto"/>
              <w:jc w:val="center"/>
              <w:rPr>
                <w:rFonts w:eastAsia="Times New Roman" w:cs="Times New Roman"/>
                <w:color w:val="000000"/>
                <w:lang w:eastAsia="en-AU"/>
              </w:rPr>
            </w:pPr>
            <w:r w:rsidRPr="00271683">
              <w:rPr>
                <w:rFonts w:eastAsia="Times New Roman" w:cs="Times New Roman"/>
                <w:color w:val="000000"/>
                <w:lang w:eastAsia="en-AU"/>
              </w:rPr>
              <w:t>$0</w:t>
            </w:r>
          </w:p>
        </w:tc>
        <w:tc>
          <w:tcPr>
            <w:tcW w:w="1250" w:type="pct"/>
            <w:tcBorders>
              <w:top w:val="nil"/>
            </w:tcBorders>
            <w:vAlign w:val="center"/>
          </w:tcPr>
          <w:p w14:paraId="5AB983DB" w14:textId="77777777" w:rsidR="00D07E17" w:rsidRPr="00AB4CAD" w:rsidRDefault="00D07E17" w:rsidP="009A0399">
            <w:pPr>
              <w:spacing w:after="0" w:line="240" w:lineRule="auto"/>
              <w:jc w:val="center"/>
              <w:rPr>
                <w:rFonts w:eastAsia="Times New Roman" w:cs="Times New Roman"/>
                <w:color w:val="000000"/>
                <w:lang w:eastAsia="en-AU"/>
              </w:rPr>
            </w:pPr>
            <w:r w:rsidRPr="007161D6">
              <w:rPr>
                <w:rFonts w:eastAsia="Times New Roman" w:cs="Times New Roman"/>
                <w:color w:val="000000"/>
                <w:sz w:val="16"/>
                <w:szCs w:val="16"/>
                <w:lang w:eastAsia="en-AU"/>
              </w:rPr>
              <w:t>$</w:t>
            </w:r>
            <w:r>
              <w:rPr>
                <w:rFonts w:eastAsia="Times New Roman" w:cs="Times New Roman"/>
                <w:color w:val="000000"/>
                <w:sz w:val="16"/>
                <w:szCs w:val="16"/>
                <w:lang w:eastAsia="en-AU"/>
              </w:rPr>
              <w:t>346,325</w:t>
            </w:r>
          </w:p>
        </w:tc>
        <w:tc>
          <w:tcPr>
            <w:tcW w:w="1250" w:type="pct"/>
            <w:tcBorders>
              <w:top w:val="nil"/>
            </w:tcBorders>
            <w:vAlign w:val="center"/>
          </w:tcPr>
          <w:p w14:paraId="1A045D86" w14:textId="77777777" w:rsidR="00D07E17" w:rsidRPr="00441A93" w:rsidRDefault="00D07E17" w:rsidP="009A0399">
            <w:pPr>
              <w:spacing w:after="0" w:line="240" w:lineRule="auto"/>
              <w:jc w:val="center"/>
              <w:rPr>
                <w:rFonts w:eastAsia="Times New Roman" w:cs="Times New Roman"/>
                <w:color w:val="000000"/>
                <w:lang w:eastAsia="en-AU"/>
              </w:rPr>
            </w:pPr>
            <w:r w:rsidRPr="00AF4D76">
              <w:rPr>
                <w:rFonts w:eastAsia="Times New Roman" w:cs="Times New Roman"/>
                <w:color w:val="000000"/>
                <w:sz w:val="16"/>
                <w:szCs w:val="16"/>
                <w:lang w:eastAsia="en-AU"/>
              </w:rPr>
              <w:t>$</w:t>
            </w:r>
            <w:r>
              <w:rPr>
                <w:rFonts w:eastAsia="Times New Roman" w:cs="Times New Roman"/>
                <w:color w:val="000000"/>
                <w:sz w:val="16"/>
                <w:szCs w:val="16"/>
                <w:lang w:eastAsia="en-AU"/>
              </w:rPr>
              <w:t>256,908</w:t>
            </w:r>
          </w:p>
        </w:tc>
      </w:tr>
      <w:tr w:rsidR="00D07E17" w:rsidRPr="00D84C5C" w14:paraId="45946955" w14:textId="77777777" w:rsidTr="00125478">
        <w:trPr>
          <w:trHeight w:val="334"/>
        </w:trPr>
        <w:tc>
          <w:tcPr>
            <w:tcW w:w="1250" w:type="pct"/>
            <w:tcBorders>
              <w:bottom w:val="nil"/>
            </w:tcBorders>
            <w:vAlign w:val="center"/>
          </w:tcPr>
          <w:p w14:paraId="581DA0FE" w14:textId="70AF847E" w:rsidR="00D07E17" w:rsidRDefault="00D07E17" w:rsidP="009A0399">
            <w:pPr>
              <w:spacing w:after="0" w:line="240" w:lineRule="auto"/>
            </w:pPr>
            <w:r>
              <w:t>Number of serious non-fatal illnesses</w:t>
            </w:r>
            <w:r w:rsidR="00861045">
              <w:rPr>
                <w:rStyle w:val="FootnoteReference"/>
              </w:rPr>
              <w:footnoteReference w:id="16"/>
            </w:r>
            <w:r>
              <w:t xml:space="preserve"> </w:t>
            </w:r>
          </w:p>
        </w:tc>
        <w:tc>
          <w:tcPr>
            <w:tcW w:w="1250" w:type="pct"/>
            <w:tcBorders>
              <w:bottom w:val="nil"/>
            </w:tcBorders>
            <w:vAlign w:val="center"/>
          </w:tcPr>
          <w:p w14:paraId="03B6198D" w14:textId="77777777" w:rsidR="00D07E17" w:rsidRPr="00271683" w:rsidRDefault="00D07E17" w:rsidP="009A0399">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250" w:type="pct"/>
            <w:tcBorders>
              <w:bottom w:val="nil"/>
            </w:tcBorders>
            <w:vAlign w:val="center"/>
          </w:tcPr>
          <w:p w14:paraId="7BFEF190" w14:textId="212E19BF" w:rsidR="00D07E17" w:rsidRPr="00AB4CAD" w:rsidRDefault="00D07E17" w:rsidP="009A0399">
            <w:pPr>
              <w:spacing w:after="0" w:line="240" w:lineRule="auto"/>
              <w:jc w:val="center"/>
              <w:rPr>
                <w:rFonts w:eastAsia="Times New Roman" w:cs="Times New Roman"/>
                <w:color w:val="000000"/>
                <w:lang w:eastAsia="en-AU"/>
              </w:rPr>
            </w:pPr>
            <w:r w:rsidRPr="00E85FE1">
              <w:rPr>
                <w:rFonts w:eastAsia="Times New Roman" w:cs="Times New Roman"/>
                <w:color w:val="000000"/>
                <w:sz w:val="16"/>
                <w:szCs w:val="16"/>
                <w:lang w:eastAsia="en-AU"/>
              </w:rPr>
              <w:t>0.1</w:t>
            </w:r>
            <w:r>
              <w:rPr>
                <w:rFonts w:eastAsia="Times New Roman" w:cs="Times New Roman"/>
                <w:color w:val="000000"/>
                <w:sz w:val="16"/>
                <w:szCs w:val="16"/>
                <w:lang w:eastAsia="en-AU"/>
              </w:rPr>
              <w:t>3</w:t>
            </w:r>
          </w:p>
        </w:tc>
        <w:tc>
          <w:tcPr>
            <w:tcW w:w="1250" w:type="pct"/>
            <w:tcBorders>
              <w:bottom w:val="nil"/>
            </w:tcBorders>
            <w:vAlign w:val="center"/>
          </w:tcPr>
          <w:p w14:paraId="7E861C1E" w14:textId="77777777" w:rsidR="00D07E17" w:rsidRPr="00441A93" w:rsidRDefault="00D07E17" w:rsidP="009A0399">
            <w:pPr>
              <w:spacing w:after="0" w:line="240" w:lineRule="auto"/>
              <w:jc w:val="center"/>
              <w:rPr>
                <w:rFonts w:eastAsia="Times New Roman" w:cs="Times New Roman"/>
                <w:color w:val="000000"/>
                <w:lang w:eastAsia="en-AU"/>
              </w:rPr>
            </w:pPr>
            <w:r w:rsidRPr="00AF4D76">
              <w:rPr>
                <w:rFonts w:eastAsia="Times New Roman" w:cs="Times New Roman"/>
                <w:color w:val="000000"/>
                <w:sz w:val="16"/>
                <w:szCs w:val="16"/>
                <w:lang w:eastAsia="en-AU"/>
              </w:rPr>
              <w:t>0.0</w:t>
            </w:r>
            <w:r>
              <w:rPr>
                <w:rFonts w:eastAsia="Times New Roman" w:cs="Times New Roman"/>
                <w:color w:val="000000"/>
                <w:sz w:val="16"/>
                <w:szCs w:val="16"/>
                <w:lang w:eastAsia="en-AU"/>
              </w:rPr>
              <w:t>9</w:t>
            </w:r>
          </w:p>
        </w:tc>
      </w:tr>
      <w:tr w:rsidR="00D07E17" w:rsidRPr="00D84C5C" w14:paraId="03FB46FC" w14:textId="77777777" w:rsidTr="00125478">
        <w:trPr>
          <w:trHeight w:val="334"/>
        </w:trPr>
        <w:tc>
          <w:tcPr>
            <w:tcW w:w="1250" w:type="pct"/>
            <w:tcBorders>
              <w:top w:val="nil"/>
            </w:tcBorders>
            <w:vAlign w:val="center"/>
            <w:hideMark/>
          </w:tcPr>
          <w:p w14:paraId="6999BE6A" w14:textId="77777777" w:rsidR="00D07E17" w:rsidRPr="00271683" w:rsidRDefault="00D07E17" w:rsidP="009A0399">
            <w:pPr>
              <w:spacing w:after="0" w:line="240" w:lineRule="auto"/>
              <w:rPr>
                <w:rFonts w:eastAsia="Times New Roman" w:cs="Times New Roman"/>
                <w:color w:val="000000"/>
                <w:lang w:eastAsia="en-AU"/>
              </w:rPr>
            </w:pPr>
            <w:r>
              <w:t>Avoided serious non-fatal illnesses</w:t>
            </w:r>
          </w:p>
        </w:tc>
        <w:tc>
          <w:tcPr>
            <w:tcW w:w="1250" w:type="pct"/>
            <w:tcBorders>
              <w:top w:val="nil"/>
            </w:tcBorders>
            <w:vAlign w:val="center"/>
          </w:tcPr>
          <w:p w14:paraId="4A2ACEDC" w14:textId="77777777" w:rsidR="00D07E17" w:rsidRPr="00271683" w:rsidRDefault="00D07E17" w:rsidP="009A0399">
            <w:pPr>
              <w:spacing w:after="0" w:line="240" w:lineRule="auto"/>
              <w:jc w:val="center"/>
              <w:rPr>
                <w:rFonts w:eastAsia="Times New Roman" w:cs="Times New Roman"/>
                <w:color w:val="000000"/>
                <w:lang w:eastAsia="en-AU"/>
              </w:rPr>
            </w:pPr>
            <w:r w:rsidRPr="00271683">
              <w:rPr>
                <w:rFonts w:eastAsia="Times New Roman" w:cs="Times New Roman"/>
                <w:color w:val="000000"/>
                <w:lang w:eastAsia="en-AU"/>
              </w:rPr>
              <w:t>$0</w:t>
            </w:r>
          </w:p>
        </w:tc>
        <w:tc>
          <w:tcPr>
            <w:tcW w:w="1250" w:type="pct"/>
            <w:tcBorders>
              <w:top w:val="nil"/>
            </w:tcBorders>
            <w:vAlign w:val="center"/>
          </w:tcPr>
          <w:p w14:paraId="674EAC68" w14:textId="77777777" w:rsidR="00D07E17" w:rsidRPr="00BC40D7" w:rsidRDefault="00D07E17" w:rsidP="009A0399">
            <w:pPr>
              <w:spacing w:after="0" w:line="240" w:lineRule="auto"/>
              <w:jc w:val="center"/>
              <w:rPr>
                <w:rFonts w:eastAsia="Times New Roman" w:cs="Times New Roman"/>
                <w:color w:val="000000"/>
                <w:lang w:eastAsia="en-AU"/>
              </w:rPr>
            </w:pPr>
            <w:r w:rsidRPr="00E85FE1">
              <w:rPr>
                <w:sz w:val="16"/>
                <w:szCs w:val="16"/>
              </w:rPr>
              <w:t>$</w:t>
            </w:r>
            <w:r>
              <w:rPr>
                <w:sz w:val="16"/>
                <w:szCs w:val="16"/>
              </w:rPr>
              <w:t>161,715</w:t>
            </w:r>
          </w:p>
        </w:tc>
        <w:tc>
          <w:tcPr>
            <w:tcW w:w="1250" w:type="pct"/>
            <w:tcBorders>
              <w:top w:val="nil"/>
            </w:tcBorders>
            <w:vAlign w:val="center"/>
          </w:tcPr>
          <w:p w14:paraId="5038ED7E" w14:textId="77777777" w:rsidR="00D07E17" w:rsidRPr="00BC40D7" w:rsidRDefault="00D07E17" w:rsidP="009A0399">
            <w:pPr>
              <w:spacing w:after="0" w:line="240" w:lineRule="auto"/>
              <w:jc w:val="center"/>
              <w:rPr>
                <w:rFonts w:eastAsia="Times New Roman" w:cs="Times New Roman"/>
                <w:color w:val="000000"/>
                <w:lang w:eastAsia="en-AU"/>
              </w:rPr>
            </w:pPr>
            <w:r w:rsidRPr="00AF4D76">
              <w:rPr>
                <w:sz w:val="16"/>
                <w:szCs w:val="16"/>
              </w:rPr>
              <w:t>$</w:t>
            </w:r>
            <w:r>
              <w:rPr>
                <w:sz w:val="16"/>
                <w:szCs w:val="16"/>
              </w:rPr>
              <w:t>119,962</w:t>
            </w:r>
          </w:p>
        </w:tc>
      </w:tr>
      <w:tr w:rsidR="00D07E17" w:rsidRPr="00D84C5C" w14:paraId="74FE8C5D" w14:textId="77777777" w:rsidTr="00125478">
        <w:trPr>
          <w:trHeight w:val="334"/>
        </w:trPr>
        <w:tc>
          <w:tcPr>
            <w:tcW w:w="1250" w:type="pct"/>
            <w:tcBorders>
              <w:top w:val="nil"/>
              <w:bottom w:val="nil"/>
            </w:tcBorders>
            <w:vAlign w:val="center"/>
          </w:tcPr>
          <w:p w14:paraId="59DEE2C6" w14:textId="23298208" w:rsidR="00D07E17" w:rsidRDefault="00D07E17" w:rsidP="009A0399">
            <w:pPr>
              <w:spacing w:after="0" w:line="240" w:lineRule="auto"/>
            </w:pPr>
            <w:r>
              <w:t>Number of avoided low level illnesses</w:t>
            </w:r>
            <w:r w:rsidR="002B1F95">
              <w:rPr>
                <w:rStyle w:val="FootnoteReference"/>
              </w:rPr>
              <w:footnoteReference w:id="17"/>
            </w:r>
            <w:r>
              <w:t xml:space="preserve"> </w:t>
            </w:r>
          </w:p>
        </w:tc>
        <w:tc>
          <w:tcPr>
            <w:tcW w:w="1250" w:type="pct"/>
            <w:tcBorders>
              <w:top w:val="nil"/>
              <w:bottom w:val="nil"/>
            </w:tcBorders>
            <w:vAlign w:val="center"/>
          </w:tcPr>
          <w:p w14:paraId="56AEACBB" w14:textId="77777777" w:rsidR="00D07E17" w:rsidRPr="00271683" w:rsidRDefault="00D07E17" w:rsidP="009A0399">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250" w:type="pct"/>
            <w:tcBorders>
              <w:top w:val="nil"/>
              <w:bottom w:val="nil"/>
            </w:tcBorders>
            <w:vAlign w:val="center"/>
          </w:tcPr>
          <w:p w14:paraId="062563DE" w14:textId="77777777" w:rsidR="00D07E17" w:rsidRPr="00BC40D7" w:rsidRDefault="00D07E17" w:rsidP="009A0399">
            <w:pPr>
              <w:spacing w:after="0" w:line="240" w:lineRule="auto"/>
              <w:jc w:val="center"/>
            </w:pPr>
            <w:r>
              <w:rPr>
                <w:rFonts w:eastAsia="Times New Roman" w:cs="Times New Roman"/>
                <w:color w:val="000000"/>
                <w:sz w:val="16"/>
                <w:szCs w:val="16"/>
                <w:lang w:eastAsia="en-AU"/>
              </w:rPr>
              <w:t>543</w:t>
            </w:r>
          </w:p>
        </w:tc>
        <w:tc>
          <w:tcPr>
            <w:tcW w:w="1250" w:type="pct"/>
            <w:tcBorders>
              <w:top w:val="nil"/>
              <w:bottom w:val="nil"/>
            </w:tcBorders>
            <w:vAlign w:val="center"/>
          </w:tcPr>
          <w:p w14:paraId="6374FEA2" w14:textId="77777777" w:rsidR="00D07E17" w:rsidRPr="00BC40D7" w:rsidRDefault="00D07E17" w:rsidP="009A0399">
            <w:pPr>
              <w:spacing w:after="0" w:line="240" w:lineRule="auto"/>
              <w:jc w:val="center"/>
            </w:pPr>
            <w:r>
              <w:rPr>
                <w:rFonts w:eastAsia="Times New Roman" w:cs="Times New Roman"/>
                <w:color w:val="000000"/>
                <w:sz w:val="16"/>
                <w:szCs w:val="16"/>
                <w:lang w:eastAsia="en-AU"/>
              </w:rPr>
              <w:t>403</w:t>
            </w:r>
          </w:p>
        </w:tc>
      </w:tr>
      <w:tr w:rsidR="00D07E17" w:rsidRPr="00D84C5C" w14:paraId="6036E612" w14:textId="77777777" w:rsidTr="00125478">
        <w:trPr>
          <w:trHeight w:val="334"/>
        </w:trPr>
        <w:tc>
          <w:tcPr>
            <w:tcW w:w="1250" w:type="pct"/>
            <w:tcBorders>
              <w:top w:val="nil"/>
              <w:bottom w:val="single" w:sz="4" w:space="0" w:color="000000" w:themeColor="text1"/>
            </w:tcBorders>
            <w:vAlign w:val="center"/>
            <w:hideMark/>
          </w:tcPr>
          <w:p w14:paraId="645BC132" w14:textId="77777777" w:rsidR="00D07E17" w:rsidRPr="00271683" w:rsidRDefault="00D07E17" w:rsidP="009A0399">
            <w:pPr>
              <w:spacing w:after="0" w:line="240" w:lineRule="auto"/>
              <w:rPr>
                <w:rFonts w:eastAsia="Times New Roman" w:cs="Times New Roman"/>
                <w:color w:val="000000"/>
                <w:lang w:eastAsia="en-AU"/>
              </w:rPr>
            </w:pPr>
            <w:r>
              <w:t>Avoided low level illnesses</w:t>
            </w:r>
          </w:p>
        </w:tc>
        <w:tc>
          <w:tcPr>
            <w:tcW w:w="1250" w:type="pct"/>
            <w:tcBorders>
              <w:top w:val="nil"/>
              <w:bottom w:val="single" w:sz="4" w:space="0" w:color="000000" w:themeColor="text1"/>
            </w:tcBorders>
            <w:vAlign w:val="center"/>
          </w:tcPr>
          <w:p w14:paraId="2F0F8D48" w14:textId="77777777" w:rsidR="00D07E17" w:rsidRPr="00271683" w:rsidRDefault="00D07E17" w:rsidP="009A0399">
            <w:pPr>
              <w:spacing w:after="0" w:line="240" w:lineRule="auto"/>
              <w:jc w:val="center"/>
              <w:rPr>
                <w:rFonts w:eastAsia="Times New Roman" w:cs="Times New Roman"/>
                <w:color w:val="000000"/>
                <w:lang w:eastAsia="en-AU"/>
              </w:rPr>
            </w:pPr>
            <w:r w:rsidRPr="00271683">
              <w:rPr>
                <w:rFonts w:eastAsia="Times New Roman" w:cs="Times New Roman"/>
                <w:color w:val="000000"/>
                <w:lang w:eastAsia="en-AU"/>
              </w:rPr>
              <w:t>$0</w:t>
            </w:r>
          </w:p>
        </w:tc>
        <w:tc>
          <w:tcPr>
            <w:tcW w:w="1250" w:type="pct"/>
            <w:tcBorders>
              <w:top w:val="nil"/>
              <w:bottom w:val="single" w:sz="4" w:space="0" w:color="000000" w:themeColor="text1"/>
            </w:tcBorders>
            <w:vAlign w:val="center"/>
          </w:tcPr>
          <w:p w14:paraId="02ABCF23" w14:textId="77777777" w:rsidR="00D07E17" w:rsidRPr="00BC40D7" w:rsidRDefault="00D07E17" w:rsidP="009A0399">
            <w:pPr>
              <w:spacing w:after="0" w:line="240" w:lineRule="auto"/>
              <w:jc w:val="center"/>
              <w:rPr>
                <w:rFonts w:eastAsia="Times New Roman" w:cs="Times New Roman"/>
                <w:color w:val="000000"/>
                <w:lang w:eastAsia="en-AU"/>
              </w:rPr>
            </w:pPr>
            <w:r w:rsidRPr="00E85FE1">
              <w:rPr>
                <w:sz w:val="16"/>
                <w:szCs w:val="16"/>
              </w:rPr>
              <w:t>$</w:t>
            </w:r>
            <w:r>
              <w:rPr>
                <w:sz w:val="16"/>
                <w:szCs w:val="16"/>
              </w:rPr>
              <w:t>3,546,364</w:t>
            </w:r>
          </w:p>
        </w:tc>
        <w:tc>
          <w:tcPr>
            <w:tcW w:w="1250" w:type="pct"/>
            <w:tcBorders>
              <w:top w:val="nil"/>
              <w:bottom w:val="single" w:sz="4" w:space="0" w:color="000000" w:themeColor="text1"/>
            </w:tcBorders>
            <w:vAlign w:val="center"/>
          </w:tcPr>
          <w:p w14:paraId="14362C3D" w14:textId="77777777" w:rsidR="00D07E17" w:rsidRPr="00BC40D7" w:rsidRDefault="00D07E17" w:rsidP="009A0399">
            <w:pPr>
              <w:spacing w:after="0" w:line="240" w:lineRule="auto"/>
              <w:jc w:val="center"/>
              <w:rPr>
                <w:rFonts w:eastAsia="Times New Roman" w:cs="Times New Roman"/>
                <w:color w:val="000000"/>
                <w:lang w:eastAsia="en-AU"/>
              </w:rPr>
            </w:pPr>
            <w:r w:rsidRPr="00AF4D76">
              <w:rPr>
                <w:sz w:val="16"/>
                <w:szCs w:val="16"/>
              </w:rPr>
              <w:t>$</w:t>
            </w:r>
            <w:r>
              <w:rPr>
                <w:sz w:val="16"/>
                <w:szCs w:val="16"/>
              </w:rPr>
              <w:t>2,630,740</w:t>
            </w:r>
          </w:p>
        </w:tc>
      </w:tr>
      <w:tr w:rsidR="00D07E17" w:rsidRPr="00D84C5C" w14:paraId="3B97203B" w14:textId="77777777" w:rsidTr="00125478">
        <w:trPr>
          <w:trHeight w:val="334"/>
        </w:trPr>
        <w:tc>
          <w:tcPr>
            <w:tcW w:w="5000" w:type="pct"/>
            <w:gridSpan w:val="4"/>
            <w:tcBorders>
              <w:top w:val="single" w:sz="4" w:space="0" w:color="000000" w:themeColor="text1"/>
            </w:tcBorders>
            <w:shd w:val="clear" w:color="auto" w:fill="DFF0F9" w:themeFill="accent3" w:themeFillTint="33"/>
            <w:vAlign w:val="center"/>
          </w:tcPr>
          <w:p w14:paraId="2CE2EF50" w14:textId="500D724F" w:rsidR="00D07E17" w:rsidRPr="00FE7E7D" w:rsidRDefault="006D1695" w:rsidP="000276F0">
            <w:pPr>
              <w:spacing w:after="0" w:line="240" w:lineRule="auto"/>
            </w:pPr>
            <w:r w:rsidRPr="005B757F">
              <w:rPr>
                <w:b/>
                <w:bCs/>
              </w:rPr>
              <w:t>Other benefits</w:t>
            </w:r>
          </w:p>
        </w:tc>
      </w:tr>
      <w:tr w:rsidR="00D07E17" w:rsidRPr="00D84C5C" w14:paraId="17A89B47" w14:textId="77777777" w:rsidTr="00125478">
        <w:trPr>
          <w:trHeight w:val="334"/>
        </w:trPr>
        <w:tc>
          <w:tcPr>
            <w:tcW w:w="1250" w:type="pct"/>
            <w:vAlign w:val="center"/>
          </w:tcPr>
          <w:p w14:paraId="2FBC4416" w14:textId="77777777" w:rsidR="00D07E17" w:rsidRDefault="00D07E17" w:rsidP="009A0399">
            <w:pPr>
              <w:spacing w:after="0" w:line="240" w:lineRule="auto"/>
            </w:pPr>
            <w:r>
              <w:t>Incremental profits to reverse cycle manufacturers</w:t>
            </w:r>
          </w:p>
        </w:tc>
        <w:tc>
          <w:tcPr>
            <w:tcW w:w="1250" w:type="pct"/>
            <w:vAlign w:val="center"/>
          </w:tcPr>
          <w:p w14:paraId="648CD2DC" w14:textId="77777777" w:rsidR="00D07E17" w:rsidRPr="00271683" w:rsidRDefault="00D07E17" w:rsidP="009A0399">
            <w:pPr>
              <w:spacing w:after="0" w:line="240" w:lineRule="auto"/>
              <w:jc w:val="center"/>
              <w:rPr>
                <w:rFonts w:eastAsia="Times New Roman" w:cs="Times New Roman"/>
                <w:color w:val="000000"/>
                <w:lang w:eastAsia="en-AU"/>
              </w:rPr>
            </w:pPr>
            <w:r w:rsidRPr="00271683">
              <w:rPr>
                <w:rFonts w:eastAsia="Times New Roman" w:cs="Times New Roman"/>
                <w:color w:val="000000"/>
                <w:lang w:eastAsia="en-AU"/>
              </w:rPr>
              <w:t>$0</w:t>
            </w:r>
          </w:p>
        </w:tc>
        <w:tc>
          <w:tcPr>
            <w:tcW w:w="1250" w:type="pct"/>
            <w:vAlign w:val="center"/>
          </w:tcPr>
          <w:p w14:paraId="09823E15" w14:textId="77777777" w:rsidR="00D07E17" w:rsidRPr="00065850" w:rsidRDefault="00D07E17" w:rsidP="009A0399">
            <w:pPr>
              <w:spacing w:after="0" w:line="240" w:lineRule="auto"/>
              <w:jc w:val="center"/>
            </w:pPr>
            <w:r w:rsidRPr="00E85FE1">
              <w:rPr>
                <w:rFonts w:eastAsia="Times New Roman" w:cs="Times New Roman"/>
                <w:color w:val="000000"/>
                <w:sz w:val="16"/>
                <w:szCs w:val="16"/>
                <w:lang w:eastAsia="en-AU"/>
              </w:rPr>
              <w:t>$</w:t>
            </w:r>
            <w:r>
              <w:rPr>
                <w:rFonts w:eastAsia="Times New Roman" w:cs="Times New Roman"/>
                <w:color w:val="000000"/>
                <w:sz w:val="16"/>
                <w:szCs w:val="16"/>
                <w:lang w:eastAsia="en-AU"/>
              </w:rPr>
              <w:t>1,251,915</w:t>
            </w:r>
          </w:p>
        </w:tc>
        <w:tc>
          <w:tcPr>
            <w:tcW w:w="1250" w:type="pct"/>
            <w:vAlign w:val="center"/>
          </w:tcPr>
          <w:p w14:paraId="64945E47" w14:textId="77777777" w:rsidR="00D07E17" w:rsidRPr="00065850" w:rsidRDefault="00D07E17" w:rsidP="009A0399">
            <w:pPr>
              <w:spacing w:after="0" w:line="240" w:lineRule="auto"/>
              <w:jc w:val="center"/>
            </w:pPr>
            <w:r w:rsidRPr="00AF4D76">
              <w:rPr>
                <w:rFonts w:eastAsia="Times New Roman" w:cs="Times New Roman"/>
                <w:color w:val="000000"/>
                <w:sz w:val="16"/>
                <w:szCs w:val="16"/>
                <w:lang w:eastAsia="en-AU"/>
              </w:rPr>
              <w:t>$</w:t>
            </w:r>
            <w:r>
              <w:rPr>
                <w:rFonts w:eastAsia="Times New Roman" w:cs="Times New Roman"/>
                <w:color w:val="000000"/>
                <w:sz w:val="16"/>
                <w:szCs w:val="16"/>
                <w:lang w:eastAsia="en-AU"/>
              </w:rPr>
              <w:t>967,795</w:t>
            </w:r>
          </w:p>
        </w:tc>
      </w:tr>
      <w:tr w:rsidR="00D07E17" w:rsidRPr="00D84C5C" w14:paraId="28FE7CA1" w14:textId="77777777" w:rsidTr="00125478">
        <w:trPr>
          <w:trHeight w:val="334"/>
        </w:trPr>
        <w:tc>
          <w:tcPr>
            <w:tcW w:w="1250" w:type="pct"/>
            <w:vAlign w:val="center"/>
          </w:tcPr>
          <w:p w14:paraId="3A59BCE6" w14:textId="77777777" w:rsidR="00D07E17" w:rsidRPr="00271683" w:rsidRDefault="00D07E17" w:rsidP="009A0399">
            <w:pPr>
              <w:spacing w:after="0" w:line="240" w:lineRule="auto"/>
              <w:rPr>
                <w:rFonts w:eastAsia="Times New Roman" w:cs="Times New Roman"/>
                <w:color w:val="000000"/>
                <w:lang w:eastAsia="en-AU"/>
              </w:rPr>
            </w:pPr>
            <w:r>
              <w:t>Reduced household energy costs</w:t>
            </w:r>
          </w:p>
        </w:tc>
        <w:tc>
          <w:tcPr>
            <w:tcW w:w="1250" w:type="pct"/>
            <w:vAlign w:val="center"/>
          </w:tcPr>
          <w:p w14:paraId="1FB08FAF" w14:textId="77777777" w:rsidR="00D07E17" w:rsidRPr="00271683" w:rsidRDefault="00D07E17" w:rsidP="009A0399">
            <w:pPr>
              <w:spacing w:after="0" w:line="240" w:lineRule="auto"/>
              <w:jc w:val="center"/>
              <w:rPr>
                <w:rFonts w:eastAsia="Times New Roman" w:cs="Times New Roman"/>
                <w:color w:val="000000"/>
                <w:lang w:eastAsia="en-AU"/>
              </w:rPr>
            </w:pPr>
            <w:r w:rsidRPr="00271683">
              <w:rPr>
                <w:rFonts w:eastAsia="Times New Roman" w:cs="Times New Roman"/>
                <w:color w:val="000000"/>
                <w:lang w:eastAsia="en-AU"/>
              </w:rPr>
              <w:t>$0</w:t>
            </w:r>
          </w:p>
        </w:tc>
        <w:tc>
          <w:tcPr>
            <w:tcW w:w="1250" w:type="pct"/>
            <w:vAlign w:val="center"/>
          </w:tcPr>
          <w:p w14:paraId="5384F507" w14:textId="77777777" w:rsidR="00D07E17" w:rsidRPr="00271683" w:rsidRDefault="00D07E17" w:rsidP="009A0399">
            <w:pPr>
              <w:spacing w:after="0" w:line="240" w:lineRule="auto"/>
              <w:jc w:val="center"/>
              <w:rPr>
                <w:rFonts w:eastAsia="Times New Roman" w:cs="Times New Roman"/>
                <w:color w:val="000000"/>
                <w:lang w:eastAsia="en-AU"/>
              </w:rPr>
            </w:pPr>
            <w:r w:rsidRPr="00E85FE1">
              <w:rPr>
                <w:sz w:val="16"/>
                <w:szCs w:val="16"/>
              </w:rPr>
              <w:t>$</w:t>
            </w:r>
            <w:r>
              <w:rPr>
                <w:sz w:val="16"/>
                <w:szCs w:val="16"/>
              </w:rPr>
              <w:t>4,872,288</w:t>
            </w:r>
          </w:p>
        </w:tc>
        <w:tc>
          <w:tcPr>
            <w:tcW w:w="1250" w:type="pct"/>
            <w:vAlign w:val="center"/>
          </w:tcPr>
          <w:p w14:paraId="2EB9002F" w14:textId="77777777" w:rsidR="00D07E17" w:rsidRPr="00271683" w:rsidRDefault="00D07E17" w:rsidP="009A0399">
            <w:pPr>
              <w:spacing w:after="0" w:line="240" w:lineRule="auto"/>
              <w:jc w:val="center"/>
              <w:rPr>
                <w:rFonts w:eastAsia="Times New Roman" w:cs="Times New Roman"/>
                <w:color w:val="000000"/>
                <w:lang w:eastAsia="en-AU"/>
              </w:rPr>
            </w:pPr>
            <w:r w:rsidRPr="00AF4D76">
              <w:rPr>
                <w:sz w:val="16"/>
                <w:szCs w:val="16"/>
              </w:rPr>
              <w:t>$</w:t>
            </w:r>
            <w:r>
              <w:rPr>
                <w:sz w:val="16"/>
                <w:szCs w:val="16"/>
              </w:rPr>
              <w:t>3,614,328</w:t>
            </w:r>
          </w:p>
        </w:tc>
      </w:tr>
      <w:tr w:rsidR="00D07E17" w:rsidRPr="00D84C5C" w14:paraId="22BE1824" w14:textId="77777777" w:rsidTr="00125478">
        <w:trPr>
          <w:trHeight w:val="334"/>
        </w:trPr>
        <w:tc>
          <w:tcPr>
            <w:tcW w:w="1250" w:type="pct"/>
            <w:vAlign w:val="center"/>
          </w:tcPr>
          <w:p w14:paraId="460003A1" w14:textId="77777777" w:rsidR="00D07E17" w:rsidRPr="00271683" w:rsidRDefault="00D07E17" w:rsidP="009A0399">
            <w:pPr>
              <w:spacing w:after="0" w:line="240" w:lineRule="auto"/>
              <w:rPr>
                <w:rFonts w:eastAsia="Times New Roman" w:cs="Times New Roman"/>
                <w:color w:val="000000"/>
                <w:lang w:eastAsia="en-AU"/>
              </w:rPr>
            </w:pPr>
            <w:r>
              <w:t>Reduced greenhouse gas emissions</w:t>
            </w:r>
          </w:p>
        </w:tc>
        <w:tc>
          <w:tcPr>
            <w:tcW w:w="1250" w:type="pct"/>
            <w:vAlign w:val="center"/>
          </w:tcPr>
          <w:p w14:paraId="09981AD9" w14:textId="77777777" w:rsidR="00D07E17" w:rsidRPr="00271683" w:rsidRDefault="00D07E17" w:rsidP="009A0399">
            <w:pPr>
              <w:spacing w:after="0" w:line="240" w:lineRule="auto"/>
              <w:jc w:val="center"/>
              <w:rPr>
                <w:rFonts w:eastAsia="Times New Roman" w:cs="Times New Roman"/>
                <w:color w:val="000000"/>
                <w:lang w:eastAsia="en-AU"/>
              </w:rPr>
            </w:pPr>
            <w:r w:rsidRPr="00271683">
              <w:rPr>
                <w:rFonts w:eastAsia="Times New Roman" w:cs="Times New Roman"/>
                <w:color w:val="000000"/>
                <w:lang w:eastAsia="en-AU"/>
              </w:rPr>
              <w:t>$0</w:t>
            </w:r>
          </w:p>
        </w:tc>
        <w:tc>
          <w:tcPr>
            <w:tcW w:w="1250" w:type="pct"/>
            <w:vAlign w:val="center"/>
          </w:tcPr>
          <w:p w14:paraId="2B4AA4C4" w14:textId="77777777" w:rsidR="00D07E17" w:rsidRPr="00271683" w:rsidRDefault="00D07E17" w:rsidP="009A0399">
            <w:pPr>
              <w:spacing w:after="0" w:line="240" w:lineRule="auto"/>
              <w:jc w:val="center"/>
              <w:rPr>
                <w:rFonts w:eastAsia="Times New Roman" w:cs="Times New Roman"/>
                <w:color w:val="000000"/>
                <w:lang w:eastAsia="en-AU"/>
              </w:rPr>
            </w:pPr>
            <w:r w:rsidRPr="00E85FE1">
              <w:rPr>
                <w:sz w:val="16"/>
                <w:szCs w:val="16"/>
              </w:rPr>
              <w:t>$</w:t>
            </w:r>
            <w:r>
              <w:rPr>
                <w:sz w:val="16"/>
                <w:szCs w:val="16"/>
              </w:rPr>
              <w:t>114,667</w:t>
            </w:r>
          </w:p>
        </w:tc>
        <w:tc>
          <w:tcPr>
            <w:tcW w:w="1250" w:type="pct"/>
            <w:vAlign w:val="center"/>
          </w:tcPr>
          <w:p w14:paraId="699FB3F0" w14:textId="77777777" w:rsidR="00D07E17" w:rsidRPr="00271683" w:rsidRDefault="00D07E17" w:rsidP="009A0399">
            <w:pPr>
              <w:spacing w:after="0" w:line="240" w:lineRule="auto"/>
              <w:jc w:val="center"/>
              <w:rPr>
                <w:rFonts w:eastAsia="Times New Roman" w:cs="Times New Roman"/>
                <w:color w:val="000000"/>
                <w:lang w:eastAsia="en-AU"/>
              </w:rPr>
            </w:pPr>
            <w:r w:rsidRPr="00AF4D76">
              <w:rPr>
                <w:sz w:val="16"/>
                <w:szCs w:val="16"/>
              </w:rPr>
              <w:t>$</w:t>
            </w:r>
            <w:r>
              <w:rPr>
                <w:sz w:val="16"/>
                <w:szCs w:val="16"/>
              </w:rPr>
              <w:t>86,567</w:t>
            </w:r>
          </w:p>
        </w:tc>
      </w:tr>
      <w:tr w:rsidR="00D07E17" w:rsidRPr="00D84C5C" w14:paraId="1DF3FC44" w14:textId="77777777" w:rsidTr="00125478">
        <w:trPr>
          <w:trHeight w:val="343"/>
        </w:trPr>
        <w:tc>
          <w:tcPr>
            <w:tcW w:w="1250" w:type="pct"/>
            <w:vAlign w:val="center"/>
            <w:hideMark/>
          </w:tcPr>
          <w:p w14:paraId="71B0E0E3" w14:textId="77777777" w:rsidR="00D07E17" w:rsidRPr="00D84C5C" w:rsidRDefault="00D07E17" w:rsidP="009A0399">
            <w:pPr>
              <w:spacing w:after="0" w:line="240" w:lineRule="auto"/>
              <w:rPr>
                <w:rFonts w:eastAsia="Times New Roman" w:cs="Times New Roman"/>
                <w:b/>
                <w:bCs/>
                <w:color w:val="000000"/>
                <w:lang w:eastAsia="en-AU"/>
              </w:rPr>
            </w:pPr>
            <w:r w:rsidRPr="00D84C5C">
              <w:rPr>
                <w:rFonts w:eastAsia="Times New Roman" w:cs="Times New Roman"/>
                <w:b/>
                <w:bCs/>
                <w:color w:val="000000"/>
                <w:lang w:eastAsia="en-AU"/>
              </w:rPr>
              <w:t>Total</w:t>
            </w:r>
            <w:r>
              <w:rPr>
                <w:rFonts w:eastAsia="Times New Roman" w:cs="Times New Roman"/>
                <w:b/>
                <w:bCs/>
                <w:color w:val="000000"/>
                <w:lang w:eastAsia="en-AU"/>
              </w:rPr>
              <w:t xml:space="preserve"> estimated and quantified benefits</w:t>
            </w:r>
          </w:p>
        </w:tc>
        <w:tc>
          <w:tcPr>
            <w:tcW w:w="1250" w:type="pct"/>
            <w:vAlign w:val="center"/>
          </w:tcPr>
          <w:p w14:paraId="29B04D11" w14:textId="77777777" w:rsidR="00D07E17" w:rsidRPr="00D84C5C" w:rsidRDefault="00D07E17" w:rsidP="009A0399">
            <w:pPr>
              <w:spacing w:after="0" w:line="240" w:lineRule="auto"/>
              <w:jc w:val="center"/>
              <w:rPr>
                <w:rFonts w:eastAsia="Times New Roman" w:cs="Times New Roman"/>
                <w:b/>
                <w:bCs/>
                <w:color w:val="FF0000"/>
                <w:lang w:eastAsia="en-AU"/>
              </w:rPr>
            </w:pPr>
            <w:r w:rsidRPr="00D84C5C">
              <w:rPr>
                <w:rFonts w:eastAsia="Times New Roman" w:cs="Times New Roman"/>
                <w:b/>
                <w:color w:val="000000"/>
                <w:lang w:eastAsia="en-AU"/>
              </w:rPr>
              <w:t>$0</w:t>
            </w:r>
          </w:p>
        </w:tc>
        <w:tc>
          <w:tcPr>
            <w:tcW w:w="1250" w:type="pct"/>
            <w:vAlign w:val="center"/>
          </w:tcPr>
          <w:p w14:paraId="6B894E87" w14:textId="77777777" w:rsidR="00D07E17" w:rsidRPr="00E85FE1" w:rsidRDefault="00D07E17" w:rsidP="009A0399">
            <w:pPr>
              <w:spacing w:after="0" w:line="240" w:lineRule="auto"/>
              <w:jc w:val="center"/>
              <w:rPr>
                <w:b/>
                <w:sz w:val="16"/>
                <w:szCs w:val="16"/>
              </w:rPr>
            </w:pPr>
            <w:r w:rsidRPr="00E85FE1">
              <w:rPr>
                <w:b/>
                <w:sz w:val="16"/>
                <w:szCs w:val="16"/>
              </w:rPr>
              <w:t>$</w:t>
            </w:r>
            <w:r>
              <w:rPr>
                <w:b/>
                <w:sz w:val="16"/>
                <w:szCs w:val="16"/>
              </w:rPr>
              <w:t>10,293,273</w:t>
            </w:r>
          </w:p>
          <w:p w14:paraId="0D968A94" w14:textId="77777777" w:rsidR="00D07E17" w:rsidRPr="007658BE" w:rsidRDefault="00D07E17" w:rsidP="009A0399">
            <w:pPr>
              <w:spacing w:after="0" w:line="240" w:lineRule="auto"/>
              <w:jc w:val="center"/>
              <w:rPr>
                <w:b/>
              </w:rPr>
            </w:pPr>
          </w:p>
        </w:tc>
        <w:tc>
          <w:tcPr>
            <w:tcW w:w="1250" w:type="pct"/>
            <w:vAlign w:val="center"/>
          </w:tcPr>
          <w:p w14:paraId="634F1B37" w14:textId="77777777" w:rsidR="00D07E17" w:rsidRPr="00AF4D76" w:rsidRDefault="00D07E17" w:rsidP="009A0399">
            <w:pPr>
              <w:spacing w:after="0" w:line="240" w:lineRule="auto"/>
              <w:jc w:val="center"/>
              <w:rPr>
                <w:b/>
                <w:sz w:val="16"/>
                <w:szCs w:val="16"/>
              </w:rPr>
            </w:pPr>
            <w:r w:rsidRPr="00AF4D76">
              <w:rPr>
                <w:b/>
                <w:sz w:val="16"/>
                <w:szCs w:val="16"/>
              </w:rPr>
              <w:t>$</w:t>
            </w:r>
            <w:r>
              <w:rPr>
                <w:b/>
                <w:sz w:val="16"/>
                <w:szCs w:val="16"/>
              </w:rPr>
              <w:t>7,676,300</w:t>
            </w:r>
          </w:p>
          <w:p w14:paraId="6CD409CF" w14:textId="77777777" w:rsidR="00D07E17" w:rsidRPr="007658BE" w:rsidRDefault="00D07E17" w:rsidP="009A0399">
            <w:pPr>
              <w:spacing w:after="0" w:line="240" w:lineRule="auto"/>
              <w:jc w:val="center"/>
              <w:rPr>
                <w:b/>
              </w:rPr>
            </w:pPr>
          </w:p>
        </w:tc>
      </w:tr>
    </w:tbl>
    <w:p w14:paraId="3421895B" w14:textId="77777777" w:rsidR="00D07E17" w:rsidRDefault="00D07E17" w:rsidP="00D07E17">
      <w:pPr>
        <w:pStyle w:val="Source"/>
      </w:pPr>
      <w:r>
        <w:t>Note: Some totals do not sum due to rounding</w:t>
      </w:r>
    </w:p>
    <w:p w14:paraId="50179087" w14:textId="0DED0BF8" w:rsidR="00A7337D" w:rsidRDefault="00A7337D" w:rsidP="00A7337D">
      <w:pPr>
        <w:pStyle w:val="Heading2un-numbered"/>
      </w:pPr>
      <w:r>
        <w:t xml:space="preserve">Preferred phase out approach  </w:t>
      </w:r>
    </w:p>
    <w:p w14:paraId="33106209" w14:textId="12935B26" w:rsidR="00A7337D" w:rsidRPr="004C21D0" w:rsidRDefault="00A7337D" w:rsidP="00A7337D">
      <w:pPr>
        <w:spacing w:line="240" w:lineRule="auto"/>
      </w:pPr>
      <w:r w:rsidRPr="004C21D0">
        <w:t>While all phase out options are expected to breakeven and achieve the primary objective of ensuring the health and safety of the community (see section 2.5), the preferred approach is the fast-tracked standards-based approach (Option 2)</w:t>
      </w:r>
      <w:r w:rsidR="001051DC">
        <w:t xml:space="preserve">. Although the estimated safety benefits of Option 1 outweigh those expected </w:t>
      </w:r>
      <w:r w:rsidR="009614CF">
        <w:t xml:space="preserve">to occur </w:t>
      </w:r>
      <w:r w:rsidR="001051DC">
        <w:t xml:space="preserve">under Option 2, Option 2 </w:t>
      </w:r>
      <w:r w:rsidR="009614CF">
        <w:t>is</w:t>
      </w:r>
      <w:r w:rsidR="001051DC">
        <w:t xml:space="preserve"> the preferred option</w:t>
      </w:r>
      <w:r w:rsidRPr="004C21D0">
        <w:t xml:space="preserve"> </w:t>
      </w:r>
      <w:r w:rsidR="009614CF">
        <w:t xml:space="preserve">of this RIS </w:t>
      </w:r>
      <w:r w:rsidRPr="004C21D0">
        <w:t>because:</w:t>
      </w:r>
    </w:p>
    <w:p w14:paraId="2E6D0C5A" w14:textId="7B8089E7" w:rsidR="00E26DB6" w:rsidRPr="004C21D0" w:rsidRDefault="00E26DB6" w:rsidP="000276F0">
      <w:pPr>
        <w:pStyle w:val="ListBullet"/>
        <w:numPr>
          <w:ilvl w:val="0"/>
          <w:numId w:val="41"/>
        </w:numPr>
      </w:pPr>
      <w:r w:rsidRPr="004C21D0">
        <w:t xml:space="preserve">Option 2 reduces the likelihood of intermittent stock shortages for alternative heaters, which could temporarily reduce the affordability of heating for some consumers. </w:t>
      </w:r>
    </w:p>
    <w:p w14:paraId="168DC8B1" w14:textId="59F0F2AC" w:rsidR="00A7337D" w:rsidRPr="004C21D0" w:rsidRDefault="00A7337D" w:rsidP="00A7337D">
      <w:pPr>
        <w:pStyle w:val="ListBullet"/>
        <w:numPr>
          <w:ilvl w:val="0"/>
          <w:numId w:val="41"/>
        </w:numPr>
        <w:ind w:left="714" w:hanging="357"/>
      </w:pPr>
      <w:r w:rsidRPr="004C21D0">
        <w:t xml:space="preserve">Option 2’s implementation delay gives industry more time to prepare for the changes and transition production towards other heaters, limiting revenue reductions and potential jobs lost. </w:t>
      </w:r>
    </w:p>
    <w:p w14:paraId="6541DC4F" w14:textId="2AA63B3F" w:rsidR="00A7337D" w:rsidRPr="004C21D0" w:rsidRDefault="00A7337D" w:rsidP="000276F0">
      <w:pPr>
        <w:pStyle w:val="ListBullet"/>
      </w:pPr>
      <w:r w:rsidRPr="004C21D0">
        <w:lastRenderedPageBreak/>
        <w:t>Option 2 is also expected to have lower impact on the broader gas market (i.e. impact on consumer perceptions of gas as an energy source) and therefore better maintains consumer confidence in gas.</w:t>
      </w:r>
    </w:p>
    <w:p w14:paraId="620D63C9" w14:textId="12F321C3" w:rsidR="00A7337D" w:rsidRPr="004C21D0" w:rsidRDefault="00A7337D" w:rsidP="00A7337D">
      <w:pPr>
        <w:pStyle w:val="ListParagraph"/>
        <w:ind w:left="0"/>
      </w:pPr>
      <w:r w:rsidRPr="004C21D0">
        <w:t>It is proposed the fast-tracked standards-based approach will come into effect on 1 January 2022. This approach would not affect OFGSHs that have already been installed in Victoria.</w:t>
      </w:r>
      <w:r w:rsidR="00ED54AA" w:rsidRPr="004C21D0">
        <w:rPr>
          <w:rStyle w:val="FootnoteReference"/>
        </w:rPr>
        <w:footnoteReference w:id="18"/>
      </w:r>
      <w:r w:rsidRPr="004C21D0">
        <w:t xml:space="preserve"> Voluntary measures such as regular servicing (at least once every two years) in private properties with an OFGSH and CO alarms for all properties with an OFGSH will continue to be encouraged. </w:t>
      </w:r>
    </w:p>
    <w:p w14:paraId="36B9FC73" w14:textId="0D3753D7" w:rsidR="00A7337D" w:rsidRPr="004B5F03" w:rsidRDefault="00A7337D" w:rsidP="00A7337D">
      <w:r w:rsidRPr="004C21D0">
        <w:t xml:space="preserve">In the unlikely event that the fast-tracked standards-based approach cannot come into effect on 1 January 2022, or within acceptable timeframes, </w:t>
      </w:r>
      <w:r w:rsidR="003A5694">
        <w:t>DELWP</w:t>
      </w:r>
      <w:r w:rsidRPr="004C21D0">
        <w:t xml:space="preserve"> will proceed to introduce the proposed regulatory amendments for Option 1 to achieve its objectives.</w:t>
      </w:r>
      <w:r>
        <w:t xml:space="preserve"> </w:t>
      </w:r>
      <w:r w:rsidDel="00873C70">
        <w:rPr>
          <w:rStyle w:val="CommentReference"/>
        </w:rPr>
        <w:t xml:space="preserve"> </w:t>
      </w:r>
    </w:p>
    <w:p w14:paraId="7881AF40" w14:textId="3CF933F8" w:rsidR="008A6E1D" w:rsidRPr="00BB1977" w:rsidRDefault="00E76435" w:rsidP="00016303">
      <w:pPr>
        <w:spacing w:before="120" w:line="240" w:lineRule="auto"/>
      </w:pPr>
      <w:r w:rsidRPr="005D4E27">
        <w:rPr>
          <w:b/>
          <w:bCs/>
        </w:rPr>
        <w:t xml:space="preserve">Transitional measures - </w:t>
      </w:r>
      <w:r w:rsidR="008A6E1D" w:rsidRPr="005D4E27">
        <w:rPr>
          <w:b/>
          <w:bCs/>
        </w:rPr>
        <w:t xml:space="preserve">Mandatory installation of CO alarms </w:t>
      </w:r>
    </w:p>
    <w:p w14:paraId="344BEA85" w14:textId="50288167" w:rsidR="005059B6" w:rsidRDefault="005059B6" w:rsidP="005059B6">
      <w:pPr>
        <w:spacing w:before="120" w:after="0" w:line="240" w:lineRule="auto"/>
      </w:pPr>
      <w:r>
        <w:t xml:space="preserve">A number of </w:t>
      </w:r>
      <w:r w:rsidR="00D26557">
        <w:t>practical and technical</w:t>
      </w:r>
      <w:r>
        <w:t xml:space="preserve"> </w:t>
      </w:r>
      <w:r w:rsidR="004E0E0F">
        <w:t>barriers</w:t>
      </w:r>
      <w:r>
        <w:t xml:space="preserve"> regarding mandating CO alarms specifically for </w:t>
      </w:r>
      <w:r w:rsidR="000932DA">
        <w:t xml:space="preserve">OFGSHs </w:t>
      </w:r>
      <w:r>
        <w:t>have been identified, which would need to be resolved before regulations are introduced to mandate their installation.</w:t>
      </w:r>
      <w:r w:rsidR="003A1011">
        <w:t xml:space="preserve"> </w:t>
      </w:r>
    </w:p>
    <w:p w14:paraId="5A7DEBF2" w14:textId="77777777" w:rsidR="007B1724" w:rsidRPr="002E5731" w:rsidRDefault="007B1724" w:rsidP="007B1724">
      <w:pPr>
        <w:spacing w:before="120" w:after="0" w:line="240" w:lineRule="auto"/>
        <w:rPr>
          <w:u w:val="single"/>
        </w:rPr>
      </w:pPr>
      <w:r w:rsidRPr="002E5731">
        <w:rPr>
          <w:u w:val="single"/>
        </w:rPr>
        <w:t xml:space="preserve">Practical barriers </w:t>
      </w:r>
    </w:p>
    <w:p w14:paraId="2BD19794" w14:textId="56B9BAA1" w:rsidR="007B1724" w:rsidRDefault="007B1724" w:rsidP="007B1724">
      <w:pPr>
        <w:spacing w:before="120" w:after="0" w:line="240" w:lineRule="auto"/>
      </w:pPr>
      <w:r>
        <w:t xml:space="preserve">Many owner-occupiers may not know whether they have an </w:t>
      </w:r>
      <w:r w:rsidR="000932DA">
        <w:t xml:space="preserve">OFGSH </w:t>
      </w:r>
      <w:r>
        <w:t xml:space="preserve">and monitoring and enforcing compliance in these properties is not currently </w:t>
      </w:r>
      <w:r w:rsidR="00E26DB6">
        <w:t>considered</w:t>
      </w:r>
      <w:r>
        <w:t xml:space="preserve"> feasible. For these reasons, this RIS does not </w:t>
      </w:r>
      <w:r w:rsidR="002D57E6">
        <w:t xml:space="preserve">provide a </w:t>
      </w:r>
      <w:r>
        <w:t>detailed analysis of the costs and benefits of mandatory CO alarms for OFGSHs in owner</w:t>
      </w:r>
      <w:r w:rsidR="00400B72">
        <w:t>-</w:t>
      </w:r>
      <w:r>
        <w:t>occupied properties</w:t>
      </w:r>
      <w:r w:rsidR="009F48C8">
        <w:t>. H</w:t>
      </w:r>
      <w:r>
        <w:t xml:space="preserve">owever, </w:t>
      </w:r>
      <w:r w:rsidRPr="00096B3A">
        <w:t xml:space="preserve">detailed analysis of </w:t>
      </w:r>
      <w:r w:rsidR="008C0A1E">
        <w:t xml:space="preserve">the safety-related maintenance costs for </w:t>
      </w:r>
      <w:r w:rsidRPr="00096B3A">
        <w:t xml:space="preserve">mandatory CO alarms </w:t>
      </w:r>
      <w:r w:rsidR="00A42193">
        <w:t>in</w:t>
      </w:r>
      <w:r w:rsidR="00A42193" w:rsidRPr="00096B3A">
        <w:t xml:space="preserve"> </w:t>
      </w:r>
      <w:r w:rsidR="00881080">
        <w:t xml:space="preserve">public </w:t>
      </w:r>
      <w:r w:rsidRPr="00096B3A">
        <w:t>rental properties</w:t>
      </w:r>
      <w:r w:rsidR="00881080">
        <w:t xml:space="preserve"> managed by the Director of Housing (i.e. public housing)</w:t>
      </w:r>
      <w:r w:rsidRPr="00096B3A">
        <w:t xml:space="preserve"> was undertaken (</w:t>
      </w:r>
      <w:r w:rsidR="009F48C8">
        <w:t xml:space="preserve">with </w:t>
      </w:r>
      <w:r w:rsidR="005D4DF4" w:rsidRPr="00096B3A">
        <w:t xml:space="preserve">proposed changes to mandate gas appliance servicing in all rental properties, anticipated to come into effect </w:t>
      </w:r>
      <w:r w:rsidR="003434A0">
        <w:t xml:space="preserve">on 29 March </w:t>
      </w:r>
      <w:r w:rsidR="003434A0" w:rsidRPr="00096B3A">
        <w:t xml:space="preserve">2021 </w:t>
      </w:r>
      <w:r w:rsidR="005D4DF4" w:rsidRPr="00096B3A">
        <w:t xml:space="preserve">when the </w:t>
      </w:r>
      <w:r w:rsidR="00101768" w:rsidRPr="000276F0">
        <w:rPr>
          <w:i/>
          <w:iCs/>
        </w:rPr>
        <w:t>Residential Tenancies Amendment Act 2018</w:t>
      </w:r>
      <w:r w:rsidR="00101768">
        <w:t xml:space="preserve"> (R</w:t>
      </w:r>
      <w:r w:rsidR="006778B6" w:rsidRPr="00096B3A" w:rsidDel="00101768">
        <w:t>R</w:t>
      </w:r>
      <w:r w:rsidR="006778B6" w:rsidRPr="00096B3A">
        <w:t>TAA</w:t>
      </w:r>
      <w:r w:rsidR="00101768">
        <w:t>)</w:t>
      </w:r>
      <w:r w:rsidR="005D4DF4" w:rsidRPr="00096B3A">
        <w:t xml:space="preserve"> and proposed </w:t>
      </w:r>
      <w:r w:rsidR="00986D7F" w:rsidRPr="00096B3A">
        <w:t>R</w:t>
      </w:r>
      <w:r w:rsidR="00101768">
        <w:t xml:space="preserve">esidential </w:t>
      </w:r>
      <w:r w:rsidR="00986D7F" w:rsidRPr="00096B3A">
        <w:t>T</w:t>
      </w:r>
      <w:r w:rsidR="00101768">
        <w:t xml:space="preserve">enancies </w:t>
      </w:r>
      <w:r w:rsidR="00986D7F" w:rsidRPr="00096B3A">
        <w:t>R</w:t>
      </w:r>
      <w:r w:rsidR="00101768">
        <w:t>egulations (RTR)</w:t>
      </w:r>
      <w:r w:rsidR="005D4DF4" w:rsidRPr="00096B3A">
        <w:t xml:space="preserve"> commence</w:t>
      </w:r>
      <w:r w:rsidR="00FC39D1">
        <w:t>)</w:t>
      </w:r>
      <w:r w:rsidR="00263A09">
        <w:t>.</w:t>
      </w:r>
      <w:r w:rsidR="005D4DF4" w:rsidRPr="00096B3A">
        <w:t xml:space="preserve"> </w:t>
      </w:r>
    </w:p>
    <w:p w14:paraId="22B0DB7D" w14:textId="7A3AA17F" w:rsidR="007B1724" w:rsidRDefault="007B1724" w:rsidP="007B1724">
      <w:pPr>
        <w:spacing w:before="120" w:after="0" w:line="240" w:lineRule="auto"/>
      </w:pPr>
      <w:r>
        <w:t xml:space="preserve">Mandating alarms for products more broadly than OFGSHs (for example, for all combustion heaters which have the potential to create CO) is consistent with the approach in some jurisdictions overseas and may help to resolve the compliance and enforcement issues in owner-occupied homes, but this is out of scope </w:t>
      </w:r>
      <w:r w:rsidR="00101768">
        <w:t xml:space="preserve">for </w:t>
      </w:r>
      <w:r>
        <w:t>this RIS.</w:t>
      </w:r>
    </w:p>
    <w:p w14:paraId="75E11243" w14:textId="77777777" w:rsidR="007B1724" w:rsidRPr="002E5731" w:rsidRDefault="007B1724" w:rsidP="007B1724">
      <w:pPr>
        <w:spacing w:before="120" w:after="0" w:line="240" w:lineRule="auto"/>
        <w:rPr>
          <w:u w:val="single"/>
        </w:rPr>
      </w:pPr>
      <w:r w:rsidRPr="002E5731">
        <w:rPr>
          <w:u w:val="single"/>
        </w:rPr>
        <w:t>Technical barriers</w:t>
      </w:r>
    </w:p>
    <w:p w14:paraId="56869BF6" w14:textId="36527275" w:rsidR="007B1724" w:rsidRDefault="007B1724" w:rsidP="007B1724">
      <w:pPr>
        <w:spacing w:before="120" w:after="0" w:line="240" w:lineRule="auto"/>
      </w:pPr>
      <w:r>
        <w:t xml:space="preserve">Technical experts advised that heater servicing was the most effective measure to prevent CO </w:t>
      </w:r>
      <w:r w:rsidR="008E5B34">
        <w:t xml:space="preserve">exposure </w:t>
      </w:r>
      <w:r>
        <w:t xml:space="preserve">risks and that mandating CO alarms could lead people to stop servicing their heaters due to a false sense of security. Potential barriers which may impact the effectiveness of CO alarms were </w:t>
      </w:r>
      <w:r w:rsidR="00101768">
        <w:t xml:space="preserve">also </w:t>
      </w:r>
      <w:r>
        <w:t xml:space="preserve">identified, including: </w:t>
      </w:r>
    </w:p>
    <w:p w14:paraId="0519FD85" w14:textId="7E778D6B" w:rsidR="007B1724" w:rsidRDefault="007B1724" w:rsidP="007B1724">
      <w:pPr>
        <w:pStyle w:val="ListParagraph"/>
        <w:numPr>
          <w:ilvl w:val="0"/>
          <w:numId w:val="61"/>
        </w:numPr>
        <w:spacing w:before="120" w:after="0" w:line="240" w:lineRule="auto"/>
      </w:pPr>
      <w:r>
        <w:t xml:space="preserve">Technical experts advised that the type of CO alarm, </w:t>
      </w:r>
      <w:r w:rsidR="00101768">
        <w:t xml:space="preserve">and </w:t>
      </w:r>
      <w:r>
        <w:t xml:space="preserve">the way it is installed and maintained are critical to proper functioning, and there is currently no Australian Standard for CO alarms or for installation. While US and UK standards exist for CO alarms, they may not be appropriate for the Australian context, as Australia’s housing stock is different to that in the US and UK, so their effectiveness could vary. Standards Australia has advised the Victorian Government it is open to developing or adopting a standard for CO alarms in Australia. This could be considered separate to this RIS process. </w:t>
      </w:r>
    </w:p>
    <w:p w14:paraId="511F7FED" w14:textId="0AAC1C9C" w:rsidR="007B1724" w:rsidRDefault="007B1724" w:rsidP="007B1724">
      <w:pPr>
        <w:pStyle w:val="ListParagraph"/>
        <w:numPr>
          <w:ilvl w:val="0"/>
          <w:numId w:val="61"/>
        </w:numPr>
        <w:spacing w:before="120" w:after="0" w:line="240" w:lineRule="auto"/>
      </w:pPr>
      <w:r>
        <w:t xml:space="preserve">Research indicates consumers may not respond appropriately to alarms </w:t>
      </w:r>
      <w:r w:rsidR="00101768">
        <w:t>b</w:t>
      </w:r>
      <w:r>
        <w:t>ecause of the odourless, colourless nature of CO.</w:t>
      </w:r>
    </w:p>
    <w:p w14:paraId="407B922C" w14:textId="35DABDAD" w:rsidR="007B1724" w:rsidRPr="00CD7FCD" w:rsidRDefault="007B1724" w:rsidP="007B1724">
      <w:pPr>
        <w:spacing w:before="120" w:after="0" w:line="240" w:lineRule="auto"/>
      </w:pPr>
      <w:r>
        <w:t xml:space="preserve">For these reasons, there is significant uncertainty about the potential benefits from mandating CO alarms in rental properties. Assuming a </w:t>
      </w:r>
      <w:r w:rsidRPr="00CD7FCD">
        <w:t>5</w:t>
      </w:r>
      <w:r w:rsidR="001A645C">
        <w:t xml:space="preserve"> per cent</w:t>
      </w:r>
      <w:r w:rsidRPr="00CD7FCD">
        <w:t xml:space="preserve"> reduction in</w:t>
      </w:r>
      <w:r w:rsidR="0035799F">
        <w:t xml:space="preserve"> residual</w:t>
      </w:r>
      <w:r w:rsidRPr="00CD7FCD">
        <w:t xml:space="preserve"> risk</w:t>
      </w:r>
      <w:r>
        <w:t xml:space="preserve"> of CO poisoning from the alarms,</w:t>
      </w:r>
      <w:r w:rsidRPr="00CD7FCD">
        <w:t xml:space="preserve"> </w:t>
      </w:r>
      <w:r>
        <w:t>benefits will be</w:t>
      </w:r>
      <w:r w:rsidRPr="00CD7FCD">
        <w:t xml:space="preserve"> $3.7 million</w:t>
      </w:r>
      <w:r>
        <w:t>,</w:t>
      </w:r>
      <w:r w:rsidRPr="00CD7FCD">
        <w:t xml:space="preserve"> less than half the </w:t>
      </w:r>
      <w:r>
        <w:t>$7.</w:t>
      </w:r>
      <w:r w:rsidR="00D5646B">
        <w:t xml:space="preserve">9 </w:t>
      </w:r>
      <w:r>
        <w:t xml:space="preserve">million </w:t>
      </w:r>
      <w:r w:rsidRPr="00CD7FCD">
        <w:t>cost of installing CO alarms in all rental buildings.</w:t>
      </w:r>
      <w:r>
        <w:t xml:space="preserve"> If the risk reduction is higher – using </w:t>
      </w:r>
      <w:r w:rsidR="009F48C8">
        <w:t>the</w:t>
      </w:r>
      <w:r w:rsidR="009F48C8" w:rsidRPr="00CD7FCD">
        <w:t xml:space="preserve"> </w:t>
      </w:r>
      <w:r w:rsidRPr="00CD7FCD">
        <w:t>11.3</w:t>
      </w:r>
      <w:r w:rsidR="001A645C">
        <w:t xml:space="preserve"> per cent</w:t>
      </w:r>
      <w:r w:rsidRPr="00CD7FCD">
        <w:t xml:space="preserve"> risk reduction </w:t>
      </w:r>
      <w:r>
        <w:t>that was used in</w:t>
      </w:r>
      <w:r w:rsidRPr="00CD7FCD">
        <w:t xml:space="preserve"> the</w:t>
      </w:r>
      <w:r w:rsidRPr="00015A2F">
        <w:t xml:space="preserve"> </w:t>
      </w:r>
      <w:r w:rsidRPr="00096B3A">
        <w:t xml:space="preserve">2012 National Decision RIS (DRIS) which considered a number of approaches to manage the risk of CO poisoning from gas appliances (the 2012 </w:t>
      </w:r>
      <w:r w:rsidRPr="00096B3A">
        <w:rPr>
          <w:color w:val="000000" w:themeColor="text1"/>
        </w:rPr>
        <w:t>DRIS)</w:t>
      </w:r>
      <w:r w:rsidRPr="00096B3A">
        <w:rPr>
          <w:rStyle w:val="FootnoteReference"/>
          <w:color w:val="000000" w:themeColor="text1"/>
        </w:rPr>
        <w:footnoteReference w:id="19"/>
      </w:r>
      <w:r w:rsidRPr="00CD7FCD">
        <w:t xml:space="preserve"> then the measure would just breakeven, with $8.</w:t>
      </w:r>
      <w:r w:rsidR="00B53246">
        <w:t>5</w:t>
      </w:r>
      <w:r w:rsidR="00B53246" w:rsidRPr="00CD7FCD">
        <w:t xml:space="preserve"> </w:t>
      </w:r>
      <w:r w:rsidRPr="00CD7FCD">
        <w:t>million of benefits versus costs of $7.</w:t>
      </w:r>
      <w:r w:rsidR="007E1342">
        <w:t>9</w:t>
      </w:r>
      <w:r w:rsidR="007E1342" w:rsidRPr="00CD7FCD">
        <w:t xml:space="preserve"> </w:t>
      </w:r>
      <w:r w:rsidRPr="00CD7FCD">
        <w:t xml:space="preserve">million. </w:t>
      </w:r>
    </w:p>
    <w:p w14:paraId="5FA36B1D" w14:textId="492EFB22" w:rsidR="007B1724" w:rsidRPr="00CD7FCD" w:rsidRDefault="007B1724" w:rsidP="005D4E27">
      <w:pPr>
        <w:spacing w:before="120" w:after="120" w:line="240" w:lineRule="auto"/>
      </w:pPr>
      <w:r>
        <w:t>Given these considerations, f</w:t>
      </w:r>
      <w:r w:rsidRPr="00CA2C01">
        <w:t xml:space="preserve">urther work </w:t>
      </w:r>
      <w:r>
        <w:t xml:space="preserve">to resolve these issues for CO alarms would appear to be needed </w:t>
      </w:r>
      <w:r w:rsidRPr="00CA2C01">
        <w:t>before regulations are introduced to mandate their installation.</w:t>
      </w:r>
      <w:r>
        <w:t xml:space="preserve"> </w:t>
      </w:r>
      <w:r w:rsidRPr="00CD7FCD">
        <w:t xml:space="preserve">This RIS therefore does not </w:t>
      </w:r>
      <w:r w:rsidRPr="00CD7FCD">
        <w:lastRenderedPageBreak/>
        <w:t xml:space="preserve">recommend the mandatory installation of CO alarms </w:t>
      </w:r>
      <w:r>
        <w:t xml:space="preserve">for OFGSHs at this stage. CO alarms </w:t>
      </w:r>
      <w:r w:rsidR="00101768">
        <w:t xml:space="preserve">will </w:t>
      </w:r>
      <w:r>
        <w:t xml:space="preserve">continue to be recommended as a voluntary precautionary measure alongside regular heater servicing. </w:t>
      </w:r>
    </w:p>
    <w:bookmarkEnd w:id="83"/>
    <w:bookmarkEnd w:id="84"/>
    <w:bookmarkEnd w:id="85"/>
    <w:p w14:paraId="2F50F5FD" w14:textId="309B952E" w:rsidR="00042C06" w:rsidRDefault="00042C06">
      <w:pPr>
        <w:pStyle w:val="Heading2un-numbered"/>
      </w:pPr>
      <w:r>
        <w:t>Small business and competition impacts</w:t>
      </w:r>
    </w:p>
    <w:p w14:paraId="2D36304C" w14:textId="4064D9BA" w:rsidR="00B23BF3" w:rsidRDefault="00B23BF3" w:rsidP="00B23BF3">
      <w:r w:rsidRPr="006F3623">
        <w:t xml:space="preserve">The preferred option determined in this RIS (a </w:t>
      </w:r>
      <w:r w:rsidR="000E28A2" w:rsidRPr="006F3623">
        <w:t>fast-tracked</w:t>
      </w:r>
      <w:r w:rsidRPr="006F3623">
        <w:t xml:space="preserve"> </w:t>
      </w:r>
      <w:r w:rsidR="003E14CB">
        <w:t>standards-based</w:t>
      </w:r>
      <w:r w:rsidR="00DC26CE">
        <w:t xml:space="preserve"> approach</w:t>
      </w:r>
      <w:r w:rsidRPr="006F3623">
        <w:t xml:space="preserve"> to commence </w:t>
      </w:r>
      <w:r>
        <w:t>1 January 2022</w:t>
      </w:r>
      <w:r w:rsidRPr="006F3623">
        <w:t>) is expected to have a more significant impact on small</w:t>
      </w:r>
      <w:r w:rsidR="00FC39D1">
        <w:t>e</w:t>
      </w:r>
      <w:r w:rsidR="00E53E8A">
        <w:t xml:space="preserve">r and less </w:t>
      </w:r>
      <w:r w:rsidR="00FC39D1">
        <w:t xml:space="preserve">diversified </w:t>
      </w:r>
      <w:r w:rsidRPr="006F3623">
        <w:t xml:space="preserve">manufacturing businesses operating in Victoria than larger </w:t>
      </w:r>
      <w:r w:rsidR="00FC39D1">
        <w:t xml:space="preserve">and more diversified </w:t>
      </w:r>
      <w:r w:rsidRPr="006F3623">
        <w:t xml:space="preserve">businesses in the market. The most impacted businesses will be those that </w:t>
      </w:r>
      <w:r>
        <w:t xml:space="preserve">are smaller and/or </w:t>
      </w:r>
      <w:r w:rsidRPr="006F3623">
        <w:t>have a product range that is less diversified across different types of appliance</w:t>
      </w:r>
      <w:r>
        <w:t>, because they will experience disproportionately more change to their manufacturing process e.g. cost of changes to manufacturing plant/design). However,</w:t>
      </w:r>
      <w:r w:rsidRPr="006F3623">
        <w:t xml:space="preserve"> it is understood there are only a few such businesses at most.</w:t>
      </w:r>
    </w:p>
    <w:p w14:paraId="12E79061" w14:textId="11E20258" w:rsidR="00B23BF3" w:rsidRPr="006F3623" w:rsidRDefault="00B23BF3" w:rsidP="00B23BF3">
      <w:r w:rsidRPr="006F3623">
        <w:t xml:space="preserve">Consultation with industry indicated that several businesses in the industry are already shifting their manufacturing processes away from the manufacture of OFGSHs. As discussed in this RIS, sales of OFGSHs are declining and forecast to approach zero in 2027, reflecting a shift in consumer trends and manufacturing that is already </w:t>
      </w:r>
      <w:r w:rsidR="00101768">
        <w:t>underway</w:t>
      </w:r>
      <w:r w:rsidRPr="006F3623">
        <w:t>.</w:t>
      </w:r>
      <w:r>
        <w:t xml:space="preserve"> Most manufacturers are already producing gas heaters (such as room-sealed heaters) that eliminate the risks posed by OFGSHs. </w:t>
      </w:r>
      <w:r w:rsidR="000932DA" w:rsidRPr="005E40E4">
        <w:t xml:space="preserve">OFGSHs </w:t>
      </w:r>
      <w:r w:rsidR="009F48C8" w:rsidRPr="005E40E4">
        <w:t xml:space="preserve">are based on </w:t>
      </w:r>
      <w:r w:rsidRPr="005E40E4">
        <w:t>old technology that has already been superseded, prior to government intervention.</w:t>
      </w:r>
      <w:r w:rsidR="00862DCF" w:rsidRPr="005E40E4">
        <w:t xml:space="preserve"> </w:t>
      </w:r>
      <w:r w:rsidR="00862DCF" w:rsidRPr="007525E6">
        <w:t>Industry has also advised that the forecasted decline in</w:t>
      </w:r>
      <w:r w:rsidR="0042137C" w:rsidRPr="000276F0">
        <w:t xml:space="preserve"> OFGSH</w:t>
      </w:r>
      <w:r w:rsidR="00862DCF" w:rsidRPr="007525E6">
        <w:t xml:space="preserve"> sales to approach zero would likely occur up to five years earl</w:t>
      </w:r>
      <w:r w:rsidR="005E40E4" w:rsidRPr="000276F0">
        <w:t>ier</w:t>
      </w:r>
      <w:r w:rsidR="00862DCF" w:rsidRPr="007525E6">
        <w:t xml:space="preserve"> </w:t>
      </w:r>
      <w:r w:rsidR="004E7A5B">
        <w:t xml:space="preserve">than the </w:t>
      </w:r>
      <w:r w:rsidR="000931D4">
        <w:t>B</w:t>
      </w:r>
      <w:r w:rsidR="004E7A5B">
        <w:t xml:space="preserve">ase </w:t>
      </w:r>
      <w:r w:rsidR="000931D4">
        <w:t>C</w:t>
      </w:r>
      <w:r w:rsidR="004E7A5B">
        <w:t>ase</w:t>
      </w:r>
      <w:r w:rsidR="00862DCF" w:rsidRPr="007525E6">
        <w:t xml:space="preserve"> under this approach.</w:t>
      </w:r>
    </w:p>
    <w:p w14:paraId="589A98A0" w14:textId="0ACD15E2" w:rsidR="00B23BF3" w:rsidRDefault="00B23BF3" w:rsidP="00B23BF3">
      <w:r>
        <w:t>Extensive consultation has also been undertaken with industry over multiple years on this issue and it is therefore expected that industry would generally be anticipating change and have already adjusted their processes</w:t>
      </w:r>
      <w:r w:rsidR="00481584">
        <w:t xml:space="preserve"> </w:t>
      </w:r>
      <w:r>
        <w:t>or</w:t>
      </w:r>
      <w:r w:rsidR="00481584">
        <w:t>,</w:t>
      </w:r>
      <w:r>
        <w:t xml:space="preserve"> </w:t>
      </w:r>
      <w:r w:rsidR="00101768">
        <w:t>is</w:t>
      </w:r>
      <w:r>
        <w:t xml:space="preserve"> planning to do so. It is noted that industry has broadly supported the </w:t>
      </w:r>
      <w:r w:rsidR="005454AE">
        <w:t>standards-based</w:t>
      </w:r>
      <w:r w:rsidR="00DC26CE">
        <w:t xml:space="preserve"> approach</w:t>
      </w:r>
      <w:r>
        <w:t xml:space="preserve">. </w:t>
      </w:r>
    </w:p>
    <w:p w14:paraId="0E54E82D" w14:textId="683FE954" w:rsidR="00B23BF3" w:rsidRDefault="00B23BF3" w:rsidP="00B23BF3">
      <w:r>
        <w:t xml:space="preserve">The preferred option might impact competition in the gas appliance manufacturing sector if small businesses that are less diversified end up exiting the industry. It is possible that the gas heating sector will become slightly more concentrated as a result, although </w:t>
      </w:r>
      <w:r w:rsidR="00101768">
        <w:t xml:space="preserve">again </w:t>
      </w:r>
      <w:r>
        <w:t xml:space="preserve">this impact is expected </w:t>
      </w:r>
      <w:r w:rsidR="009D0C28">
        <w:t xml:space="preserve">to </w:t>
      </w:r>
      <w:r>
        <w:t xml:space="preserve">be small as impacted small businesses only comprise a small share of the sector. </w:t>
      </w:r>
    </w:p>
    <w:p w14:paraId="5D6494C5" w14:textId="2E8D0EC2" w:rsidR="00B23BF3" w:rsidRDefault="00B23BF3" w:rsidP="00B23BF3">
      <w:r>
        <w:t xml:space="preserve">Adopting the </w:t>
      </w:r>
      <w:r w:rsidR="00E754EB">
        <w:t>s</w:t>
      </w:r>
      <w:r>
        <w:t>tandards-based approach means there is still opportunity to innovate solutions that partially address the CO risk (the safety outcomes of this innovation are as yet untested</w:t>
      </w:r>
      <w:r w:rsidR="001212C7">
        <w:t xml:space="preserve">, however </w:t>
      </w:r>
      <w:r w:rsidR="00A84C35">
        <w:t xml:space="preserve">would be </w:t>
      </w:r>
      <w:r w:rsidR="00DE63E1">
        <w:t xml:space="preserve">tested for compliance with the </w:t>
      </w:r>
      <w:r w:rsidR="00F55F2F">
        <w:t>new requirements</w:t>
      </w:r>
      <w:r w:rsidR="00DE63E1">
        <w:t xml:space="preserve"> </w:t>
      </w:r>
      <w:r w:rsidR="00A84C35">
        <w:t xml:space="preserve">prior to </w:t>
      </w:r>
      <w:r w:rsidR="000D2BCC">
        <w:t>an appliance being certified by a CAB</w:t>
      </w:r>
      <w:r>
        <w:t xml:space="preserve">). One business noted this view during consultation, although consultation with industry has generally indicated that development of new </w:t>
      </w:r>
      <w:r w:rsidR="000932DA">
        <w:t xml:space="preserve">OFGSHs </w:t>
      </w:r>
      <w:r>
        <w:t>that meet the</w:t>
      </w:r>
      <w:r w:rsidR="00E754EB">
        <w:t xml:space="preserve"> Australian</w:t>
      </w:r>
      <w:r>
        <w:t xml:space="preserve"> Standard is unlikely. There was broad agreement across manufacturing businesses that technological innovation for OFGSHs was infeasible from a technology and cost perspective. Consumer and manufacturing trends show innovation is more likely to be focused on other types of heating rather than OFGSHs.</w:t>
      </w:r>
    </w:p>
    <w:p w14:paraId="76AC2C8B" w14:textId="747BE9E3" w:rsidR="00B23BF3" w:rsidRDefault="00B23BF3" w:rsidP="00B23BF3">
      <w:r>
        <w:t xml:space="preserve">In summary, </w:t>
      </w:r>
      <w:r w:rsidR="00CA3E2D">
        <w:t>industry has indicated broad support for the</w:t>
      </w:r>
      <w:r>
        <w:t xml:space="preserve"> preferred option </w:t>
      </w:r>
      <w:r w:rsidR="00CA3E2D">
        <w:t xml:space="preserve">and the impact </w:t>
      </w:r>
      <w:r>
        <w:t>on small business and competition is expected to be minimal.</w:t>
      </w:r>
    </w:p>
    <w:p w14:paraId="6C9B98D5" w14:textId="27ECBA52" w:rsidR="00C35C12" w:rsidRDefault="00D03A7C">
      <w:pPr>
        <w:pStyle w:val="Heading2un-numbered"/>
      </w:pPr>
      <w:bookmarkStart w:id="86" w:name="_Toc19092398"/>
      <w:bookmarkStart w:id="87" w:name="_Toc20138641"/>
      <w:bookmarkStart w:id="88" w:name="_Toc17892120"/>
      <w:r w:rsidRPr="00D03A7C">
        <w:t>Implemen</w:t>
      </w:r>
      <w:r w:rsidR="00C35C12">
        <w:t>tation plan</w:t>
      </w:r>
      <w:bookmarkEnd w:id="86"/>
      <w:bookmarkEnd w:id="87"/>
    </w:p>
    <w:p w14:paraId="7D818A10" w14:textId="42274A0F" w:rsidR="00357E54" w:rsidRDefault="00063AA0" w:rsidP="00063AA0">
      <w:pPr>
        <w:rPr>
          <w:rFonts w:asciiTheme="minorHAnsi" w:hAnsiTheme="minorHAnsi"/>
          <w:iCs/>
          <w:color w:val="75787B" w:themeColor="accent6"/>
          <w:sz w:val="17"/>
        </w:rPr>
      </w:pPr>
      <w:bookmarkStart w:id="89" w:name="_Toc19092399"/>
      <w:bookmarkStart w:id="90" w:name="_Toc20138642"/>
      <w:bookmarkEnd w:id="88"/>
      <w:r w:rsidRPr="00103FCD">
        <w:rPr>
          <w:rFonts w:asciiTheme="minorHAnsi" w:hAnsiTheme="minorHAnsi"/>
          <w:szCs w:val="16"/>
        </w:rPr>
        <w:t>Key tasks for implementation of the proposed changes</w:t>
      </w:r>
      <w:r w:rsidR="00E754EB">
        <w:rPr>
          <w:rFonts w:asciiTheme="minorHAnsi" w:hAnsiTheme="minorHAnsi"/>
          <w:szCs w:val="16"/>
        </w:rPr>
        <w:t>, which will be led by DELWP and ESV with support from the VBA,</w:t>
      </w:r>
      <w:r w:rsidRPr="00103FCD">
        <w:rPr>
          <w:rFonts w:asciiTheme="minorHAnsi" w:hAnsiTheme="minorHAnsi"/>
          <w:szCs w:val="16"/>
        </w:rPr>
        <w:t xml:space="preserve"> include:</w:t>
      </w:r>
    </w:p>
    <w:p w14:paraId="566A1E2C" w14:textId="517C3FAC" w:rsidR="00063AA0" w:rsidRPr="00101768" w:rsidRDefault="00063AA0" w:rsidP="00101768">
      <w:pPr>
        <w:pStyle w:val="ListParagraph"/>
        <w:numPr>
          <w:ilvl w:val="0"/>
          <w:numId w:val="176"/>
        </w:numPr>
        <w:spacing w:after="120"/>
        <w:rPr>
          <w:rFonts w:asciiTheme="minorHAnsi" w:hAnsiTheme="minorHAnsi"/>
          <w:szCs w:val="16"/>
        </w:rPr>
      </w:pPr>
      <w:r w:rsidRPr="00101768">
        <w:rPr>
          <w:rFonts w:asciiTheme="minorHAnsi" w:hAnsiTheme="minorHAnsi"/>
          <w:szCs w:val="16"/>
        </w:rPr>
        <w:t>Industry to submit project proposal to Standards Australia to amend AS/NZS 5263.1.3 and AS/NZS 5263.1.8 to include the new requirements</w:t>
      </w:r>
    </w:p>
    <w:p w14:paraId="312BA31B" w14:textId="64B0AEBA" w:rsidR="00063AA0" w:rsidRPr="00063AA0" w:rsidRDefault="00063AA0" w:rsidP="00103FCD">
      <w:pPr>
        <w:pStyle w:val="ListParagraph"/>
        <w:numPr>
          <w:ilvl w:val="0"/>
          <w:numId w:val="176"/>
        </w:numPr>
        <w:spacing w:after="120"/>
        <w:rPr>
          <w:rFonts w:asciiTheme="minorHAnsi" w:hAnsiTheme="minorHAnsi"/>
          <w:szCs w:val="16"/>
        </w:rPr>
      </w:pPr>
      <w:r w:rsidRPr="00103FCD">
        <w:rPr>
          <w:rFonts w:asciiTheme="minorHAnsi" w:hAnsiTheme="minorHAnsi"/>
          <w:szCs w:val="16"/>
        </w:rPr>
        <w:t xml:space="preserve">Develop GTRC Technical Guidance Bulletin requiring the </w:t>
      </w:r>
      <w:r w:rsidR="00D87130">
        <w:rPr>
          <w:rFonts w:asciiTheme="minorHAnsi" w:hAnsiTheme="minorHAnsi"/>
          <w:szCs w:val="16"/>
        </w:rPr>
        <w:t>new requirements</w:t>
      </w:r>
      <w:r w:rsidRPr="00103FCD">
        <w:rPr>
          <w:rFonts w:asciiTheme="minorHAnsi" w:hAnsiTheme="minorHAnsi"/>
          <w:szCs w:val="16"/>
        </w:rPr>
        <w:t xml:space="preserve"> to come into </w:t>
      </w:r>
      <w:r w:rsidRPr="00063AA0">
        <w:rPr>
          <w:rFonts w:asciiTheme="minorHAnsi" w:hAnsiTheme="minorHAnsi"/>
          <w:szCs w:val="16"/>
        </w:rPr>
        <w:t xml:space="preserve">effect from 1 January 2022 until such time as AS/NZS5263.1.3 and AS/NZS 5263.1.8 </w:t>
      </w:r>
      <w:r w:rsidR="00101768">
        <w:rPr>
          <w:rFonts w:asciiTheme="minorHAnsi" w:hAnsiTheme="minorHAnsi"/>
          <w:szCs w:val="16"/>
        </w:rPr>
        <w:t>are</w:t>
      </w:r>
      <w:r w:rsidR="00101768" w:rsidRPr="00063AA0">
        <w:rPr>
          <w:rFonts w:asciiTheme="minorHAnsi" w:hAnsiTheme="minorHAnsi"/>
          <w:szCs w:val="16"/>
        </w:rPr>
        <w:t xml:space="preserve"> </w:t>
      </w:r>
      <w:r w:rsidR="00B15AF1">
        <w:rPr>
          <w:rFonts w:asciiTheme="minorHAnsi" w:hAnsiTheme="minorHAnsi"/>
          <w:szCs w:val="16"/>
        </w:rPr>
        <w:t xml:space="preserve">formally </w:t>
      </w:r>
      <w:r w:rsidRPr="00063AA0">
        <w:rPr>
          <w:rFonts w:asciiTheme="minorHAnsi" w:hAnsiTheme="minorHAnsi"/>
          <w:szCs w:val="16"/>
        </w:rPr>
        <w:t>amended</w:t>
      </w:r>
    </w:p>
    <w:p w14:paraId="6458D69A" w14:textId="4AC494CE" w:rsidR="00063AA0" w:rsidRPr="00063AA0" w:rsidRDefault="00063AA0" w:rsidP="00063AA0">
      <w:pPr>
        <w:pStyle w:val="ListParagraph"/>
        <w:numPr>
          <w:ilvl w:val="0"/>
          <w:numId w:val="176"/>
        </w:numPr>
        <w:spacing w:after="120"/>
        <w:rPr>
          <w:rFonts w:asciiTheme="minorHAnsi" w:hAnsiTheme="minorHAnsi"/>
          <w:szCs w:val="16"/>
        </w:rPr>
      </w:pPr>
      <w:r w:rsidRPr="00063AA0">
        <w:rPr>
          <w:rFonts w:asciiTheme="minorHAnsi" w:hAnsiTheme="minorHAnsi"/>
          <w:szCs w:val="16"/>
        </w:rPr>
        <w:t>Develop compliance and enforcement policy</w:t>
      </w:r>
    </w:p>
    <w:p w14:paraId="3F2DB048" w14:textId="692C0057" w:rsidR="00063AA0" w:rsidRPr="00063AA0" w:rsidRDefault="00063AA0" w:rsidP="00063AA0">
      <w:pPr>
        <w:pStyle w:val="ListParagraph"/>
        <w:numPr>
          <w:ilvl w:val="0"/>
          <w:numId w:val="176"/>
        </w:numPr>
        <w:spacing w:after="120"/>
        <w:rPr>
          <w:rFonts w:asciiTheme="minorHAnsi" w:hAnsiTheme="minorHAnsi"/>
          <w:szCs w:val="16"/>
        </w:rPr>
      </w:pPr>
      <w:r w:rsidRPr="00063AA0">
        <w:rPr>
          <w:rFonts w:asciiTheme="minorHAnsi" w:hAnsiTheme="minorHAnsi"/>
          <w:szCs w:val="16"/>
        </w:rPr>
        <w:t>Develop new guidance materials for manufacturers, suppliers, retailers, CABs and gasfitters to support the new Standard</w:t>
      </w:r>
    </w:p>
    <w:p w14:paraId="0598064D" w14:textId="5F94869A" w:rsidR="00063AA0" w:rsidRDefault="00063AA0" w:rsidP="00103FCD">
      <w:pPr>
        <w:pStyle w:val="ListParagraph"/>
        <w:numPr>
          <w:ilvl w:val="0"/>
          <w:numId w:val="176"/>
        </w:numPr>
        <w:spacing w:after="120"/>
        <w:rPr>
          <w:rFonts w:eastAsiaTheme="majorEastAsia" w:cstheme="majorBidi"/>
          <w:b/>
          <w:bCs/>
        </w:rPr>
      </w:pPr>
      <w:r w:rsidRPr="00063AA0">
        <w:rPr>
          <w:rFonts w:asciiTheme="minorHAnsi" w:hAnsiTheme="minorHAnsi"/>
          <w:szCs w:val="16"/>
        </w:rPr>
        <w:t>Develop evaluation information and data strategy</w:t>
      </w:r>
    </w:p>
    <w:p w14:paraId="31341FE8" w14:textId="3EACC896" w:rsidR="00357E54" w:rsidRDefault="00357E54" w:rsidP="00357E54">
      <w:pPr>
        <w:spacing w:after="120"/>
        <w:rPr>
          <w:rFonts w:asciiTheme="minorHAnsi" w:hAnsiTheme="minorHAnsi"/>
          <w:szCs w:val="16"/>
        </w:rPr>
      </w:pPr>
      <w:r w:rsidRPr="00096B3A">
        <w:rPr>
          <w:rFonts w:asciiTheme="minorHAnsi" w:hAnsiTheme="minorHAnsi"/>
          <w:szCs w:val="16"/>
        </w:rPr>
        <w:lastRenderedPageBreak/>
        <w:t xml:space="preserve">Implementation of the </w:t>
      </w:r>
      <w:r>
        <w:rPr>
          <w:rFonts w:asciiTheme="minorHAnsi" w:hAnsiTheme="minorHAnsi"/>
          <w:szCs w:val="16"/>
        </w:rPr>
        <w:t>changes</w:t>
      </w:r>
      <w:r w:rsidRPr="00096B3A">
        <w:rPr>
          <w:rFonts w:asciiTheme="minorHAnsi" w:hAnsiTheme="minorHAnsi"/>
          <w:szCs w:val="16"/>
        </w:rPr>
        <w:t xml:space="preserve"> will be supported by communications with the public and industry. Communication will include</w:t>
      </w:r>
      <w:r>
        <w:rPr>
          <w:rFonts w:asciiTheme="minorHAnsi" w:hAnsiTheme="minorHAnsi"/>
          <w:szCs w:val="16"/>
        </w:rPr>
        <w:t>:</w:t>
      </w:r>
    </w:p>
    <w:p w14:paraId="37B8DD86" w14:textId="77777777" w:rsidR="00357E54" w:rsidRPr="006F291F" w:rsidRDefault="00357E54" w:rsidP="00357E54">
      <w:pPr>
        <w:pStyle w:val="ListParagraph"/>
        <w:numPr>
          <w:ilvl w:val="0"/>
          <w:numId w:val="176"/>
        </w:numPr>
        <w:spacing w:after="120"/>
        <w:rPr>
          <w:rFonts w:asciiTheme="minorHAnsi" w:hAnsiTheme="minorHAnsi"/>
          <w:szCs w:val="16"/>
        </w:rPr>
      </w:pPr>
      <w:r w:rsidRPr="00B578ED">
        <w:rPr>
          <w:rFonts w:asciiTheme="minorHAnsi" w:hAnsiTheme="minorHAnsi"/>
          <w:szCs w:val="16"/>
        </w:rPr>
        <w:t xml:space="preserve">Public </w:t>
      </w:r>
      <w:r w:rsidRPr="006F291F">
        <w:rPr>
          <w:rFonts w:asciiTheme="minorHAnsi" w:hAnsiTheme="minorHAnsi"/>
          <w:szCs w:val="16"/>
        </w:rPr>
        <w:t>advice through the annual CO awareness campaign running over winter</w:t>
      </w:r>
    </w:p>
    <w:p w14:paraId="19A811AF" w14:textId="77777777" w:rsidR="00063AA0" w:rsidRDefault="00357E54" w:rsidP="00063AA0">
      <w:pPr>
        <w:pStyle w:val="ListParagraph"/>
        <w:numPr>
          <w:ilvl w:val="0"/>
          <w:numId w:val="176"/>
        </w:numPr>
        <w:spacing w:after="120"/>
        <w:rPr>
          <w:rFonts w:asciiTheme="minorHAnsi" w:hAnsiTheme="minorHAnsi"/>
          <w:szCs w:val="16"/>
        </w:rPr>
      </w:pPr>
      <w:r w:rsidRPr="006F291F">
        <w:rPr>
          <w:rFonts w:asciiTheme="minorHAnsi" w:hAnsiTheme="minorHAnsi"/>
          <w:szCs w:val="16"/>
        </w:rPr>
        <w:t xml:space="preserve">Guidance materials for industry (manufacturers, suppliers, retailers) and CABs </w:t>
      </w:r>
    </w:p>
    <w:p w14:paraId="118EF9DD" w14:textId="56E75793" w:rsidR="00063AA0" w:rsidRPr="00103FCD" w:rsidRDefault="00357E54" w:rsidP="000D5E7B">
      <w:pPr>
        <w:pStyle w:val="ListParagraph"/>
        <w:numPr>
          <w:ilvl w:val="0"/>
          <w:numId w:val="176"/>
        </w:numPr>
        <w:rPr>
          <w:rFonts w:asciiTheme="minorHAnsi" w:hAnsiTheme="minorHAnsi"/>
          <w:szCs w:val="16"/>
        </w:rPr>
      </w:pPr>
      <w:r w:rsidRPr="00103FCD">
        <w:rPr>
          <w:rFonts w:asciiTheme="minorHAnsi" w:hAnsiTheme="minorHAnsi"/>
          <w:szCs w:val="16"/>
        </w:rPr>
        <w:t>Guidance materials for gasfitters</w:t>
      </w:r>
      <w:r w:rsidR="00063AA0">
        <w:rPr>
          <w:rFonts w:asciiTheme="minorHAnsi" w:hAnsiTheme="minorHAnsi"/>
          <w:szCs w:val="16"/>
        </w:rPr>
        <w:t>.</w:t>
      </w:r>
      <w:r w:rsidR="003B7894">
        <w:rPr>
          <w:rStyle w:val="FootnoteReference"/>
          <w:rFonts w:asciiTheme="minorHAnsi" w:hAnsiTheme="minorHAnsi"/>
          <w:szCs w:val="16"/>
        </w:rPr>
        <w:footnoteReference w:id="20"/>
      </w:r>
    </w:p>
    <w:p w14:paraId="5E0F304B" w14:textId="4B7EC611" w:rsidR="00357E54" w:rsidRPr="006F291F" w:rsidRDefault="00357E54" w:rsidP="00357E54">
      <w:pPr>
        <w:spacing w:after="120"/>
        <w:rPr>
          <w:rFonts w:asciiTheme="minorHAnsi" w:hAnsiTheme="minorHAnsi"/>
          <w:szCs w:val="16"/>
        </w:rPr>
      </w:pPr>
      <w:r w:rsidRPr="006F291F">
        <w:rPr>
          <w:rFonts w:asciiTheme="minorHAnsi" w:hAnsiTheme="minorHAnsi"/>
          <w:szCs w:val="16"/>
        </w:rPr>
        <w:t xml:space="preserve">Under the current regulatory framework, ESV and </w:t>
      </w:r>
      <w:r w:rsidR="009A5B79">
        <w:rPr>
          <w:rFonts w:asciiTheme="minorHAnsi" w:hAnsiTheme="minorHAnsi"/>
          <w:szCs w:val="16"/>
        </w:rPr>
        <w:t>the</w:t>
      </w:r>
      <w:r w:rsidRPr="006F291F">
        <w:rPr>
          <w:rFonts w:asciiTheme="minorHAnsi" w:hAnsiTheme="minorHAnsi"/>
          <w:szCs w:val="16"/>
        </w:rPr>
        <w:t xml:space="preserve"> VBA both have separate responsibilities to enforce compliance under the</w:t>
      </w:r>
      <w:r w:rsidR="00101768">
        <w:rPr>
          <w:rFonts w:asciiTheme="minorHAnsi" w:hAnsiTheme="minorHAnsi"/>
          <w:szCs w:val="16"/>
        </w:rPr>
        <w:t xml:space="preserve"> GS Act</w:t>
      </w:r>
      <w:r w:rsidR="006D0699">
        <w:rPr>
          <w:rFonts w:asciiTheme="minorHAnsi" w:hAnsiTheme="minorHAnsi"/>
          <w:i/>
          <w:iCs/>
          <w:szCs w:val="16"/>
        </w:rPr>
        <w:t xml:space="preserve">, </w:t>
      </w:r>
      <w:r w:rsidR="005B796A" w:rsidRPr="000276F0">
        <w:rPr>
          <w:rFonts w:asciiTheme="minorHAnsi" w:hAnsiTheme="minorHAnsi"/>
          <w:szCs w:val="16"/>
        </w:rPr>
        <w:t>the Building Act</w:t>
      </w:r>
      <w:r w:rsidRPr="006F291F">
        <w:rPr>
          <w:rFonts w:asciiTheme="minorHAnsi" w:hAnsiTheme="minorHAnsi"/>
          <w:szCs w:val="16"/>
        </w:rPr>
        <w:t xml:space="preserve"> and </w:t>
      </w:r>
      <w:r w:rsidR="006D0699">
        <w:rPr>
          <w:rFonts w:asciiTheme="minorHAnsi" w:hAnsiTheme="minorHAnsi"/>
          <w:szCs w:val="16"/>
        </w:rPr>
        <w:t xml:space="preserve">associated </w:t>
      </w:r>
      <w:r w:rsidRPr="006F291F">
        <w:rPr>
          <w:rFonts w:asciiTheme="minorHAnsi" w:hAnsiTheme="minorHAnsi"/>
          <w:szCs w:val="16"/>
        </w:rPr>
        <w:t>regulations.</w:t>
      </w:r>
    </w:p>
    <w:p w14:paraId="07BC9733" w14:textId="77777777" w:rsidR="00357E54" w:rsidRPr="00C65505" w:rsidRDefault="00357E54" w:rsidP="00357E54">
      <w:pPr>
        <w:spacing w:after="120"/>
        <w:rPr>
          <w:rFonts w:asciiTheme="minorHAnsi" w:hAnsiTheme="minorHAnsi"/>
          <w:szCs w:val="16"/>
        </w:rPr>
      </w:pPr>
      <w:r w:rsidRPr="006F291F">
        <w:rPr>
          <w:rFonts w:asciiTheme="minorHAnsi" w:hAnsiTheme="minorHAnsi"/>
          <w:szCs w:val="16"/>
        </w:rPr>
        <w:t>ESV will be primarily responsible for implementation of the proposed changes through the GTRC Technical Guidance Bulletin, includin</w:t>
      </w:r>
      <w:r w:rsidRPr="00C65505">
        <w:rPr>
          <w:rFonts w:asciiTheme="minorHAnsi" w:hAnsiTheme="minorHAnsi"/>
          <w:szCs w:val="16"/>
        </w:rPr>
        <w:t>g monitoring</w:t>
      </w:r>
      <w:r>
        <w:rPr>
          <w:rFonts w:asciiTheme="minorHAnsi" w:hAnsiTheme="minorHAnsi"/>
          <w:szCs w:val="16"/>
        </w:rPr>
        <w:t xml:space="preserve"> compliance through</w:t>
      </w:r>
      <w:r w:rsidRPr="00C65505">
        <w:rPr>
          <w:rFonts w:asciiTheme="minorHAnsi" w:hAnsiTheme="minorHAnsi"/>
          <w:szCs w:val="16"/>
        </w:rPr>
        <w:t xml:space="preserve"> the CAB assessment process. </w:t>
      </w:r>
    </w:p>
    <w:p w14:paraId="69012CDB" w14:textId="77777777" w:rsidR="00357E54" w:rsidRPr="00C65505" w:rsidRDefault="00357E54" w:rsidP="00357E54">
      <w:pPr>
        <w:spacing w:after="120"/>
        <w:rPr>
          <w:rFonts w:asciiTheme="minorHAnsi" w:hAnsiTheme="minorHAnsi"/>
          <w:szCs w:val="16"/>
        </w:rPr>
      </w:pPr>
      <w:r w:rsidRPr="00C65505">
        <w:rPr>
          <w:rFonts w:asciiTheme="minorHAnsi" w:hAnsiTheme="minorHAnsi"/>
          <w:szCs w:val="16"/>
        </w:rPr>
        <w:t>DELWP will lead key strategic policy development and stakeholder communications.</w:t>
      </w:r>
    </w:p>
    <w:p w14:paraId="6D22C9A3" w14:textId="16DF3426" w:rsidR="00357E54" w:rsidRPr="00103FCD" w:rsidRDefault="00357E54" w:rsidP="00103FCD">
      <w:pPr>
        <w:spacing w:after="120"/>
        <w:rPr>
          <w:rFonts w:asciiTheme="minorHAnsi" w:hAnsiTheme="minorHAnsi"/>
          <w:szCs w:val="16"/>
        </w:rPr>
      </w:pPr>
      <w:r w:rsidRPr="00103FCD">
        <w:rPr>
          <w:rFonts w:asciiTheme="minorHAnsi" w:hAnsiTheme="minorHAnsi"/>
          <w:szCs w:val="16"/>
        </w:rPr>
        <w:t>ESV will take appropriate enforcement action where any decisions are found to have been breached.</w:t>
      </w:r>
    </w:p>
    <w:p w14:paraId="5A6D5211" w14:textId="59815C68" w:rsidR="00357E54" w:rsidRPr="002F2200" w:rsidRDefault="00357E54" w:rsidP="00357E54">
      <w:pPr>
        <w:spacing w:after="120"/>
        <w:rPr>
          <w:rFonts w:asciiTheme="minorHAnsi" w:hAnsiTheme="minorHAnsi"/>
          <w:szCs w:val="16"/>
        </w:rPr>
      </w:pPr>
      <w:r w:rsidRPr="00407045">
        <w:rPr>
          <w:rFonts w:asciiTheme="minorHAnsi" w:hAnsiTheme="minorHAnsi"/>
          <w:szCs w:val="16"/>
        </w:rPr>
        <w:t xml:space="preserve">Monitoring of </w:t>
      </w:r>
      <w:r w:rsidRPr="000046DF">
        <w:rPr>
          <w:rFonts w:asciiTheme="minorHAnsi" w:hAnsiTheme="minorHAnsi"/>
          <w:szCs w:val="16"/>
        </w:rPr>
        <w:t>overall</w:t>
      </w:r>
      <w:r w:rsidRPr="00407045">
        <w:rPr>
          <w:rFonts w:asciiTheme="minorHAnsi" w:hAnsiTheme="minorHAnsi"/>
          <w:szCs w:val="16"/>
        </w:rPr>
        <w:t xml:space="preserve"> implementation, including identification and management of implementation risks, will be undertaken by DELWP, with support from ESV</w:t>
      </w:r>
      <w:r w:rsidR="00930706">
        <w:rPr>
          <w:rFonts w:asciiTheme="minorHAnsi" w:hAnsiTheme="minorHAnsi"/>
          <w:szCs w:val="16"/>
        </w:rPr>
        <w:t xml:space="preserve"> and the VBA</w:t>
      </w:r>
      <w:r w:rsidRPr="00407045">
        <w:rPr>
          <w:rFonts w:asciiTheme="minorHAnsi" w:hAnsiTheme="minorHAnsi"/>
          <w:szCs w:val="16"/>
        </w:rPr>
        <w:t xml:space="preserve">. </w:t>
      </w:r>
      <w:r w:rsidRPr="000046DF">
        <w:rPr>
          <w:rFonts w:asciiTheme="minorHAnsi" w:hAnsiTheme="minorHAnsi"/>
          <w:szCs w:val="16"/>
        </w:rPr>
        <w:t xml:space="preserve">ESV will monitor the implementation of </w:t>
      </w:r>
      <w:r w:rsidR="008010F8">
        <w:rPr>
          <w:rFonts w:asciiTheme="minorHAnsi" w:hAnsiTheme="minorHAnsi"/>
          <w:szCs w:val="16"/>
        </w:rPr>
        <w:t>its</w:t>
      </w:r>
      <w:r w:rsidRPr="000046DF">
        <w:rPr>
          <w:rFonts w:asciiTheme="minorHAnsi" w:hAnsiTheme="minorHAnsi"/>
          <w:szCs w:val="16"/>
        </w:rPr>
        <w:t xml:space="preserve"> own actions and report to DELWP.</w:t>
      </w:r>
      <w:r w:rsidRPr="00E10A28">
        <w:rPr>
          <w:rFonts w:asciiTheme="minorHAnsi" w:hAnsiTheme="minorHAnsi"/>
          <w:szCs w:val="16"/>
        </w:rPr>
        <w:t xml:space="preserve"> </w:t>
      </w:r>
    </w:p>
    <w:p w14:paraId="5869EFD6" w14:textId="2D46320F" w:rsidR="00101768" w:rsidRDefault="00101768" w:rsidP="00101768">
      <w:pPr>
        <w:spacing w:after="0" w:line="240" w:lineRule="auto"/>
      </w:pPr>
      <w:r>
        <w:t xml:space="preserve">It is unlikely but possible that </w:t>
      </w:r>
      <w:r w:rsidRPr="00797FF5">
        <w:t>not all members of the GTRC</w:t>
      </w:r>
      <w:r>
        <w:t xml:space="preserve"> (i.e. every state in Australia) may agree to the GTRC Bulletin (although advice from ESV is that all members agree at the present time). In the event that the process is not proceeding as expected </w:t>
      </w:r>
      <w:r w:rsidRPr="00826650">
        <w:rPr>
          <w:rFonts w:asciiTheme="minorHAnsi" w:hAnsiTheme="minorHAnsi"/>
          <w:szCs w:val="16"/>
        </w:rPr>
        <w:t>by the second half of 2021</w:t>
      </w:r>
      <w:r>
        <w:rPr>
          <w:rFonts w:asciiTheme="minorHAnsi" w:hAnsiTheme="minorHAnsi"/>
          <w:szCs w:val="16"/>
        </w:rPr>
        <w:t xml:space="preserve"> </w:t>
      </w:r>
      <w:r>
        <w:t>then:</w:t>
      </w:r>
    </w:p>
    <w:p w14:paraId="7322C360" w14:textId="77777777" w:rsidR="00101768" w:rsidRDefault="00101768" w:rsidP="00101768">
      <w:pPr>
        <w:spacing w:after="0" w:line="240" w:lineRule="auto"/>
      </w:pPr>
    </w:p>
    <w:p w14:paraId="17AE2387" w14:textId="749FCB4A" w:rsidR="00101768" w:rsidRPr="000276F0" w:rsidRDefault="00101768" w:rsidP="000276F0">
      <w:pPr>
        <w:pStyle w:val="ListParagraph"/>
        <w:numPr>
          <w:ilvl w:val="0"/>
          <w:numId w:val="176"/>
        </w:numPr>
        <w:spacing w:after="120"/>
        <w:rPr>
          <w:rFonts w:asciiTheme="minorHAnsi" w:hAnsiTheme="minorHAnsi"/>
          <w:szCs w:val="16"/>
        </w:rPr>
      </w:pPr>
      <w:r w:rsidRPr="000276F0">
        <w:rPr>
          <w:rFonts w:asciiTheme="minorHAnsi" w:hAnsiTheme="minorHAnsi"/>
          <w:szCs w:val="16"/>
        </w:rPr>
        <w:t xml:space="preserve">ESV can release a Victoria-specific bulletin if necessary or </w:t>
      </w:r>
      <w:r w:rsidRPr="00433C52">
        <w:rPr>
          <w:rFonts w:asciiTheme="minorHAnsi" w:hAnsiTheme="minorHAnsi"/>
          <w:szCs w:val="16"/>
        </w:rPr>
        <w:t xml:space="preserve">consider using its statutory powers under the </w:t>
      </w:r>
      <w:r w:rsidRPr="000276F0">
        <w:rPr>
          <w:rFonts w:asciiTheme="minorHAnsi" w:hAnsiTheme="minorHAnsi"/>
          <w:szCs w:val="16"/>
        </w:rPr>
        <w:t xml:space="preserve">GS Act </w:t>
      </w:r>
      <w:r w:rsidRPr="00101768">
        <w:rPr>
          <w:rFonts w:asciiTheme="minorHAnsi" w:hAnsiTheme="minorHAnsi"/>
          <w:szCs w:val="16"/>
        </w:rPr>
        <w:t>to</w:t>
      </w:r>
      <w:r w:rsidRPr="00433C52">
        <w:rPr>
          <w:rFonts w:asciiTheme="minorHAnsi" w:hAnsiTheme="minorHAnsi"/>
          <w:szCs w:val="16"/>
        </w:rPr>
        <w:t xml:space="preserve"> affect certification, sale and supply of OFGSHs</w:t>
      </w:r>
    </w:p>
    <w:p w14:paraId="2EF23D21" w14:textId="11EABAC8" w:rsidR="00357E54" w:rsidRPr="00E10A28" w:rsidRDefault="00101768" w:rsidP="000276F0">
      <w:pPr>
        <w:pStyle w:val="ListParagraph"/>
        <w:numPr>
          <w:ilvl w:val="0"/>
          <w:numId w:val="176"/>
        </w:numPr>
        <w:spacing w:after="120"/>
        <w:rPr>
          <w:rFonts w:asciiTheme="minorHAnsi" w:hAnsiTheme="minorHAnsi"/>
          <w:szCs w:val="16"/>
        </w:rPr>
      </w:pPr>
      <w:r w:rsidRPr="00004831">
        <w:rPr>
          <w:rFonts w:asciiTheme="minorHAnsi" w:hAnsiTheme="minorHAnsi"/>
          <w:szCs w:val="16"/>
        </w:rPr>
        <w:t>DELWP w</w:t>
      </w:r>
      <w:r>
        <w:rPr>
          <w:rFonts w:asciiTheme="minorHAnsi" w:hAnsiTheme="minorHAnsi"/>
          <w:szCs w:val="16"/>
        </w:rPr>
        <w:t>ill</w:t>
      </w:r>
      <w:r w:rsidRPr="00004831">
        <w:rPr>
          <w:rFonts w:asciiTheme="minorHAnsi" w:hAnsiTheme="minorHAnsi"/>
          <w:szCs w:val="16"/>
        </w:rPr>
        <w:t xml:space="preserve"> give consideration to implementing a restriction on the installation of OFGSHs through amendments to the Gas Safety (Gas Installation) Regulations. </w:t>
      </w:r>
      <w:r>
        <w:rPr>
          <w:rFonts w:asciiTheme="minorHAnsi" w:hAnsiTheme="minorHAnsi"/>
          <w:szCs w:val="16"/>
        </w:rPr>
        <w:t xml:space="preserve">Draft amendments </w:t>
      </w:r>
      <w:r w:rsidR="00264CF0">
        <w:rPr>
          <w:rFonts w:asciiTheme="minorHAnsi" w:hAnsiTheme="minorHAnsi"/>
          <w:szCs w:val="16"/>
        </w:rPr>
        <w:t xml:space="preserve">to these Regulations </w:t>
      </w:r>
      <w:r>
        <w:rPr>
          <w:rFonts w:asciiTheme="minorHAnsi" w:hAnsiTheme="minorHAnsi"/>
          <w:szCs w:val="16"/>
        </w:rPr>
        <w:t>are set out in Appendix D.</w:t>
      </w:r>
    </w:p>
    <w:p w14:paraId="03BC46F4" w14:textId="69E3FAA0" w:rsidR="00D03A7C" w:rsidRDefault="00B93CA6">
      <w:pPr>
        <w:pStyle w:val="Heading2un-numbered"/>
      </w:pPr>
      <w:r>
        <w:t>Evaluation Strategy</w:t>
      </w:r>
      <w:bookmarkEnd w:id="89"/>
      <w:bookmarkEnd w:id="90"/>
    </w:p>
    <w:p w14:paraId="544665F0" w14:textId="065BB520" w:rsidR="00A06893" w:rsidRPr="000629FA" w:rsidRDefault="00A06893" w:rsidP="00A06893">
      <w:pPr>
        <w:spacing w:after="120"/>
        <w:rPr>
          <w:rFonts w:cs="Segoe UI Light"/>
          <w:iCs/>
        </w:rPr>
      </w:pPr>
      <w:r w:rsidRPr="000629FA">
        <w:rPr>
          <w:rFonts w:cs="Segoe UI Light"/>
          <w:iCs/>
        </w:rPr>
        <w:t xml:space="preserve">The evaluation will measure whether the </w:t>
      </w:r>
      <w:r w:rsidR="00B508A5" w:rsidRPr="00342A3F">
        <w:rPr>
          <w:rFonts w:cs="Segoe UI Light"/>
          <w:iCs/>
        </w:rPr>
        <w:t>preferred option</w:t>
      </w:r>
      <w:r w:rsidRPr="00342A3F">
        <w:rPr>
          <w:rFonts w:cs="Segoe UI Light"/>
          <w:iCs/>
        </w:rPr>
        <w:t xml:space="preserve"> ha</w:t>
      </w:r>
      <w:r w:rsidR="00B508A5" w:rsidRPr="00342A3F">
        <w:rPr>
          <w:rFonts w:cs="Segoe UI Light"/>
          <w:iCs/>
        </w:rPr>
        <w:t>s</w:t>
      </w:r>
      <w:r w:rsidRPr="000629FA">
        <w:rPr>
          <w:rFonts w:cs="Segoe UI Light"/>
          <w:iCs/>
        </w:rPr>
        <w:t xml:space="preserve"> met </w:t>
      </w:r>
      <w:r w:rsidR="00B508A5" w:rsidRPr="00342A3F">
        <w:rPr>
          <w:rFonts w:cs="Segoe UI Light"/>
          <w:iCs/>
        </w:rPr>
        <w:t>its</w:t>
      </w:r>
      <w:r w:rsidRPr="000629FA">
        <w:rPr>
          <w:rFonts w:cs="Segoe UI Light"/>
          <w:iCs/>
        </w:rPr>
        <w:t xml:space="preserve"> objectives and achieved </w:t>
      </w:r>
      <w:r w:rsidR="00B508A5" w:rsidRPr="00342A3F">
        <w:rPr>
          <w:rFonts w:cs="Segoe UI Light"/>
          <w:iCs/>
        </w:rPr>
        <w:t>its</w:t>
      </w:r>
      <w:r w:rsidRPr="000629FA">
        <w:rPr>
          <w:rFonts w:cs="Segoe UI Light"/>
          <w:iCs/>
        </w:rPr>
        <w:t xml:space="preserve"> desired outcomes.</w:t>
      </w:r>
      <w:r w:rsidR="001C0C05">
        <w:rPr>
          <w:rFonts w:cs="Segoe UI Light"/>
          <w:iCs/>
        </w:rPr>
        <w:t xml:space="preserve"> The detailed evaluation strategy is outlined in Chapter 7 of the RIS.</w:t>
      </w:r>
    </w:p>
    <w:p w14:paraId="2BC17F68" w14:textId="3F779D91" w:rsidR="00A06893" w:rsidRDefault="00A06893" w:rsidP="00A06893">
      <w:pPr>
        <w:spacing w:after="120"/>
        <w:rPr>
          <w:rFonts w:cs="Segoe UI Light"/>
          <w:iCs/>
        </w:rPr>
      </w:pPr>
      <w:r>
        <w:rPr>
          <w:rFonts w:cs="Segoe UI Light"/>
          <w:iCs/>
        </w:rPr>
        <w:t xml:space="preserve">The effectiveness of the </w:t>
      </w:r>
      <w:r w:rsidR="00B508A5" w:rsidRPr="00342A3F">
        <w:rPr>
          <w:rFonts w:cs="Segoe UI Light"/>
          <w:iCs/>
        </w:rPr>
        <w:t>preferred option</w:t>
      </w:r>
      <w:r>
        <w:rPr>
          <w:rFonts w:cs="Segoe UI Light"/>
          <w:iCs/>
        </w:rPr>
        <w:t xml:space="preserve"> </w:t>
      </w:r>
      <w:r w:rsidR="00EE7033">
        <w:rPr>
          <w:rFonts w:cs="Segoe UI Light"/>
          <w:iCs/>
        </w:rPr>
        <w:t xml:space="preserve">(Option 2) </w:t>
      </w:r>
      <w:r>
        <w:rPr>
          <w:rFonts w:cs="Segoe UI Light"/>
          <w:iCs/>
        </w:rPr>
        <w:t xml:space="preserve">will be measured by </w:t>
      </w:r>
      <w:r w:rsidR="0040324C">
        <w:rPr>
          <w:rFonts w:cs="Segoe UI Light"/>
          <w:iCs/>
        </w:rPr>
        <w:t>the</w:t>
      </w:r>
      <w:r>
        <w:rPr>
          <w:rFonts w:cs="Segoe UI Light"/>
          <w:iCs/>
        </w:rPr>
        <w:t xml:space="preserve"> </w:t>
      </w:r>
      <w:r w:rsidR="00B508A5" w:rsidRPr="00342A3F">
        <w:rPr>
          <w:rFonts w:cs="Segoe UI Light"/>
          <w:iCs/>
        </w:rPr>
        <w:t>number of</w:t>
      </w:r>
      <w:r>
        <w:rPr>
          <w:rFonts w:cs="Segoe UI Light"/>
          <w:iCs/>
        </w:rPr>
        <w:t xml:space="preserve"> enforcement activities and illnesses and deaths as a result of CO poisoning from OFGSHs. </w:t>
      </w:r>
    </w:p>
    <w:p w14:paraId="39417CBE" w14:textId="77777777" w:rsidR="00A06893" w:rsidRPr="000629FA" w:rsidRDefault="00A06893" w:rsidP="00A06893">
      <w:pPr>
        <w:spacing w:after="120"/>
        <w:rPr>
          <w:rFonts w:cs="Segoe UI Light"/>
        </w:rPr>
      </w:pPr>
      <w:r w:rsidRPr="000629FA">
        <w:rPr>
          <w:rFonts w:cs="Segoe UI Light"/>
        </w:rPr>
        <w:t>The evaluation will adopt a mix of both qualitative and quantitative methods.</w:t>
      </w:r>
    </w:p>
    <w:p w14:paraId="205B5533" w14:textId="48D82E56" w:rsidR="00A06893" w:rsidRPr="000629FA" w:rsidRDefault="00A06893" w:rsidP="00A06893">
      <w:pPr>
        <w:spacing w:after="120"/>
        <w:rPr>
          <w:rFonts w:cs="Segoe UI Light"/>
        </w:rPr>
      </w:pPr>
      <w:r w:rsidRPr="000629FA">
        <w:rPr>
          <w:rFonts w:cs="Segoe UI Light"/>
        </w:rPr>
        <w:t xml:space="preserve">Qualitative evaluation methods will draw on stakeholder consultation (such as interview and surveys) with organisations and individuals that are impacted by the </w:t>
      </w:r>
      <w:r w:rsidR="00D1324C" w:rsidRPr="00342A3F">
        <w:rPr>
          <w:rFonts w:cs="Segoe UI Light"/>
        </w:rPr>
        <w:t>change</w:t>
      </w:r>
      <w:r w:rsidRPr="000629FA">
        <w:rPr>
          <w:rFonts w:cs="Segoe UI Light"/>
        </w:rPr>
        <w:t xml:space="preserve">: </w:t>
      </w:r>
    </w:p>
    <w:p w14:paraId="6AE046A3" w14:textId="750C4CE4" w:rsidR="00A06893" w:rsidRPr="00334585" w:rsidRDefault="00A06893" w:rsidP="00A06893">
      <w:pPr>
        <w:pStyle w:val="ListParagraph"/>
        <w:numPr>
          <w:ilvl w:val="0"/>
          <w:numId w:val="131"/>
        </w:numPr>
      </w:pPr>
      <w:r w:rsidRPr="00583B4B">
        <w:t>DELWP, ESV, DHHS</w:t>
      </w:r>
      <w:r w:rsidR="00930706">
        <w:t>, VBA</w:t>
      </w:r>
      <w:r w:rsidRPr="00557479">
        <w:t xml:space="preserve"> and other Victorian Government Departments and agencies as appropriate </w:t>
      </w:r>
    </w:p>
    <w:p w14:paraId="53BB8794" w14:textId="73EEB68B" w:rsidR="00264CF0" w:rsidRDefault="00A06893" w:rsidP="00A06893">
      <w:pPr>
        <w:pStyle w:val="ListParagraph"/>
        <w:numPr>
          <w:ilvl w:val="0"/>
          <w:numId w:val="131"/>
        </w:numPr>
      </w:pPr>
      <w:r w:rsidRPr="00342A3F">
        <w:t>Retailers, suppliers, manufacturing</w:t>
      </w:r>
      <w:r w:rsidRPr="00C2344C">
        <w:t xml:space="preserve"> businesses and industry groups</w:t>
      </w:r>
    </w:p>
    <w:p w14:paraId="3902D580" w14:textId="27DDEC1B" w:rsidR="00A06893" w:rsidRPr="00EC0001" w:rsidRDefault="00264CF0" w:rsidP="00A06893">
      <w:pPr>
        <w:pStyle w:val="ListParagraph"/>
        <w:numPr>
          <w:ilvl w:val="0"/>
          <w:numId w:val="131"/>
        </w:numPr>
      </w:pPr>
      <w:r>
        <w:t>Health professionals</w:t>
      </w:r>
      <w:r w:rsidR="00AE096A">
        <w:t>.</w:t>
      </w:r>
    </w:p>
    <w:p w14:paraId="3CC553C3" w14:textId="07B79A29" w:rsidR="00A06893" w:rsidRPr="000629FA" w:rsidRDefault="00A06893" w:rsidP="00A06893">
      <w:pPr>
        <w:spacing w:after="120"/>
        <w:rPr>
          <w:rFonts w:cs="Segoe UI Light"/>
        </w:rPr>
      </w:pPr>
      <w:r w:rsidRPr="000629FA">
        <w:rPr>
          <w:rFonts w:cs="Segoe UI Light"/>
        </w:rPr>
        <w:t xml:space="preserve">The quantitative method of evaluation will involve assessment of baseline data against </w:t>
      </w:r>
      <w:r w:rsidR="0053437D" w:rsidRPr="00342A3F">
        <w:rPr>
          <w:rFonts w:cs="Segoe UI Light"/>
        </w:rPr>
        <w:t>data collected after the preferred option comes into effect</w:t>
      </w:r>
      <w:r w:rsidRPr="000629FA">
        <w:rPr>
          <w:rFonts w:cs="Segoe UI Light"/>
        </w:rPr>
        <w:t xml:space="preserve">. </w:t>
      </w:r>
    </w:p>
    <w:p w14:paraId="333D2FCD" w14:textId="51FF7F69" w:rsidR="003E6AFF" w:rsidRPr="003E6AFF" w:rsidRDefault="00A06893" w:rsidP="009F0A40">
      <w:r w:rsidRPr="000629FA">
        <w:rPr>
          <w:rFonts w:cs="Segoe UI Light"/>
        </w:rPr>
        <w:t xml:space="preserve">DELWP will undertake a review of existing data sources to assess gaps in data and identify areas and strategies for improvement. </w:t>
      </w:r>
      <w:r w:rsidRPr="000629FA">
        <w:t xml:space="preserve">This will include considering whether new types of data/information will need to be collected to better understand the effects of the new approach. </w:t>
      </w:r>
      <w:r w:rsidR="002D4B3C" w:rsidDel="002D4B3C">
        <w:t xml:space="preserve"> </w:t>
      </w:r>
    </w:p>
    <w:p w14:paraId="2A922202" w14:textId="75BAE8B6" w:rsidR="002E75D1" w:rsidRPr="00624028" w:rsidRDefault="00624028" w:rsidP="00920587">
      <w:pPr>
        <w:pStyle w:val="Heading1"/>
      </w:pPr>
      <w:bookmarkStart w:id="91" w:name="_Toc9366979"/>
      <w:bookmarkStart w:id="92" w:name="_Toc10111296"/>
      <w:bookmarkStart w:id="93" w:name="_Toc17892121"/>
      <w:r>
        <w:lastRenderedPageBreak/>
        <w:t xml:space="preserve"> </w:t>
      </w:r>
      <w:bookmarkStart w:id="94" w:name="_Ref23417745"/>
      <w:bookmarkStart w:id="95" w:name="_Toc59612285"/>
      <w:r w:rsidR="00B904DF" w:rsidRPr="00197E94">
        <w:t>Introduction</w:t>
      </w:r>
      <w:bookmarkStart w:id="96" w:name="_Toc536054814"/>
      <w:bookmarkStart w:id="97" w:name="_Toc536054815"/>
      <w:bookmarkStart w:id="98" w:name="_Toc536054816"/>
      <w:bookmarkStart w:id="99" w:name="_Toc536054817"/>
      <w:bookmarkStart w:id="100" w:name="_Toc536054818"/>
      <w:bookmarkStart w:id="101" w:name="_Toc536054819"/>
      <w:bookmarkStart w:id="102" w:name="_Toc536054820"/>
      <w:bookmarkStart w:id="103" w:name="_Toc536054822"/>
      <w:bookmarkStart w:id="104" w:name="_Toc536054823"/>
      <w:bookmarkStart w:id="105" w:name="_Toc536054824"/>
      <w:bookmarkStart w:id="106" w:name="_Toc536054825"/>
      <w:bookmarkStart w:id="107" w:name="_Toc536054827"/>
      <w:bookmarkStart w:id="108" w:name="_Toc536054828"/>
      <w:bookmarkStart w:id="109" w:name="_Toc536054829"/>
      <w:bookmarkStart w:id="110" w:name="_Toc536054830"/>
      <w:bookmarkStart w:id="111" w:name="_Toc536054831"/>
      <w:bookmarkStart w:id="112" w:name="_Toc536054833"/>
      <w:bookmarkStart w:id="113" w:name="_Toc536054834"/>
      <w:bookmarkStart w:id="114" w:name="_Toc536054835"/>
      <w:bookmarkStart w:id="115" w:name="_Toc536054836"/>
      <w:bookmarkStart w:id="116" w:name="_Toc536054837"/>
      <w:bookmarkStart w:id="117" w:name="_Toc536054838"/>
      <w:bookmarkStart w:id="118" w:name="_Toc536054839"/>
      <w:bookmarkStart w:id="119" w:name="_Toc536054841"/>
      <w:bookmarkStart w:id="120" w:name="_Toc536054842"/>
      <w:bookmarkStart w:id="121" w:name="_Toc536054843"/>
      <w:bookmarkStart w:id="122" w:name="_Toc536054844"/>
      <w:bookmarkStart w:id="123" w:name="_Toc536054846"/>
      <w:bookmarkStart w:id="124" w:name="_Toc536054848"/>
      <w:bookmarkStart w:id="125" w:name="_Toc536054853"/>
      <w:bookmarkStart w:id="126" w:name="_Toc536054811"/>
      <w:bookmarkStart w:id="127" w:name="_Toc536055027"/>
      <w:bookmarkStart w:id="128" w:name="_Toc536054812"/>
      <w:bookmarkStart w:id="129" w:name="_Toc536054813"/>
      <w:bookmarkStart w:id="130" w:name="_Toc536054821"/>
      <w:bookmarkStart w:id="131" w:name="_Toc536054826"/>
      <w:bookmarkStart w:id="132" w:name="_Toc536054832"/>
      <w:bookmarkStart w:id="133" w:name="_Toc536054840"/>
      <w:bookmarkStart w:id="134" w:name="_Toc536054845"/>
      <w:bookmarkStart w:id="135" w:name="_Toc536054847"/>
      <w:bookmarkEnd w:id="67"/>
      <w:bookmarkEnd w:id="68"/>
      <w:bookmarkEnd w:id="69"/>
      <w:bookmarkEnd w:id="70"/>
      <w:bookmarkEnd w:id="71"/>
      <w:bookmarkEnd w:id="72"/>
      <w:bookmarkEnd w:id="73"/>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2A922203" w14:textId="08E93A7F" w:rsidR="0078520B" w:rsidRDefault="0078520B" w:rsidP="0078520B">
      <w:pPr>
        <w:pStyle w:val="Sectionintro"/>
      </w:pPr>
      <w:r w:rsidRPr="006C312F">
        <w:t xml:space="preserve">This chapter </w:t>
      </w:r>
      <w:r w:rsidR="00F76028">
        <w:t xml:space="preserve">outlines </w:t>
      </w:r>
      <w:r w:rsidR="00F21A26">
        <w:t xml:space="preserve">the </w:t>
      </w:r>
      <w:r w:rsidR="00F76028">
        <w:t>background</w:t>
      </w:r>
      <w:r w:rsidR="00437EC7">
        <w:t>,</w:t>
      </w:r>
      <w:r w:rsidR="00EE47D5">
        <w:t xml:space="preserve"> </w:t>
      </w:r>
      <w:r w:rsidR="00F21A26">
        <w:t>the purpose of the RIS</w:t>
      </w:r>
      <w:r w:rsidR="00F45721">
        <w:t>,</w:t>
      </w:r>
      <w:r w:rsidR="00F76028">
        <w:t xml:space="preserve"> </w:t>
      </w:r>
      <w:r w:rsidR="004372EA">
        <w:t>key steps in the RIS process</w:t>
      </w:r>
      <w:r w:rsidR="00C253CF">
        <w:t xml:space="preserve"> and the current regulatory environment</w:t>
      </w:r>
      <w:r w:rsidR="004372EA">
        <w:t>.</w:t>
      </w:r>
    </w:p>
    <w:p w14:paraId="52B7FE02" w14:textId="40495C6A" w:rsidR="000A5B62" w:rsidRPr="00FF5BFF" w:rsidRDefault="00C2355F" w:rsidP="00FF5BFF">
      <w:pPr>
        <w:pStyle w:val="Heading3"/>
        <w:numPr>
          <w:ilvl w:val="1"/>
          <w:numId w:val="172"/>
        </w:numPr>
        <w:rPr>
          <w:color w:val="62B5E5" w:themeColor="accent3"/>
        </w:rPr>
      </w:pPr>
      <w:bookmarkStart w:id="136" w:name="_Toc19092401"/>
      <w:bookmarkStart w:id="137" w:name="_Toc20138644"/>
      <w:r w:rsidRPr="00FF5BFF">
        <w:rPr>
          <w:color w:val="62B5E5" w:themeColor="accent3"/>
        </w:rPr>
        <w:t>Background</w:t>
      </w:r>
    </w:p>
    <w:p w14:paraId="43EF812E" w14:textId="051DD488" w:rsidR="005E1EE1" w:rsidRDefault="0094379B" w:rsidP="00445D03">
      <w:r>
        <w:t xml:space="preserve">Like all household appliances, it is important that heaters are well designed so that they are safe to operate. </w:t>
      </w:r>
      <w:r w:rsidR="002112DD">
        <w:t>OFGSHs h</w:t>
      </w:r>
      <w:r>
        <w:t xml:space="preserve">ave a design that is no longer compatible with Victorian </w:t>
      </w:r>
      <w:r w:rsidR="0046297B">
        <w:t>buildings</w:t>
      </w:r>
      <w:r>
        <w:t xml:space="preserve">. </w:t>
      </w:r>
    </w:p>
    <w:p w14:paraId="13A07B82" w14:textId="7675DCD2" w:rsidR="0063211C" w:rsidRDefault="00871C6F" w:rsidP="005E1EE1">
      <w:r w:rsidRPr="00871C6F">
        <w:t xml:space="preserve">OFGSHs draw air from inside the room (or space) in which they are installed, generate heat and expel combustion products outside the room, through the flue. Due to this design, OFGSHs provide a direct pathway into the room, through which combustion products, such as CO, can spill into the room under certain conditions. This poses a risk of CO poisoning which can have serious </w:t>
      </w:r>
      <w:r w:rsidR="00F96779">
        <w:t xml:space="preserve">long and short term </w:t>
      </w:r>
      <w:r w:rsidRPr="00871C6F">
        <w:t xml:space="preserve">health impacts and can even cause death. </w:t>
      </w:r>
      <w:r w:rsidR="0063211C" w:rsidRPr="00871C6F">
        <w:t xml:space="preserve">CO is an invisible and odourless gas that can only be detected with specific monitoring equipment. At high concentrations, even short exposures to CO can be lethal. </w:t>
      </w:r>
      <w:r w:rsidRPr="00871C6F">
        <w:t>The</w:t>
      </w:r>
      <w:r w:rsidR="00FC1896">
        <w:t xml:space="preserve">re is a risk that </w:t>
      </w:r>
      <w:r w:rsidR="00697F9D">
        <w:t xml:space="preserve">an </w:t>
      </w:r>
      <w:r w:rsidR="000C0B09">
        <w:t>OF</w:t>
      </w:r>
      <w:r w:rsidR="004B4469">
        <w:t>GS</w:t>
      </w:r>
      <w:r w:rsidR="000C0B09">
        <w:t>H</w:t>
      </w:r>
      <w:r w:rsidR="00FC1896">
        <w:t xml:space="preserve"> can spill CO </w:t>
      </w:r>
      <w:r w:rsidR="009C4963">
        <w:t xml:space="preserve">into the room </w:t>
      </w:r>
      <w:r w:rsidR="00FC1896">
        <w:t xml:space="preserve">if </w:t>
      </w:r>
      <w:r w:rsidR="005E1EE1">
        <w:t xml:space="preserve">not properly installed, maintained </w:t>
      </w:r>
      <w:r w:rsidR="005F390C">
        <w:t>or operated</w:t>
      </w:r>
      <w:r w:rsidR="005E1EE1">
        <w:t xml:space="preserve"> with</w:t>
      </w:r>
      <w:r w:rsidR="000C0B09">
        <w:t>out</w:t>
      </w:r>
      <w:r w:rsidR="005E1EE1">
        <w:t xml:space="preserve"> adequate ventilation or under negative pressure conditions</w:t>
      </w:r>
      <w:r w:rsidR="000C0B09">
        <w:t>.</w:t>
      </w:r>
      <w:r w:rsidR="00C7694F">
        <w:t xml:space="preserve"> </w:t>
      </w:r>
    </w:p>
    <w:p w14:paraId="7FF7714C" w14:textId="1FA50A1E" w:rsidR="005E1EE1" w:rsidRDefault="00C7694F" w:rsidP="005E1EE1">
      <w:r>
        <w:t xml:space="preserve">Since OFGSHs were designed over </w:t>
      </w:r>
      <w:r w:rsidR="00BA1F79">
        <w:t>4</w:t>
      </w:r>
      <w:r>
        <w:t>0 years ago, Victoria’s housing stock has become increasingly well-sealed</w:t>
      </w:r>
      <w:r w:rsidR="00F96779">
        <w:t xml:space="preserve"> both due to new build</w:t>
      </w:r>
      <w:r w:rsidR="00A942A5">
        <w:t>s</w:t>
      </w:r>
      <w:r w:rsidR="00F96779">
        <w:t xml:space="preserve"> as well as the renovation of existing houses.</w:t>
      </w:r>
      <w:r w:rsidR="00F96779" w:rsidDel="00354030">
        <w:t xml:space="preserve"> </w:t>
      </w:r>
      <w:r w:rsidR="00354030">
        <w:t xml:space="preserve">Consumers also have access to more powerful exhaust fans and rangehoods, increasing the risk of creating a </w:t>
      </w:r>
      <w:r w:rsidR="00354030" w:rsidRPr="00B40F61">
        <w:t>negative pressure environment inside the home</w:t>
      </w:r>
      <w:r w:rsidR="00354030">
        <w:t>.</w:t>
      </w:r>
      <w:r w:rsidR="00F96779">
        <w:t xml:space="preserve"> This increases </w:t>
      </w:r>
      <w:r w:rsidR="00870228">
        <w:t xml:space="preserve">the likelihood </w:t>
      </w:r>
      <w:r w:rsidR="00F96779">
        <w:t xml:space="preserve">that </w:t>
      </w:r>
      <w:r w:rsidR="00870228">
        <w:t>OFGSHs could be operated without adequate ventilation or under negative pressure conditions. As a result</w:t>
      </w:r>
      <w:r w:rsidR="0063211C">
        <w:t>,</w:t>
      </w:r>
      <w:r w:rsidR="00870228">
        <w:t xml:space="preserve"> </w:t>
      </w:r>
      <w:r w:rsidR="000F7C88">
        <w:t>OFGSHs are no longer compatible</w:t>
      </w:r>
      <w:r w:rsidR="00870228">
        <w:t xml:space="preserve"> with </w:t>
      </w:r>
      <w:r w:rsidR="000654B4">
        <w:t>Victorian buildings.</w:t>
      </w:r>
    </w:p>
    <w:p w14:paraId="2D7A3846" w14:textId="2028258A" w:rsidR="00871C6F" w:rsidRDefault="007B35B7" w:rsidP="00445D03">
      <w:r>
        <w:t>T</w:t>
      </w:r>
      <w:r w:rsidR="00871C6F" w:rsidRPr="00871C6F">
        <w:t>here have been three confirmed fatalities caused by CO poisoning from OFGSHs in Victoria</w:t>
      </w:r>
      <w:r>
        <w:t xml:space="preserve"> since 2010</w:t>
      </w:r>
      <w:r w:rsidR="00871C6F" w:rsidRPr="00871C6F">
        <w:t>; two young children, Chase and Tyler Robinson (2010) and Sonia Sofianopoulos (2017).</w:t>
      </w:r>
      <w:r w:rsidR="006B0218">
        <w:rPr>
          <w:rStyle w:val="FootnoteReference"/>
        </w:rPr>
        <w:footnoteReference w:id="21"/>
      </w:r>
      <w:r w:rsidR="00871C6F" w:rsidRPr="00871C6F">
        <w:t xml:space="preserve"> In the same period, five serious, non-fatal suspected CO poisonings were linked to OFGSHs and reported to </w:t>
      </w:r>
      <w:r w:rsidR="00C26154">
        <w:t>ESV</w:t>
      </w:r>
      <w:r w:rsidR="00871C6F" w:rsidRPr="00871C6F">
        <w:t xml:space="preserve">. While eight people were hospitalised as a result of these incidents, </w:t>
      </w:r>
      <w:r w:rsidR="00874DC5">
        <w:t>due to privacy</w:t>
      </w:r>
      <w:r w:rsidR="00840DA7">
        <w:t>,</w:t>
      </w:r>
      <w:r w:rsidR="00874DC5">
        <w:t xml:space="preserve"> </w:t>
      </w:r>
      <w:r w:rsidR="0004135F">
        <w:t xml:space="preserve">detailed information of these episodes is not readily available including those people </w:t>
      </w:r>
      <w:r w:rsidR="00A85A86">
        <w:t xml:space="preserve">who have residual health impacts beyond the </w:t>
      </w:r>
      <w:r w:rsidR="00871C6F" w:rsidRPr="00871C6F">
        <w:t>actual CO poisoning</w:t>
      </w:r>
      <w:r w:rsidR="00A85A86">
        <w:t xml:space="preserve"> event(</w:t>
      </w:r>
      <w:r w:rsidR="00871C6F" w:rsidRPr="00871C6F">
        <w:t>s</w:t>
      </w:r>
      <w:r w:rsidR="00A85A86">
        <w:t>)</w:t>
      </w:r>
      <w:r w:rsidR="00871C6F" w:rsidRPr="00871C6F">
        <w:t xml:space="preserve">. It is likely that other non-fatal CO poisonings have also occurred which have not been diagnosed </w:t>
      </w:r>
      <w:r w:rsidR="0056082A">
        <w:t xml:space="preserve">as CO exposure, misdiagnosed and treated as another medical condition </w:t>
      </w:r>
      <w:r w:rsidR="00871C6F" w:rsidRPr="00871C6F">
        <w:t>or not reported</w:t>
      </w:r>
      <w:r w:rsidR="009D0FF6">
        <w:t>.</w:t>
      </w:r>
    </w:p>
    <w:p w14:paraId="0CCE9B25" w14:textId="1D649F45" w:rsidR="00DF5CB0" w:rsidRDefault="00DF5CB0" w:rsidP="007B35B7">
      <w:pPr>
        <w:pStyle w:val="Heading3"/>
      </w:pPr>
      <w:r>
        <w:t xml:space="preserve">Coronial Inquests </w:t>
      </w:r>
    </w:p>
    <w:p w14:paraId="260FEA45" w14:textId="7163AF5D" w:rsidR="00445D03" w:rsidRPr="00725F47" w:rsidRDefault="00445D03" w:rsidP="00445D03">
      <w:r>
        <w:t>The resulting coronial inquest</w:t>
      </w:r>
      <w:r w:rsidR="009D0FF6">
        <w:t xml:space="preserve"> into the deaths of Chas</w:t>
      </w:r>
      <w:r w:rsidR="00E45C6A">
        <w:t>e</w:t>
      </w:r>
      <w:r w:rsidR="009D0FF6">
        <w:t xml:space="preserve"> and Tyler Robinson</w:t>
      </w:r>
      <w:r>
        <w:t xml:space="preserve"> (the 2013 Coronial Inquest) found that the boys’ deaths </w:t>
      </w:r>
      <w:r w:rsidRPr="00AD3159">
        <w:rPr>
          <w:i/>
        </w:rPr>
        <w:t>“occurred due to the ingestion</w:t>
      </w:r>
      <w:r w:rsidR="00F96779">
        <w:rPr>
          <w:rStyle w:val="FootnoteReference"/>
          <w:i/>
        </w:rPr>
        <w:footnoteReference w:id="22"/>
      </w:r>
      <w:r w:rsidRPr="00AD3159">
        <w:rPr>
          <w:i/>
        </w:rPr>
        <w:t xml:space="preserve"> of carbon monoxide in circumstances in which an open flued gas furnace emitted carbon monoxide into [their] home at dangerou</w:t>
      </w:r>
      <w:r>
        <w:rPr>
          <w:i/>
        </w:rPr>
        <w:t>sl</w:t>
      </w:r>
      <w:r w:rsidRPr="00AD3159">
        <w:rPr>
          <w:i/>
        </w:rPr>
        <w:t>y high levels”.</w:t>
      </w:r>
      <w:r w:rsidRPr="00064E21">
        <w:rPr>
          <w:rStyle w:val="FootnoteReference"/>
        </w:rPr>
        <w:t xml:space="preserve"> </w:t>
      </w:r>
      <w:r>
        <w:rPr>
          <w:rStyle w:val="FootnoteReference"/>
        </w:rPr>
        <w:footnoteReference w:id="23"/>
      </w:r>
    </w:p>
    <w:p w14:paraId="4B9B0F9D" w14:textId="30257925" w:rsidR="00445D03" w:rsidRDefault="00CC0845" w:rsidP="00445D03">
      <w:r>
        <w:t>Key recommendations of the</w:t>
      </w:r>
      <w:r w:rsidR="00445D03">
        <w:t xml:space="preserve"> 2013 Coronial Inquest </w:t>
      </w:r>
      <w:r>
        <w:t>were</w:t>
      </w:r>
      <w:r w:rsidR="00E5570B">
        <w:t>:</w:t>
      </w:r>
    </w:p>
    <w:p w14:paraId="511AD457" w14:textId="5ED18CAB" w:rsidR="00E5570B" w:rsidRDefault="00E5570B" w:rsidP="00E74AA1">
      <w:pPr>
        <w:pStyle w:val="ListParagraph"/>
        <w:numPr>
          <w:ilvl w:val="0"/>
          <w:numId w:val="51"/>
        </w:numPr>
      </w:pPr>
      <w:r>
        <w:t>That ESV continue to alert the public of the need to have gas appliances serviced regularly by licensed gasfitters</w:t>
      </w:r>
    </w:p>
    <w:p w14:paraId="0D50F8C2" w14:textId="58AC2EB4" w:rsidR="00E5570B" w:rsidRDefault="00E5570B" w:rsidP="00E74AA1">
      <w:pPr>
        <w:pStyle w:val="ListParagraph"/>
        <w:numPr>
          <w:ilvl w:val="0"/>
          <w:numId w:val="51"/>
        </w:numPr>
      </w:pPr>
      <w:r>
        <w:t xml:space="preserve">That ESV target their educational materials to </w:t>
      </w:r>
      <w:r w:rsidR="00751BD9">
        <w:t>homeowners</w:t>
      </w:r>
      <w:r>
        <w:t xml:space="preserve"> and tradespeople whose actions can increase the risk of OFGSHs malfunctioning</w:t>
      </w:r>
    </w:p>
    <w:p w14:paraId="7663D435" w14:textId="09444FD9" w:rsidR="00E5570B" w:rsidRDefault="00E5570B" w:rsidP="00E74AA1">
      <w:pPr>
        <w:pStyle w:val="ListParagraph"/>
        <w:numPr>
          <w:ilvl w:val="0"/>
          <w:numId w:val="51"/>
        </w:numPr>
      </w:pPr>
      <w:r>
        <w:t>That ESV stress the difference between CO alarms and smoke detectors in their educational materials</w:t>
      </w:r>
    </w:p>
    <w:p w14:paraId="62652FAA" w14:textId="1CB7E82A" w:rsidR="00E5570B" w:rsidRDefault="00E5570B" w:rsidP="00E74AA1">
      <w:pPr>
        <w:pStyle w:val="ListParagraph"/>
        <w:numPr>
          <w:ilvl w:val="0"/>
          <w:numId w:val="51"/>
        </w:numPr>
      </w:pPr>
      <w:r>
        <w:lastRenderedPageBreak/>
        <w:t>That ESV investigate the ventilation options available in five and six-star energy rated homes that could be fitted where OFGSHs are installed</w:t>
      </w:r>
    </w:p>
    <w:p w14:paraId="30FF30CE" w14:textId="280E5C1B" w:rsidR="00E5570B" w:rsidRDefault="00E5570B" w:rsidP="00E74AA1">
      <w:pPr>
        <w:pStyle w:val="ListParagraph"/>
        <w:numPr>
          <w:ilvl w:val="0"/>
          <w:numId w:val="51"/>
        </w:numPr>
      </w:pPr>
      <w:r>
        <w:t>That ESV continue to train gasfitters to test for spillage of CO from open-flued appliances and continue to conduct presentations and education on this issue</w:t>
      </w:r>
    </w:p>
    <w:p w14:paraId="49000FF3" w14:textId="77777777" w:rsidR="00E5570B" w:rsidRDefault="00E5570B" w:rsidP="00E74AA1">
      <w:pPr>
        <w:pStyle w:val="ListParagraph"/>
        <w:numPr>
          <w:ilvl w:val="0"/>
          <w:numId w:val="51"/>
        </w:numPr>
      </w:pPr>
      <w:r>
        <w:t xml:space="preserve">That ESV continue to persuade manufacturers of gas heating appliances to nominate within their Owners Manuals the appropriate periodic checking and servicing of such appliances. </w:t>
      </w:r>
    </w:p>
    <w:p w14:paraId="2A97F74F" w14:textId="3F34F11B" w:rsidR="00445D03" w:rsidRPr="0002251A" w:rsidRDefault="00445D03" w:rsidP="00445D03">
      <w:r>
        <w:t xml:space="preserve">In 2017, </w:t>
      </w:r>
      <w:r w:rsidR="0030501F">
        <w:t xml:space="preserve">Sonia </w:t>
      </w:r>
      <w:r w:rsidRPr="006E1ECB">
        <w:t>Sofianopoulos</w:t>
      </w:r>
      <w:r>
        <w:t xml:space="preserve">, a </w:t>
      </w:r>
      <w:r w:rsidR="00E23447">
        <w:t>62-year-old</w:t>
      </w:r>
      <w:r>
        <w:t xml:space="preserve"> female, passed away in the bathroom of her home. She had been living in public housing managed by </w:t>
      </w:r>
      <w:r w:rsidR="00D0445E">
        <w:t>the Department of Health and Human Services (</w:t>
      </w:r>
      <w:r>
        <w:t>DHHS</w:t>
      </w:r>
      <w:r w:rsidR="00D0445E">
        <w:t>)</w:t>
      </w:r>
      <w:r>
        <w:t xml:space="preserve"> at the time of her death. The </w:t>
      </w:r>
      <w:r w:rsidR="00D0445E">
        <w:t xml:space="preserve">2018 Coronial Inquest </w:t>
      </w:r>
      <w:r>
        <w:t xml:space="preserve">found that </w:t>
      </w:r>
      <w:r w:rsidR="0030501F">
        <w:t xml:space="preserve">Ms </w:t>
      </w:r>
      <w:r>
        <w:t xml:space="preserve">Sofianopoulos’ death had been caused by </w:t>
      </w:r>
      <w:r>
        <w:rPr>
          <w:i/>
        </w:rPr>
        <w:t xml:space="preserve">“carbon monoxide toxicity” </w:t>
      </w:r>
      <w:r>
        <w:t xml:space="preserve">and that the source of the CO was the </w:t>
      </w:r>
      <w:r w:rsidR="000932DA">
        <w:t xml:space="preserve">OFGSH </w:t>
      </w:r>
      <w:r>
        <w:t>installed in the home.</w:t>
      </w:r>
      <w:r>
        <w:rPr>
          <w:rStyle w:val="FootnoteReference"/>
        </w:rPr>
        <w:footnoteReference w:id="24"/>
      </w:r>
    </w:p>
    <w:p w14:paraId="0CF8EA58" w14:textId="77777777" w:rsidR="00045625" w:rsidRDefault="00045625" w:rsidP="00045625">
      <w:r>
        <w:t xml:space="preserve">The Coroner made eight recommendations, the main recommendation being that open flue gas space heaters should be phased out (Recommendation 1). </w:t>
      </w:r>
    </w:p>
    <w:p w14:paraId="4442F5DB" w14:textId="77777777" w:rsidR="00045625" w:rsidRDefault="00045625" w:rsidP="00045625">
      <w:r>
        <w:t xml:space="preserve">The Coroner’s other seven recommendations focused on four key areas: </w:t>
      </w:r>
    </w:p>
    <w:p w14:paraId="2194829E" w14:textId="21A4940F" w:rsidR="002C792C" w:rsidRDefault="00045625" w:rsidP="00E74AA1">
      <w:pPr>
        <w:pStyle w:val="ListParagraph"/>
        <w:numPr>
          <w:ilvl w:val="0"/>
          <w:numId w:val="51"/>
        </w:numPr>
      </w:pPr>
      <w:r>
        <w:t xml:space="preserve">Improved testing of </w:t>
      </w:r>
      <w:r w:rsidR="00F96779">
        <w:t>CO</w:t>
      </w:r>
      <w:r>
        <w:t xml:space="preserve"> leakage</w:t>
      </w:r>
      <w:r w:rsidR="00E674C2">
        <w:t>;</w:t>
      </w:r>
      <w:r>
        <w:t xml:space="preserve"> </w:t>
      </w:r>
      <w:r w:rsidR="004E775B" w:rsidRPr="00555F29">
        <w:t>by</w:t>
      </w:r>
      <w:r>
        <w:t xml:space="preserve"> ensuring “up-to-date knowledge”</w:t>
      </w:r>
      <w:r w:rsidRPr="00FF5BFF">
        <w:t xml:space="preserve"> of</w:t>
      </w:r>
      <w:r>
        <w:t xml:space="preserve"> gasfitters and plumbers, including investigation of mandatory continuous professional development training; advice on “appropriate CO spillage testing equipme</w:t>
      </w:r>
      <w:r w:rsidRPr="00FF5BFF">
        <w:t>nt”</w:t>
      </w:r>
      <w:r>
        <w:t xml:space="preserve">; and updating standards to readily identify CO poisoning risks (Recommendations 2, 4 and 6) </w:t>
      </w:r>
    </w:p>
    <w:p w14:paraId="7F7D02F0" w14:textId="7DFFE3C8" w:rsidR="002C792C" w:rsidRDefault="00045625" w:rsidP="00E74AA1">
      <w:pPr>
        <w:pStyle w:val="ListParagraph"/>
        <w:numPr>
          <w:ilvl w:val="0"/>
          <w:numId w:val="51"/>
        </w:numPr>
      </w:pPr>
      <w:r>
        <w:t>Strengthened compliance to assure quality of work, with issuing of compliance certificates for servicing work to be investigated in consultation with industry (Recommendation 5)</w:t>
      </w:r>
    </w:p>
    <w:p w14:paraId="20F9A90B" w14:textId="5CD266DE" w:rsidR="002C792C" w:rsidRDefault="00045625" w:rsidP="00E74AA1">
      <w:pPr>
        <w:pStyle w:val="ListParagraph"/>
        <w:numPr>
          <w:ilvl w:val="0"/>
          <w:numId w:val="51"/>
        </w:numPr>
      </w:pPr>
      <w:r>
        <w:t>More effective communication with relevant industry stakeholders: identifying a range of mechanisms for communicating updates to statutory requirements (Recommendation 7</w:t>
      </w:r>
      <w:r w:rsidR="0031092D">
        <w:t>)</w:t>
      </w:r>
    </w:p>
    <w:p w14:paraId="06B1F828" w14:textId="2713D19E" w:rsidR="00445D03" w:rsidRDefault="00045625" w:rsidP="00E74AA1">
      <w:pPr>
        <w:pStyle w:val="ListParagraph"/>
        <w:numPr>
          <w:ilvl w:val="0"/>
          <w:numId w:val="51"/>
        </w:numPr>
      </w:pPr>
      <w:r>
        <w:t>Targeted risk information for the community: Criticality of appropriate and accurate community information on the dangers associated with these types of heaters, especially in combination with negative pressure and inadequate ventilation, and targeted advice regarding specific models that have identified safety issues (Recommendations 3 and 8).</w:t>
      </w:r>
      <w:r w:rsidR="00E6216F">
        <w:rPr>
          <w:rStyle w:val="FootnoteReference"/>
        </w:rPr>
        <w:footnoteReference w:id="25"/>
      </w:r>
    </w:p>
    <w:p w14:paraId="5DA3FAE9" w14:textId="0667789C" w:rsidR="00AE4D74" w:rsidRDefault="00AE4D74">
      <w:pPr>
        <w:pStyle w:val="Heading3"/>
      </w:pPr>
      <w:r>
        <w:t xml:space="preserve">The </w:t>
      </w:r>
      <w:r w:rsidRPr="00197E94">
        <w:t>Government’s</w:t>
      </w:r>
      <w:r>
        <w:t xml:space="preserve"> commitment</w:t>
      </w:r>
    </w:p>
    <w:p w14:paraId="68E4226C" w14:textId="15DFDDD8" w:rsidR="00C00261" w:rsidRPr="00920112" w:rsidRDefault="00CB0284" w:rsidP="00AE4D74">
      <w:r w:rsidRPr="00920112">
        <w:t xml:space="preserve">In its response to the </w:t>
      </w:r>
      <w:r>
        <w:t>2018 Coronial Inquest</w:t>
      </w:r>
      <w:r w:rsidRPr="00920112">
        <w:t>, the Victorian Government has been clear that the safety of Victo</w:t>
      </w:r>
      <w:r w:rsidRPr="00D72024">
        <w:t xml:space="preserve">rians is the Government’s first priority and there are important lessons to be taken from </w:t>
      </w:r>
      <w:r w:rsidRPr="00096B3A">
        <w:t>this and previous tragic incidents.</w:t>
      </w:r>
      <w:r w:rsidRPr="00D72024">
        <w:t xml:space="preserve"> </w:t>
      </w:r>
      <w:r w:rsidR="00C00261" w:rsidRPr="00D72024">
        <w:t xml:space="preserve">The Victorian Government is taking action in response to the Coroner’s recommendations and to address related issues that will improve safety for Victorian households. </w:t>
      </w:r>
      <w:r w:rsidR="00AC2D9F" w:rsidRPr="00D72024">
        <w:t>Actions already underway are</w:t>
      </w:r>
      <w:r w:rsidR="00AC2D9F">
        <w:t xml:space="preserve"> </w:t>
      </w:r>
      <w:r w:rsidR="00AC2D9F" w:rsidRPr="00920587">
        <w:t xml:space="preserve">outlined </w:t>
      </w:r>
      <w:r w:rsidR="006C40B4" w:rsidRPr="00096B3A">
        <w:t xml:space="preserve">in </w:t>
      </w:r>
      <w:r w:rsidR="00AC2D9F" w:rsidRPr="00096B3A">
        <w:t xml:space="preserve">section </w:t>
      </w:r>
      <w:r w:rsidR="00F96779">
        <w:t>1.4</w:t>
      </w:r>
      <w:r w:rsidR="00AC2D9F" w:rsidRPr="00920587">
        <w:t>.</w:t>
      </w:r>
      <w:r w:rsidR="00AC2D9F">
        <w:t xml:space="preserve"> </w:t>
      </w:r>
    </w:p>
    <w:p w14:paraId="28B8803E" w14:textId="080C6FB4" w:rsidR="00AA18CF" w:rsidRDefault="00C00261" w:rsidP="00AA18CF">
      <w:pPr>
        <w:pStyle w:val="BodyText"/>
      </w:pPr>
      <w:r w:rsidRPr="00BE43D7">
        <w:t xml:space="preserve">The Government supported or supported in-principle all eight recommendations of the 2018 Coronial Inquest. </w:t>
      </w:r>
      <w:r w:rsidR="00CA2089" w:rsidRPr="00BE43D7">
        <w:t xml:space="preserve">This included a commitment to conduct a review of OFGSHs, </w:t>
      </w:r>
      <w:r w:rsidR="00AA18CF" w:rsidRPr="00096B3A">
        <w:t xml:space="preserve">with options such as a phase out to be assessed. Regulatory changes require a regulatory impact statement (RIS) under the </w:t>
      </w:r>
      <w:r w:rsidR="00AA18CF" w:rsidRPr="00096B3A">
        <w:rPr>
          <w:i/>
        </w:rPr>
        <w:t>Subordinate Legislation Act 1994 (Vic).</w:t>
      </w:r>
      <w:r w:rsidR="00AA18CF" w:rsidRPr="00096B3A">
        <w:t xml:space="preserve"> Deloitte Access Economics has been commissioned by the Department of Environment, Land, Water and Planning (DELWP) to develop the RIS.</w:t>
      </w:r>
      <w:r w:rsidR="00AA18CF" w:rsidRPr="00CD7FCD">
        <w:t xml:space="preserve"> </w:t>
      </w:r>
    </w:p>
    <w:p w14:paraId="4313011A" w14:textId="77777777" w:rsidR="00A3132A" w:rsidRPr="00FF5BFF" w:rsidRDefault="00A3132A" w:rsidP="00FF5BFF">
      <w:pPr>
        <w:pStyle w:val="Heading3"/>
        <w:numPr>
          <w:ilvl w:val="1"/>
          <w:numId w:val="172"/>
        </w:numPr>
        <w:rPr>
          <w:color w:val="62B5E5" w:themeColor="accent3"/>
        </w:rPr>
      </w:pPr>
      <w:r w:rsidRPr="00FF5BFF">
        <w:rPr>
          <w:color w:val="62B5E5" w:themeColor="accent3"/>
        </w:rPr>
        <w:t>Purpose of the RIS</w:t>
      </w:r>
    </w:p>
    <w:p w14:paraId="0072E61B" w14:textId="735A617F" w:rsidR="00FE0772" w:rsidRPr="00FE0772" w:rsidRDefault="000B2C2D" w:rsidP="00FE0772">
      <w:r w:rsidRPr="000B2C2D">
        <w:t>The purpose of the analysis in this RIS is to determine which phase</w:t>
      </w:r>
      <w:r w:rsidR="008049D5">
        <w:t xml:space="preserve"> </w:t>
      </w:r>
      <w:r w:rsidRPr="000B2C2D">
        <w:t xml:space="preserve">out option best ensures the </w:t>
      </w:r>
      <w:r w:rsidR="00F96779">
        <w:t xml:space="preserve">health and </w:t>
      </w:r>
      <w:r w:rsidRPr="000B2C2D">
        <w:t xml:space="preserve">safety of the community and reduces the risk of CO </w:t>
      </w:r>
      <w:r w:rsidR="00331987">
        <w:t xml:space="preserve">spillage </w:t>
      </w:r>
      <w:r w:rsidR="00421E1D">
        <w:t>resulting in CO poisoning</w:t>
      </w:r>
      <w:r w:rsidRPr="000B2C2D">
        <w:t xml:space="preserve"> from OFGSHs in Victoria. Transitional measures to manage risks from OFGSHs already installed have also been considered. </w:t>
      </w:r>
    </w:p>
    <w:p w14:paraId="6168ED63" w14:textId="1A8BAF5C" w:rsidR="00340296" w:rsidRPr="000B2C2D" w:rsidRDefault="00340296" w:rsidP="00D72024">
      <w:r w:rsidRPr="00F10451">
        <w:t>The following key matters have been considered and are discussed throughout this paper:</w:t>
      </w:r>
    </w:p>
    <w:p w14:paraId="563C727D" w14:textId="734ECF3E" w:rsidR="00EA1394" w:rsidRDefault="00EA1394" w:rsidP="00B741B1">
      <w:pPr>
        <w:numPr>
          <w:ilvl w:val="0"/>
          <w:numId w:val="267"/>
        </w:numPr>
        <w:contextualSpacing/>
      </w:pPr>
      <w:r w:rsidRPr="00F10451">
        <w:t>The risk factors that contribute to CO exposure from OFGSHs (the problem being addressed)</w:t>
      </w:r>
    </w:p>
    <w:p w14:paraId="1E7939CA" w14:textId="4FAD149F" w:rsidR="00FE0772" w:rsidRPr="00FE0772" w:rsidRDefault="00A3132A" w:rsidP="00B741B1">
      <w:pPr>
        <w:numPr>
          <w:ilvl w:val="0"/>
          <w:numId w:val="267"/>
        </w:numPr>
        <w:contextualSpacing/>
      </w:pPr>
      <w:r>
        <w:t>Options for addressing the problem (i.e. measures to reduce the risks of harm to human health and life due to CO exposure)</w:t>
      </w:r>
    </w:p>
    <w:p w14:paraId="00884D4F" w14:textId="77777777" w:rsidR="00EA1394" w:rsidRDefault="00EA1394" w:rsidP="00B741B1"/>
    <w:p w14:paraId="010D4595" w14:textId="0D16A6B0" w:rsidR="00EA1394" w:rsidRDefault="00A3132A" w:rsidP="00B741B1">
      <w:pPr>
        <w:numPr>
          <w:ilvl w:val="0"/>
          <w:numId w:val="267"/>
        </w:numPr>
        <w:contextualSpacing/>
      </w:pPr>
      <w:r>
        <w:t>The costs and benefits of the options proposed to address the problem</w:t>
      </w:r>
    </w:p>
    <w:p w14:paraId="322E22C9" w14:textId="526F6D6D" w:rsidR="00EA1394" w:rsidRDefault="00A3132A" w:rsidP="00EA1394">
      <w:pPr>
        <w:numPr>
          <w:ilvl w:val="0"/>
          <w:numId w:val="267"/>
        </w:numPr>
        <w:contextualSpacing/>
      </w:pPr>
      <w:r>
        <w:t>The preferred option and the rationale for choosing this option</w:t>
      </w:r>
    </w:p>
    <w:p w14:paraId="18C2AA3A" w14:textId="5611DDF1" w:rsidR="00EA1394" w:rsidRDefault="005F4AAB" w:rsidP="00EA1394">
      <w:pPr>
        <w:numPr>
          <w:ilvl w:val="0"/>
          <w:numId w:val="267"/>
        </w:numPr>
        <w:contextualSpacing/>
      </w:pPr>
      <w:r w:rsidRPr="00F10451">
        <w:t xml:space="preserve">Arrangements for implementing </w:t>
      </w:r>
      <w:r>
        <w:t>the preferred option</w:t>
      </w:r>
    </w:p>
    <w:p w14:paraId="21FC1B0C" w14:textId="289C8C64" w:rsidR="005F4AAB" w:rsidRDefault="005F4AAB" w:rsidP="00B741B1">
      <w:pPr>
        <w:numPr>
          <w:ilvl w:val="0"/>
          <w:numId w:val="267"/>
        </w:numPr>
        <w:contextualSpacing/>
      </w:pPr>
      <w:r w:rsidRPr="00F10451">
        <w:t xml:space="preserve">The evaluation strategy for </w:t>
      </w:r>
      <w:r>
        <w:t>the preferred option</w:t>
      </w:r>
      <w:r w:rsidRPr="00F10451">
        <w:t>.</w:t>
      </w:r>
    </w:p>
    <w:p w14:paraId="5AE71DC8" w14:textId="77777777" w:rsidR="00A3132A" w:rsidRDefault="00A3132A">
      <w:pPr>
        <w:pStyle w:val="Heading3"/>
      </w:pPr>
      <w:r>
        <w:t xml:space="preserve">Why a RIS is </w:t>
      </w:r>
      <w:r w:rsidRPr="00197E94">
        <w:t>required</w:t>
      </w:r>
    </w:p>
    <w:p w14:paraId="6F6E58F2" w14:textId="4FBC4E6E" w:rsidR="00A3132A" w:rsidRPr="00C06C03" w:rsidRDefault="00A3132A" w:rsidP="00A3132A">
      <w:r>
        <w:t>The options that have been considered to reduce the risks associated with OFGSHs in Victoria</w:t>
      </w:r>
      <w:r w:rsidR="00A16F13">
        <w:t xml:space="preserve"> </w:t>
      </w:r>
      <w:r>
        <w:t xml:space="preserve">will </w:t>
      </w:r>
      <w:r w:rsidR="0094496A">
        <w:t>have implications for Victorian businesses and consumers</w:t>
      </w:r>
      <w:r>
        <w:t xml:space="preserve">. In Victoria, a RIS is required under the </w:t>
      </w:r>
      <w:r>
        <w:rPr>
          <w:i/>
        </w:rPr>
        <w:t xml:space="preserve">Subordinate Legislation Act 1994 </w:t>
      </w:r>
      <w:r>
        <w:t>for any proposals that are ‘likely to impose a significant economic or social burden on a sector of the public’.</w:t>
      </w:r>
      <w:r>
        <w:rPr>
          <w:rStyle w:val="FootnoteReference"/>
        </w:rPr>
        <w:footnoteReference w:id="26"/>
      </w:r>
      <w:r>
        <w:t xml:space="preserve"> </w:t>
      </w:r>
    </w:p>
    <w:p w14:paraId="77572D34" w14:textId="11B0CBBE" w:rsidR="00A3132A" w:rsidRDefault="00A3132A" w:rsidP="00A3132A">
      <w:r>
        <w:t xml:space="preserve">A RIS presents sound analysis based on credible evidence that enables the Government to consider all relevant information before making a policy or regulatory change. </w:t>
      </w:r>
      <w:r w:rsidRPr="00853553">
        <w:t xml:space="preserve">Deloitte has prepared this RIS in accordance with the </w:t>
      </w:r>
      <w:r w:rsidRPr="00853553">
        <w:rPr>
          <w:i/>
        </w:rPr>
        <w:t>Victorian Guide to Regulation,</w:t>
      </w:r>
      <w:r w:rsidRPr="00853553">
        <w:rPr>
          <w:rStyle w:val="FootnoteReference"/>
        </w:rPr>
        <w:footnoteReference w:id="27"/>
      </w:r>
      <w:r w:rsidRPr="00853553">
        <w:t xml:space="preserve"> which provides a best practice approach to analysing any proposed regulatory intervention. </w:t>
      </w:r>
      <w:r>
        <w:t xml:space="preserve">It supports informed and effective consultation by enabling stakeholders to comment on the detailed analysis, </w:t>
      </w:r>
      <w:r w:rsidRPr="00CE2A36">
        <w:t xml:space="preserve">evidence and judgements being considered by Government. As part of this RIS process there has been consultation with </w:t>
      </w:r>
      <w:r w:rsidRPr="00CC4A0B">
        <w:t>key</w:t>
      </w:r>
      <w:r w:rsidRPr="00CE2A36">
        <w:t xml:space="preserve"> stakeholders across the gas appliance industry, consumer representatives, health professionals and regulators. Findings from stakeholder consultation has informed understanding of the problem, option development, options analysis and implementation requirements. A description of the stakeholder</w:t>
      </w:r>
      <w:r>
        <w:t xml:space="preserve"> consultation process is provided in</w:t>
      </w:r>
      <w:r w:rsidRPr="009E1CF5">
        <w:t xml:space="preserve"> </w:t>
      </w:r>
      <w:r w:rsidRPr="00CC4A0B">
        <w:t>Appendix A</w:t>
      </w:r>
      <w:r w:rsidRPr="009E1CF5">
        <w:t>.</w:t>
      </w:r>
    </w:p>
    <w:p w14:paraId="666E164E" w14:textId="77777777" w:rsidR="00A3132A" w:rsidRPr="0050305C" w:rsidRDefault="00A3132A" w:rsidP="00A3132A">
      <w:pPr>
        <w:pStyle w:val="Heading3"/>
      </w:pPr>
      <w:r w:rsidRPr="0050305C">
        <w:t xml:space="preserve">Public comment </w:t>
      </w:r>
    </w:p>
    <w:p w14:paraId="27C6EB7D" w14:textId="14AE5EE2" w:rsidR="00B22DFA" w:rsidRDefault="00F96779" w:rsidP="00A3132A">
      <w:r>
        <w:t>This</w:t>
      </w:r>
      <w:r w:rsidR="00A3132A" w:rsidRPr="00CC4A0B">
        <w:t xml:space="preserve"> RIS will be released for a</w:t>
      </w:r>
      <w:r w:rsidR="007732CC">
        <w:t>n</w:t>
      </w:r>
      <w:r w:rsidR="00A3132A" w:rsidRPr="00CC4A0B">
        <w:t xml:space="preserve"> </w:t>
      </w:r>
      <w:r w:rsidR="007732CC">
        <w:t>8</w:t>
      </w:r>
      <w:r w:rsidR="003C1C3F">
        <w:t>-</w:t>
      </w:r>
      <w:r w:rsidR="00370B30">
        <w:t>week</w:t>
      </w:r>
      <w:r w:rsidR="00A3132A" w:rsidRPr="00CC4A0B">
        <w:t xml:space="preserve"> period to provide businesses, members of the public and other interested parties the opportunity to provide feedback on these items. </w:t>
      </w:r>
      <w:r w:rsidR="004705B8">
        <w:t>Public consultation is expected to close by</w:t>
      </w:r>
      <w:r w:rsidR="000A08AD">
        <w:t xml:space="preserve"> </w:t>
      </w:r>
      <w:r w:rsidR="00BD64D6">
        <w:t>1</w:t>
      </w:r>
      <w:r w:rsidR="00F73C71">
        <w:t>5</w:t>
      </w:r>
      <w:r w:rsidR="00BD64D6">
        <w:t xml:space="preserve"> February</w:t>
      </w:r>
      <w:r w:rsidR="000A08AD">
        <w:t xml:space="preserve"> </w:t>
      </w:r>
      <w:r w:rsidR="00370B30">
        <w:t>2021</w:t>
      </w:r>
      <w:r w:rsidR="004705B8">
        <w:t>.</w:t>
      </w:r>
    </w:p>
    <w:p w14:paraId="36435FB5" w14:textId="5F7B64A0" w:rsidR="00A3132A" w:rsidRPr="00CE2A36" w:rsidRDefault="00B22DFA" w:rsidP="00A3132A">
      <w:r>
        <w:t>T</w:t>
      </w:r>
      <w:r w:rsidR="00A3132A" w:rsidRPr="00CC4A0B">
        <w:t xml:space="preserve">he process for public commentary is outlined in the Foreword to this report. The RIS will be made available on Engage Victoria, which is the Victorian Government's Online Consultation platform, and DELWP’s website. </w:t>
      </w:r>
    </w:p>
    <w:p w14:paraId="51BB74A6" w14:textId="77777777" w:rsidR="00A3132A" w:rsidRPr="00CC4A0B" w:rsidRDefault="00A3132A" w:rsidP="00A3132A">
      <w:r w:rsidRPr="00CC4A0B">
        <w:t xml:space="preserve">DELWP will consider all submissions received during the period of public review. DELWP will prepare a formal Response to Public Comment summarising the submissions received and DELWP’s response. Submissions to the review, and the formal Response to Public Comment document, will also be made available on Engage Victoria and DELWP’s website. </w:t>
      </w:r>
    </w:p>
    <w:p w14:paraId="3610E8F2" w14:textId="6C50D5A8" w:rsidR="001B7171" w:rsidRPr="00FF5BFF" w:rsidRDefault="00197E94" w:rsidP="00FF5BFF">
      <w:pPr>
        <w:pStyle w:val="Heading3"/>
        <w:numPr>
          <w:ilvl w:val="1"/>
          <w:numId w:val="172"/>
        </w:numPr>
        <w:rPr>
          <w:color w:val="62B5E5" w:themeColor="accent3"/>
        </w:rPr>
      </w:pPr>
      <w:bookmarkStart w:id="138" w:name="_Toc51238870"/>
      <w:bookmarkStart w:id="139" w:name="_Toc51238871"/>
      <w:bookmarkStart w:id="140" w:name="_Toc51238872"/>
      <w:bookmarkStart w:id="141" w:name="_Toc51238873"/>
      <w:bookmarkStart w:id="142" w:name="_Toc51238874"/>
      <w:bookmarkStart w:id="143" w:name="_Toc51238875"/>
      <w:bookmarkStart w:id="144" w:name="_Toc51238876"/>
      <w:bookmarkStart w:id="145" w:name="_Toc51238877"/>
      <w:bookmarkStart w:id="146" w:name="_Toc51238878"/>
      <w:bookmarkStart w:id="147" w:name="_Toc55996328"/>
      <w:bookmarkEnd w:id="138"/>
      <w:bookmarkEnd w:id="139"/>
      <w:bookmarkEnd w:id="140"/>
      <w:bookmarkEnd w:id="141"/>
      <w:bookmarkEnd w:id="142"/>
      <w:bookmarkEnd w:id="143"/>
      <w:bookmarkEnd w:id="144"/>
      <w:bookmarkEnd w:id="145"/>
      <w:bookmarkEnd w:id="146"/>
      <w:bookmarkEnd w:id="147"/>
      <w:r w:rsidRPr="00FF5BFF">
        <w:rPr>
          <w:color w:val="62B5E5" w:themeColor="accent3"/>
        </w:rPr>
        <w:t xml:space="preserve"> T</w:t>
      </w:r>
      <w:r w:rsidR="00F05C30" w:rsidRPr="00FF5BFF">
        <w:rPr>
          <w:color w:val="62B5E5" w:themeColor="accent3"/>
        </w:rPr>
        <w:t>he</w:t>
      </w:r>
      <w:r w:rsidR="00573F50" w:rsidRPr="00FF5BFF">
        <w:rPr>
          <w:color w:val="62B5E5" w:themeColor="accent3"/>
        </w:rPr>
        <w:t xml:space="preserve"> </w:t>
      </w:r>
      <w:r w:rsidR="00C80551" w:rsidRPr="00FF5BFF">
        <w:rPr>
          <w:color w:val="62B5E5" w:themeColor="accent3"/>
        </w:rPr>
        <w:t>current regulatory</w:t>
      </w:r>
      <w:r w:rsidR="00F05C30" w:rsidRPr="00FF5BFF">
        <w:rPr>
          <w:color w:val="62B5E5" w:themeColor="accent3"/>
        </w:rPr>
        <w:t xml:space="preserve"> environment</w:t>
      </w:r>
    </w:p>
    <w:p w14:paraId="565FDB0A" w14:textId="77777777" w:rsidR="0046294B" w:rsidRPr="001D0E48" w:rsidRDefault="0046294B">
      <w:pPr>
        <w:pStyle w:val="Heading3"/>
      </w:pPr>
      <w:r w:rsidRPr="00F31FBC">
        <w:t>Regulators</w:t>
      </w:r>
    </w:p>
    <w:p w14:paraId="3083D1A8" w14:textId="1BD04A5C" w:rsidR="0046294B" w:rsidRPr="00C011AF" w:rsidRDefault="00C26154" w:rsidP="0046294B">
      <w:r>
        <w:t>ESV</w:t>
      </w:r>
      <w:r w:rsidR="0046294B" w:rsidRPr="00C011AF">
        <w:t xml:space="preserve"> and the Victorian Building Authority (VBA) play important roles in ensuring the safety of gas heaters and other gas appliances for Victorian households. </w:t>
      </w:r>
    </w:p>
    <w:p w14:paraId="3662F92F" w14:textId="7F9E5B7E" w:rsidR="0046294B" w:rsidRPr="00C011AF" w:rsidRDefault="0046294B" w:rsidP="0046294B">
      <w:pPr>
        <w:pStyle w:val="ListParagraph"/>
        <w:spacing w:after="0" w:line="254" w:lineRule="auto"/>
        <w:ind w:left="0"/>
        <w:rPr>
          <w:i/>
        </w:rPr>
      </w:pPr>
      <w:r w:rsidRPr="00C011AF">
        <w:rPr>
          <w:i/>
        </w:rPr>
        <w:t xml:space="preserve">Energy Safe Victoria </w:t>
      </w:r>
    </w:p>
    <w:p w14:paraId="0DFE3ECB" w14:textId="4B4806D9" w:rsidR="0046294B" w:rsidRPr="00C011AF" w:rsidRDefault="0046294B" w:rsidP="0046294B">
      <w:r w:rsidRPr="00C011AF">
        <w:t xml:space="preserve">Established under the </w:t>
      </w:r>
      <w:r w:rsidRPr="00C011AF">
        <w:rPr>
          <w:i/>
        </w:rPr>
        <w:t>Energy Safe Victoria Act 2005 (Vic</w:t>
      </w:r>
      <w:r w:rsidRPr="00C011AF">
        <w:t xml:space="preserve">), ESV is the independent regulator for gas, electricity and pipeline safety in Victoria. It is responsible for administering and enforcing gas safety regulations, testing products to verify their safety, determining which gas appliances can be accepted in Victoria or authorising </w:t>
      </w:r>
      <w:r w:rsidR="00B760D4" w:rsidRPr="00C011AF">
        <w:t>CABs</w:t>
      </w:r>
      <w:r w:rsidRPr="00C011AF">
        <w:t xml:space="preserve"> to undertake this on ESV’s behalf, and investigating safety issues in homes and businesses. ESV’s activities in relation to residential gas appliance safety include:</w:t>
      </w:r>
    </w:p>
    <w:p w14:paraId="6DBBA67E" w14:textId="2C4BB341" w:rsidR="0046294B" w:rsidRPr="00C011AF" w:rsidRDefault="0031092D" w:rsidP="0046294B">
      <w:pPr>
        <w:pStyle w:val="ListParagraph"/>
        <w:numPr>
          <w:ilvl w:val="0"/>
          <w:numId w:val="51"/>
        </w:numPr>
      </w:pPr>
      <w:r w:rsidRPr="00C011AF">
        <w:t>I</w:t>
      </w:r>
      <w:r w:rsidR="0046294B" w:rsidRPr="00C011AF">
        <w:t>nvestigating gas incidents and the safety of gas appliances</w:t>
      </w:r>
    </w:p>
    <w:p w14:paraId="52EF2B2E" w14:textId="01AD3856" w:rsidR="0046294B" w:rsidRPr="00C011AF" w:rsidRDefault="0031092D" w:rsidP="0046294B">
      <w:pPr>
        <w:pStyle w:val="ListParagraph"/>
        <w:numPr>
          <w:ilvl w:val="0"/>
          <w:numId w:val="51"/>
        </w:numPr>
      </w:pPr>
      <w:r w:rsidRPr="00C011AF">
        <w:t>P</w:t>
      </w:r>
      <w:r w:rsidR="0046294B" w:rsidRPr="00C011AF">
        <w:t>roviding technical input on Standards Committees</w:t>
      </w:r>
    </w:p>
    <w:p w14:paraId="3C5863D8" w14:textId="3D0AC3C2" w:rsidR="0046294B" w:rsidRPr="00C011AF" w:rsidRDefault="0031092D" w:rsidP="0046294B">
      <w:pPr>
        <w:pStyle w:val="ListParagraph"/>
        <w:numPr>
          <w:ilvl w:val="0"/>
          <w:numId w:val="51"/>
        </w:numPr>
      </w:pPr>
      <w:r w:rsidRPr="00C011AF">
        <w:t>H</w:t>
      </w:r>
      <w:r w:rsidR="0046294B" w:rsidRPr="00C011AF">
        <w:t>osting a 24-hour gas emergency hotline for gasfitters</w:t>
      </w:r>
    </w:p>
    <w:p w14:paraId="25FB3108" w14:textId="0CF4210D" w:rsidR="0046294B" w:rsidRPr="00C011AF" w:rsidRDefault="0031092D" w:rsidP="0046294B">
      <w:pPr>
        <w:pStyle w:val="ListParagraph"/>
        <w:numPr>
          <w:ilvl w:val="0"/>
          <w:numId w:val="51"/>
        </w:numPr>
      </w:pPr>
      <w:r w:rsidRPr="00C011AF">
        <w:t>M</w:t>
      </w:r>
      <w:r w:rsidR="0046294B" w:rsidRPr="00C011AF">
        <w:t>aintaining information on gas heater safety and the dangers of CO</w:t>
      </w:r>
    </w:p>
    <w:p w14:paraId="3094D866" w14:textId="5A2E818C" w:rsidR="0046294B" w:rsidRPr="00C011AF" w:rsidRDefault="0031092D" w:rsidP="0046294B">
      <w:pPr>
        <w:pStyle w:val="ListParagraph"/>
        <w:numPr>
          <w:ilvl w:val="0"/>
          <w:numId w:val="51"/>
        </w:numPr>
      </w:pPr>
      <w:r w:rsidRPr="00C011AF">
        <w:lastRenderedPageBreak/>
        <w:t>I</w:t>
      </w:r>
      <w:r w:rsidR="0046294B" w:rsidRPr="00C011AF">
        <w:t xml:space="preserve">ssuing safety alerts for heaters that have failed safety tests, including urging Victorians not to use specific </w:t>
      </w:r>
      <w:r w:rsidR="000932DA">
        <w:t xml:space="preserve">OFGSH </w:t>
      </w:r>
      <w:r w:rsidR="0046294B" w:rsidRPr="00C011AF">
        <w:t xml:space="preserve">models until serviced by a qualified gasfitter.  </w:t>
      </w:r>
    </w:p>
    <w:p w14:paraId="593E8863" w14:textId="77777777" w:rsidR="0046294B" w:rsidRPr="00C011AF" w:rsidRDefault="0046294B" w:rsidP="0046294B">
      <w:pPr>
        <w:pStyle w:val="ListParagraph"/>
      </w:pPr>
    </w:p>
    <w:p w14:paraId="4F0314CE" w14:textId="77777777" w:rsidR="0046294B" w:rsidRPr="00C011AF" w:rsidRDefault="0046294B" w:rsidP="0046294B">
      <w:pPr>
        <w:pStyle w:val="ListParagraph"/>
        <w:spacing w:after="0" w:line="254" w:lineRule="auto"/>
        <w:ind w:left="0"/>
        <w:rPr>
          <w:i/>
        </w:rPr>
      </w:pPr>
      <w:r w:rsidRPr="00C011AF">
        <w:rPr>
          <w:i/>
        </w:rPr>
        <w:t>Victorian Building Authority</w:t>
      </w:r>
    </w:p>
    <w:p w14:paraId="444210AE" w14:textId="492CE601" w:rsidR="0046294B" w:rsidRDefault="0046294B" w:rsidP="0046294B">
      <w:r w:rsidRPr="00C011AF">
        <w:t xml:space="preserve">The VBA is </w:t>
      </w:r>
      <w:r w:rsidR="00225586">
        <w:t>an</w:t>
      </w:r>
      <w:r w:rsidR="00225586" w:rsidRPr="00C011AF">
        <w:t xml:space="preserve"> </w:t>
      </w:r>
      <w:r w:rsidRPr="00C011AF">
        <w:t xml:space="preserve">independent authority </w:t>
      </w:r>
      <w:r w:rsidR="00B81C88">
        <w:t xml:space="preserve">established by the Building Act </w:t>
      </w:r>
      <w:r w:rsidR="005B796A">
        <w:t xml:space="preserve">and is </w:t>
      </w:r>
      <w:r w:rsidRPr="00C011AF">
        <w:t>responsible for regulating building and plumbing practitioners</w:t>
      </w:r>
      <w:r w:rsidR="00B81C88">
        <w:t xml:space="preserve"> and building and plumbing (including gasfitting) work</w:t>
      </w:r>
      <w:r w:rsidRPr="00C011AF">
        <w:t xml:space="preserve"> in Victoria. It registers, licenses and disciplines plumbing practitioners (including gasfitters), </w:t>
      </w:r>
      <w:r w:rsidR="00452770">
        <w:t>administers</w:t>
      </w:r>
      <w:r w:rsidR="00452770" w:rsidRPr="00C011AF">
        <w:t xml:space="preserve"> </w:t>
      </w:r>
      <w:r w:rsidRPr="00C011AF">
        <w:t xml:space="preserve">and enforces compliance with </w:t>
      </w:r>
      <w:r w:rsidR="00452770">
        <w:t xml:space="preserve">the </w:t>
      </w:r>
      <w:r w:rsidR="005F36BF">
        <w:t xml:space="preserve">plumbing laws </w:t>
      </w:r>
      <w:r w:rsidR="00B81C88">
        <w:t>set out</w:t>
      </w:r>
      <w:r w:rsidR="005F36BF">
        <w:t xml:space="preserve"> </w:t>
      </w:r>
      <w:r w:rsidR="00452770">
        <w:t>in</w:t>
      </w:r>
      <w:r w:rsidR="005F36BF">
        <w:t xml:space="preserve"> </w:t>
      </w:r>
      <w:r w:rsidRPr="00C011AF">
        <w:t xml:space="preserve">the </w:t>
      </w:r>
      <w:r w:rsidR="005B796A" w:rsidRPr="000276F0">
        <w:rPr>
          <w:iCs/>
        </w:rPr>
        <w:t>Building Act</w:t>
      </w:r>
      <w:r w:rsidRPr="00C011AF">
        <w:t xml:space="preserve"> and </w:t>
      </w:r>
      <w:r w:rsidR="005F36BF">
        <w:t>Plumbing Regulations 2018</w:t>
      </w:r>
      <w:r w:rsidRPr="00C011AF">
        <w:t>, provides training and expert technical advice to practitioners, and undertakes compliance inspections and audits to ensure consumers are protected. The VBA oversees standard gas installation work which is defined as work involving Type A gas appliances in residential and certain prescribed commercial buildings.</w:t>
      </w:r>
    </w:p>
    <w:p w14:paraId="4D9DC36C" w14:textId="007ACD16" w:rsidR="00A52E3B" w:rsidRDefault="0046294B" w:rsidP="00FC1FF2">
      <w:r w:rsidRPr="00C011AF">
        <w:t xml:space="preserve">In addition to ESV and </w:t>
      </w:r>
      <w:r w:rsidR="001807FA">
        <w:t xml:space="preserve">the </w:t>
      </w:r>
      <w:r w:rsidRPr="00C011AF">
        <w:t>VBA</w:t>
      </w:r>
      <w:r w:rsidR="00A52E3B">
        <w:t>:</w:t>
      </w:r>
    </w:p>
    <w:p w14:paraId="08FA247C" w14:textId="571C4FFB" w:rsidR="00A52E3B" w:rsidRDefault="007E479E" w:rsidP="00A52E3B">
      <w:pPr>
        <w:pStyle w:val="ListParagraph"/>
        <w:numPr>
          <w:ilvl w:val="0"/>
          <w:numId w:val="233"/>
        </w:numPr>
      </w:pPr>
      <w:r w:rsidRPr="00C011AF">
        <w:t xml:space="preserve">Department of Justice and Community Safety (DJCS) released draft Residential Tenancies Regulations for public consultation in 2019 that proposed a two yearly ‘gas safety check’ of all gas appliances installed in rental properties. The making of the final Regulations by DJCS has been delayed due to </w:t>
      </w:r>
      <w:r w:rsidR="00922069">
        <w:t>coronavirus (</w:t>
      </w:r>
      <w:r w:rsidRPr="00C011AF">
        <w:t>COVID-19</w:t>
      </w:r>
      <w:r w:rsidR="00922069">
        <w:t>)</w:t>
      </w:r>
      <w:r w:rsidRPr="00C011AF">
        <w:t xml:space="preserve">. The final Regulations are anticipated to commence by </w:t>
      </w:r>
      <w:r w:rsidR="00F10D77">
        <w:t>29 March</w:t>
      </w:r>
      <w:r w:rsidRPr="00C011AF">
        <w:t xml:space="preserve"> 202</w:t>
      </w:r>
      <w:r w:rsidR="009339F3">
        <w:t>1</w:t>
      </w:r>
      <w:r w:rsidRPr="00C011AF">
        <w:t>.Compliance with proposed gas safety</w:t>
      </w:r>
      <w:r w:rsidRPr="00C011AF">
        <w:noBreakHyphen/>
        <w:t>related activities would be enforced by Consumer Affairs Victoria (CAV). CAV is also responsible for informing stakeholders about relevant changes to Victorian consumer laws and enforcing compliance with these laws.</w:t>
      </w:r>
      <w:r w:rsidR="003B5F19" w:rsidRPr="00C011AF">
        <w:t xml:space="preserve"> </w:t>
      </w:r>
    </w:p>
    <w:p w14:paraId="57880425" w14:textId="4A5B615E" w:rsidR="00FE709B" w:rsidRPr="00C011AF" w:rsidRDefault="0046294B" w:rsidP="000276F0">
      <w:pPr>
        <w:pStyle w:val="ListParagraph"/>
        <w:numPr>
          <w:ilvl w:val="0"/>
          <w:numId w:val="233"/>
        </w:numPr>
      </w:pPr>
      <w:r w:rsidRPr="00C011AF">
        <w:t>Department of Health and Human Services (DHHS) is responsible for managing gas heaters in public housing developments</w:t>
      </w:r>
      <w:r w:rsidR="00A52E3B">
        <w:t>, and through the role of the Chief Health Officer</w:t>
      </w:r>
      <w:r w:rsidR="00AF7116">
        <w:t xml:space="preserve"> </w:t>
      </w:r>
      <w:r w:rsidR="00407376">
        <w:t xml:space="preserve">the provision of </w:t>
      </w:r>
      <w:r w:rsidR="00AF7116">
        <w:t xml:space="preserve">advice to government </w:t>
      </w:r>
      <w:r w:rsidR="00407376">
        <w:t xml:space="preserve">and other stakeholders </w:t>
      </w:r>
      <w:r w:rsidR="00AF7116">
        <w:t xml:space="preserve">on </w:t>
      </w:r>
      <w:r w:rsidR="00CC52E8">
        <w:t>potential public health risks (as required)</w:t>
      </w:r>
      <w:r w:rsidRPr="00C011AF">
        <w:t>.</w:t>
      </w:r>
    </w:p>
    <w:p w14:paraId="5CEBE7CD" w14:textId="4B6AB3FE" w:rsidR="00B10626" w:rsidRPr="00C011AF" w:rsidRDefault="00B10626" w:rsidP="00AD76EF">
      <w:pPr>
        <w:pStyle w:val="Heading3"/>
      </w:pPr>
      <w:r w:rsidRPr="00C011AF">
        <w:t>Legislat</w:t>
      </w:r>
      <w:r w:rsidR="007D7672" w:rsidRPr="00C011AF">
        <w:t xml:space="preserve">ive framework </w:t>
      </w:r>
    </w:p>
    <w:p w14:paraId="6335734A" w14:textId="2EB32C3D" w:rsidR="00406147" w:rsidRPr="00C011AF" w:rsidRDefault="00406147" w:rsidP="00025605">
      <w:r w:rsidRPr="00C011AF">
        <w:t xml:space="preserve">Relevant legislation and regulations affecting OFGSHs and gas safety in Victoria include the </w:t>
      </w:r>
      <w:r w:rsidRPr="00C011AF">
        <w:rPr>
          <w:i/>
        </w:rPr>
        <w:t>Gas Safety Act 1997</w:t>
      </w:r>
      <w:r w:rsidR="003B5F19" w:rsidRPr="00C011AF">
        <w:t xml:space="preserve"> (GS Act)</w:t>
      </w:r>
      <w:r w:rsidRPr="00C011AF">
        <w:t xml:space="preserve">, the Gas Safety (Gas Installation) Regulations 2018, the </w:t>
      </w:r>
      <w:r w:rsidRPr="000276F0">
        <w:rPr>
          <w:iCs/>
        </w:rPr>
        <w:t>Building Act</w:t>
      </w:r>
      <w:r w:rsidRPr="00C011AF">
        <w:t xml:space="preserve"> and the Plumbing Regulations 2018.</w:t>
      </w:r>
    </w:p>
    <w:p w14:paraId="1CB4C788" w14:textId="73CEA966" w:rsidR="0046294B" w:rsidRPr="00C011AF" w:rsidRDefault="00025605" w:rsidP="0046294B">
      <w:r w:rsidRPr="00C011AF">
        <w:t xml:space="preserve">The </w:t>
      </w:r>
      <w:r w:rsidR="003B5F19" w:rsidRPr="00C011AF">
        <w:t>GS Act</w:t>
      </w:r>
      <w:r w:rsidRPr="00C011AF">
        <w:t xml:space="preserve"> provides the regulatory framework for OF</w:t>
      </w:r>
      <w:r w:rsidR="004B4469">
        <w:t>GS</w:t>
      </w:r>
      <w:r w:rsidRPr="00C011AF">
        <w:t xml:space="preserve">Hs in Victoria. </w:t>
      </w:r>
      <w:r w:rsidR="0046294B" w:rsidRPr="00C011AF">
        <w:t xml:space="preserve">Under </w:t>
      </w:r>
      <w:r w:rsidR="00FE709B" w:rsidRPr="00C011AF">
        <w:t>this legislation</w:t>
      </w:r>
      <w:r w:rsidR="0046294B" w:rsidRPr="00C011AF">
        <w:t xml:space="preserve">, gas appliances are defined as either Type A or Type B gas appliances, and installations are defined as either standard or complex gas installations. </w:t>
      </w:r>
    </w:p>
    <w:p w14:paraId="7EF201B2" w14:textId="452CBCA3" w:rsidR="00285941" w:rsidRPr="009F57E8" w:rsidRDefault="00285941" w:rsidP="00285941">
      <w:r w:rsidRPr="00C011AF">
        <w:t xml:space="preserve">Type A appliances are domestic and light commercial type appliances </w:t>
      </w:r>
      <w:r w:rsidRPr="00096B3A">
        <w:t>for which a certification scheme exists</w:t>
      </w:r>
      <w:r w:rsidR="004C351F" w:rsidRPr="00BB56FF">
        <w:t>. A</w:t>
      </w:r>
      <w:r w:rsidRPr="00C60102">
        <w:t xml:space="preserve">n </w:t>
      </w:r>
      <w:r w:rsidR="000932DA">
        <w:t xml:space="preserve">OFGSH </w:t>
      </w:r>
      <w:r w:rsidRPr="00C60102">
        <w:t xml:space="preserve">is a Type A appliance. Type B appliances include an appliance with gas consumption in excess of 10MJ/h </w:t>
      </w:r>
      <w:r w:rsidR="00D9098A" w:rsidRPr="00096B3A">
        <w:t>(for example a commercial kitchen)</w:t>
      </w:r>
      <w:r w:rsidR="00D9098A" w:rsidRPr="00BB56FF">
        <w:t xml:space="preserve"> </w:t>
      </w:r>
      <w:r w:rsidRPr="00C60102">
        <w:t>but do not include Type A appliances.</w:t>
      </w:r>
    </w:p>
    <w:p w14:paraId="59025607" w14:textId="6A2E1DA3" w:rsidR="00487584" w:rsidRPr="00C011AF" w:rsidRDefault="00487584" w:rsidP="00487584">
      <w:r w:rsidRPr="009F57E8">
        <w:t>Standard gas installations include installations which contain only Type A appliances and are located in residential and certain prescribed commercial premises</w:t>
      </w:r>
      <w:r w:rsidR="00CD56DE">
        <w:t xml:space="preserve"> and in caravans</w:t>
      </w:r>
      <w:r w:rsidRPr="009F57E8">
        <w:t xml:space="preserve">. </w:t>
      </w:r>
      <w:r w:rsidR="004C351F" w:rsidRPr="00410117">
        <w:t>C</w:t>
      </w:r>
      <w:r w:rsidRPr="00410117">
        <w:t xml:space="preserve">omplex gas installations include installation of Type </w:t>
      </w:r>
      <w:r w:rsidRPr="00387E9A">
        <w:t xml:space="preserve">B appliances and </w:t>
      </w:r>
      <w:r w:rsidRPr="00096B3A">
        <w:t xml:space="preserve">Type A appliances in certain premises other than residential </w:t>
      </w:r>
      <w:r w:rsidRPr="00BB56FF">
        <w:t>(such as schools, hospitals and commercial premises).</w:t>
      </w:r>
      <w:r w:rsidRPr="00C60102">
        <w:t xml:space="preserve"> </w:t>
      </w:r>
      <w:r w:rsidR="00143500">
        <w:t xml:space="preserve">The </w:t>
      </w:r>
      <w:r w:rsidRPr="009F57E8">
        <w:t xml:space="preserve">VBA </w:t>
      </w:r>
      <w:r w:rsidRPr="00410117">
        <w:t xml:space="preserve">monitor compliance </w:t>
      </w:r>
      <w:r w:rsidRPr="00387E9A">
        <w:t>fo</w:t>
      </w:r>
      <w:r w:rsidRPr="00FD4E71">
        <w:t>r standard gas installations</w:t>
      </w:r>
      <w:r w:rsidRPr="00AC12E6">
        <w:t>,</w:t>
      </w:r>
      <w:r w:rsidRPr="00F31FBC">
        <w:t xml:space="preserve"> while ESV </w:t>
      </w:r>
      <w:r w:rsidRPr="001D0E48">
        <w:t>monitor</w:t>
      </w:r>
      <w:r w:rsidR="00CD56DE">
        <w:t>s</w:t>
      </w:r>
      <w:r w:rsidRPr="001D0E48">
        <w:t xml:space="preserve"> compliance for</w:t>
      </w:r>
      <w:r w:rsidRPr="00C011AF">
        <w:t xml:space="preserve"> complex gas installations in all other premises.</w:t>
      </w:r>
    </w:p>
    <w:p w14:paraId="2C20152D" w14:textId="24769A98" w:rsidR="00D35823" w:rsidRPr="009F57E8" w:rsidRDefault="00025605" w:rsidP="00025605">
      <w:r w:rsidRPr="00C011AF">
        <w:t xml:space="preserve">Under the </w:t>
      </w:r>
      <w:r w:rsidR="003B5F19" w:rsidRPr="00C011AF">
        <w:t>GS Act</w:t>
      </w:r>
      <w:r w:rsidRPr="00C011AF">
        <w:t xml:space="preserve">, before </w:t>
      </w:r>
      <w:r w:rsidR="002E32F5">
        <w:t>Type A appliances (including OFGSH</w:t>
      </w:r>
      <w:r w:rsidR="00105E8A">
        <w:t>s</w:t>
      </w:r>
      <w:r w:rsidR="002E32F5">
        <w:t xml:space="preserve">) </w:t>
      </w:r>
      <w:r w:rsidRPr="00C011AF">
        <w:t>can be legally supplied</w:t>
      </w:r>
      <w:r w:rsidR="00087118" w:rsidRPr="00C011AF">
        <w:t>,</w:t>
      </w:r>
      <w:r w:rsidRPr="00C011AF">
        <w:t xml:space="preserve"> sold </w:t>
      </w:r>
      <w:r w:rsidR="00087118" w:rsidRPr="00C011AF">
        <w:t>or installed</w:t>
      </w:r>
      <w:r w:rsidRPr="00C011AF">
        <w:t xml:space="preserve"> in Victoria</w:t>
      </w:r>
      <w:r w:rsidR="002E32F5">
        <w:t>, their safe design must be accepted by ESV</w:t>
      </w:r>
      <w:r w:rsidR="00CC7D71" w:rsidRPr="00C011AF">
        <w:t>.</w:t>
      </w:r>
      <w:r w:rsidRPr="00C011AF">
        <w:t xml:space="preserve"> </w:t>
      </w:r>
      <w:r w:rsidR="00225586">
        <w:t xml:space="preserve">Importantly, </w:t>
      </w:r>
      <w:r w:rsidRPr="00C011AF">
        <w:t>ESV can recognise CABs to undertake this process on its behalf under agreed acceptance schemes. ESV requires that the CABs confirm that the appliance conforms with the relevant Australian Standards (</w:t>
      </w:r>
      <w:r w:rsidR="00763F14" w:rsidRPr="00096B3A">
        <w:t>AS/NZS5263.0 and AS/NZS5263.1.3 apply to OFGSHs</w:t>
      </w:r>
      <w:r w:rsidRPr="00BB56FF">
        <w:t>).</w:t>
      </w:r>
      <w:r w:rsidR="00336933" w:rsidRPr="00C60102">
        <w:t xml:space="preserve"> </w:t>
      </w:r>
    </w:p>
    <w:p w14:paraId="1B800EDE" w14:textId="09E25594" w:rsidR="00E93C6E" w:rsidRPr="00BB56FF" w:rsidRDefault="00E93C6E" w:rsidP="00E93C6E">
      <w:r w:rsidRPr="00096B3A">
        <w:t xml:space="preserve">The </w:t>
      </w:r>
      <w:r w:rsidR="003B5F19" w:rsidRPr="00096B3A">
        <w:t>GS Act</w:t>
      </w:r>
      <w:r w:rsidRPr="00096B3A">
        <w:t xml:space="preserve"> provides ESV with power to declare the non-acceptance of an appliance or class of appliances</w:t>
      </w:r>
      <w:r w:rsidRPr="00096B3A">
        <w:rPr>
          <w:rStyle w:val="FootnoteReference"/>
        </w:rPr>
        <w:footnoteReference w:id="28"/>
      </w:r>
      <w:r w:rsidRPr="00096B3A">
        <w:t xml:space="preserve"> (for example OFGSHs) which means these appliances could not be certified for use in Victoria and therefore it would be an offence to sell, supply or install them (under the Act a Type A </w:t>
      </w:r>
      <w:r w:rsidRPr="00096B3A">
        <w:lastRenderedPageBreak/>
        <w:t xml:space="preserve">appliance cannot be sold, supplied or installed unless it has been accepted). The </w:t>
      </w:r>
      <w:r w:rsidR="003B5F19" w:rsidRPr="00096B3A">
        <w:t>GS Act</w:t>
      </w:r>
      <w:r w:rsidRPr="00096B3A">
        <w:t xml:space="preserve"> also provides ESV with the power to prohibit the sale or supply of an appliance or class of appliances.</w:t>
      </w:r>
      <w:r w:rsidRPr="00096B3A">
        <w:rPr>
          <w:rStyle w:val="FootnoteReference"/>
        </w:rPr>
        <w:footnoteReference w:id="29"/>
      </w:r>
      <w:r w:rsidRPr="00096B3A">
        <w:t xml:space="preserve"> The effect of these two powers are similar, in that it would be an offence to sell or supply affected appliances, however the penalties for non-compliance differ.</w:t>
      </w:r>
    </w:p>
    <w:p w14:paraId="02AB461F" w14:textId="6CCAE287" w:rsidR="00025605" w:rsidRPr="00410117" w:rsidRDefault="00025605" w:rsidP="000276F0">
      <w:r w:rsidRPr="00C60102">
        <w:t xml:space="preserve">The </w:t>
      </w:r>
      <w:r w:rsidR="003B5F19" w:rsidRPr="009F57E8">
        <w:t>GS Act</w:t>
      </w:r>
      <w:r w:rsidRPr="00410117">
        <w:t xml:space="preserve"> also provides the responsible </w:t>
      </w:r>
      <w:r w:rsidRPr="00410117">
        <w:rPr>
          <w:rFonts w:cstheme="minorHAnsi"/>
        </w:rPr>
        <w:t>Minister (</w:t>
      </w:r>
      <w:r w:rsidR="00225586">
        <w:rPr>
          <w:rFonts w:cstheme="minorHAnsi"/>
        </w:rPr>
        <w:t xml:space="preserve">the </w:t>
      </w:r>
      <w:r w:rsidRPr="00410117">
        <w:rPr>
          <w:rFonts w:cstheme="minorHAnsi"/>
        </w:rPr>
        <w:t xml:space="preserve">Minister for Energy, Environment and Climate Change) </w:t>
      </w:r>
      <w:r w:rsidR="004D3C7D">
        <w:rPr>
          <w:rFonts w:cstheme="minorHAnsi"/>
        </w:rPr>
        <w:t xml:space="preserve">The Minister </w:t>
      </w:r>
      <w:r w:rsidR="00225586">
        <w:t xml:space="preserve">with </w:t>
      </w:r>
      <w:r w:rsidR="004D3C7D">
        <w:rPr>
          <w:rFonts w:cstheme="minorHAnsi"/>
        </w:rPr>
        <w:t>can</w:t>
      </w:r>
      <w:r w:rsidRPr="00BB56FF">
        <w:t xml:space="preserve"> recommend to the Governor in Council that regulations be made, </w:t>
      </w:r>
      <w:r w:rsidR="00D52444" w:rsidRPr="00C60102">
        <w:t xml:space="preserve">which can include </w:t>
      </w:r>
      <w:r w:rsidRPr="009F57E8">
        <w:t>regulations to prohibit the installation of OFGSHs.</w:t>
      </w:r>
    </w:p>
    <w:p w14:paraId="76B4E7E6" w14:textId="702709D7" w:rsidR="00025605" w:rsidRPr="00C011AF" w:rsidRDefault="00A5018D" w:rsidP="0096052E">
      <w:pPr>
        <w:spacing w:after="160" w:line="256" w:lineRule="auto"/>
      </w:pPr>
      <w:r w:rsidRPr="00410117">
        <w:t>ESV</w:t>
      </w:r>
      <w:r w:rsidR="0096052E" w:rsidRPr="00387E9A">
        <w:t>’s powers</w:t>
      </w:r>
      <w:r w:rsidR="001A5146" w:rsidRPr="00FD4E71">
        <w:t xml:space="preserve"> </w:t>
      </w:r>
      <w:r w:rsidR="00AA5414" w:rsidRPr="00AC12E6">
        <w:t xml:space="preserve">and </w:t>
      </w:r>
      <w:r w:rsidR="0096052E" w:rsidRPr="00F31FBC">
        <w:t xml:space="preserve">the </w:t>
      </w:r>
      <w:r w:rsidR="00025605" w:rsidRPr="001D0E48">
        <w:t>Minister’s powers com</w:t>
      </w:r>
      <w:r w:rsidR="00025605" w:rsidRPr="00C011AF">
        <w:t xml:space="preserve">plement each other but are distinct decisions by different persons. </w:t>
      </w:r>
    </w:p>
    <w:p w14:paraId="6F505697" w14:textId="5A97A9B6" w:rsidR="001B7171" w:rsidRPr="00C011AF" w:rsidRDefault="001B7171" w:rsidP="00441D01">
      <w:pPr>
        <w:pStyle w:val="Heading3"/>
      </w:pPr>
      <w:bookmarkStart w:id="148" w:name="_Ref22109399"/>
      <w:r w:rsidRPr="00C011AF">
        <w:t>Regulation</w:t>
      </w:r>
      <w:bookmarkEnd w:id="148"/>
      <w:r w:rsidRPr="00C011AF">
        <w:t xml:space="preserve"> </w:t>
      </w:r>
      <w:r w:rsidR="00447C8C" w:rsidRPr="00C011AF">
        <w:t xml:space="preserve">of </w:t>
      </w:r>
      <w:r w:rsidRPr="00C011AF">
        <w:t>gas heater</w:t>
      </w:r>
      <w:r w:rsidR="00744D11" w:rsidRPr="00C011AF">
        <w:t>s</w:t>
      </w:r>
      <w:r w:rsidRPr="00C011AF">
        <w:t xml:space="preserve"> </w:t>
      </w:r>
    </w:p>
    <w:p w14:paraId="377A45F1" w14:textId="57DA5E7C" w:rsidR="004A3CFB" w:rsidRPr="00C011AF" w:rsidRDefault="001B7171" w:rsidP="003B5F19">
      <w:pPr>
        <w:pStyle w:val="Heading4"/>
      </w:pPr>
      <w:r w:rsidRPr="00C011AF">
        <w:t xml:space="preserve">Gas appliance </w:t>
      </w:r>
      <w:r w:rsidR="002417B8" w:rsidRPr="00C011AF">
        <w:t xml:space="preserve">acceptance </w:t>
      </w:r>
    </w:p>
    <w:p w14:paraId="043F1192" w14:textId="47507916" w:rsidR="000B3A95" w:rsidRPr="00410117" w:rsidRDefault="00B50668" w:rsidP="000B3A95">
      <w:r w:rsidRPr="00096B3A">
        <w:t>A</w:t>
      </w:r>
      <w:r w:rsidR="000B3A95" w:rsidRPr="00096B3A">
        <w:t>cceptance scheme</w:t>
      </w:r>
      <w:r w:rsidRPr="00096B3A">
        <w:t>s</w:t>
      </w:r>
      <w:r w:rsidR="000B3A95" w:rsidRPr="00096B3A">
        <w:t xml:space="preserve"> assist</w:t>
      </w:r>
      <w:r w:rsidR="000B3A95" w:rsidRPr="00BB56FF">
        <w:t xml:space="preserve"> manufacturers and distributors with obtaining gas appliance and component certification to appropriate Austr</w:t>
      </w:r>
      <w:r w:rsidR="000B3A95" w:rsidRPr="00C60102">
        <w:t>alian Standards. Compliance to the relevant standard is confirmed through independent testing and review of test reports</w:t>
      </w:r>
      <w:r w:rsidR="001A5B26">
        <w:t xml:space="preserve"> by CABs</w:t>
      </w:r>
      <w:r w:rsidR="000B3A95" w:rsidRPr="00C60102">
        <w:t>. A product evaluation</w:t>
      </w:r>
      <w:r w:rsidR="00C001D6">
        <w:t xml:space="preserve"> (conducted typically annually)</w:t>
      </w:r>
      <w:r w:rsidR="000B3A95" w:rsidRPr="00C60102">
        <w:t xml:space="preserve">, involving a visual inspection is carried out </w:t>
      </w:r>
      <w:r w:rsidR="001373DB">
        <w:t xml:space="preserve">by CABs </w:t>
      </w:r>
      <w:r w:rsidR="000B3A95" w:rsidRPr="00C60102">
        <w:t xml:space="preserve">on the certified product to ensure ongoing compliance. </w:t>
      </w:r>
      <w:r w:rsidR="008C286A" w:rsidRPr="009F57E8">
        <w:t xml:space="preserve"> </w:t>
      </w:r>
    </w:p>
    <w:p w14:paraId="7B8ECB00" w14:textId="02A7BF17" w:rsidR="0006602F" w:rsidRPr="00BB56FF" w:rsidRDefault="00713D5D" w:rsidP="003B5F19">
      <w:pPr>
        <w:rPr>
          <w:u w:val="single"/>
        </w:rPr>
      </w:pPr>
      <w:r w:rsidRPr="00410117">
        <w:rPr>
          <w:u w:val="single"/>
        </w:rPr>
        <w:t>Ga</w:t>
      </w:r>
      <w:r w:rsidRPr="00387E9A">
        <w:rPr>
          <w:u w:val="single"/>
        </w:rPr>
        <w:t>s Equipment Certification Scheme</w:t>
      </w:r>
      <w:r w:rsidR="00701AEA" w:rsidRPr="00FD4E71">
        <w:rPr>
          <w:u w:val="single"/>
        </w:rPr>
        <w:t xml:space="preserve"> “</w:t>
      </w:r>
      <w:r w:rsidR="00701AEA" w:rsidRPr="00096B3A">
        <w:rPr>
          <w:u w:val="single"/>
        </w:rPr>
        <w:t>The Rules”</w:t>
      </w:r>
    </w:p>
    <w:p w14:paraId="4DDDC3CF" w14:textId="460C105C" w:rsidR="00431987" w:rsidRPr="00C60102" w:rsidRDefault="002E06FE" w:rsidP="003B5F19">
      <w:r w:rsidRPr="00C60102">
        <w:t>The Gas Technical Regulator</w:t>
      </w:r>
      <w:r w:rsidR="00701AEA" w:rsidRPr="009F57E8">
        <w:t>s</w:t>
      </w:r>
      <w:r w:rsidRPr="00410117">
        <w:t xml:space="preserve"> Committee (GTRC), </w:t>
      </w:r>
      <w:r w:rsidR="00204846">
        <w:t>comprising</w:t>
      </w:r>
      <w:r w:rsidRPr="00410117">
        <w:t xml:space="preserve"> the gas technical regulators of Australia and New Zealand, </w:t>
      </w:r>
      <w:r w:rsidR="00431987" w:rsidRPr="00410117">
        <w:t>ha</w:t>
      </w:r>
      <w:r w:rsidR="00701AEA" w:rsidRPr="00387E9A">
        <w:t>s</w:t>
      </w:r>
      <w:r w:rsidR="00431987" w:rsidRPr="00FD4E71">
        <w:t xml:space="preserve"> </w:t>
      </w:r>
      <w:r w:rsidRPr="00AC12E6">
        <w:t>develop</w:t>
      </w:r>
      <w:r w:rsidR="00431987" w:rsidRPr="00F31FBC">
        <w:t>ed</w:t>
      </w:r>
      <w:r w:rsidRPr="001D0E48">
        <w:t xml:space="preserve"> the </w:t>
      </w:r>
      <w:r w:rsidRPr="00C011AF">
        <w:t xml:space="preserve">Gas Equipment Certification Scheme </w:t>
      </w:r>
      <w:r w:rsidR="00EA7E3B" w:rsidRPr="00C011AF">
        <w:t>(</w:t>
      </w:r>
      <w:r w:rsidRPr="00C011AF">
        <w:t>“The</w:t>
      </w:r>
      <w:r w:rsidR="00F87DEB" w:rsidRPr="00C011AF">
        <w:t xml:space="preserve"> </w:t>
      </w:r>
      <w:r w:rsidRPr="00C011AF">
        <w:t>Rules”</w:t>
      </w:r>
      <w:r w:rsidR="00EA7E3B" w:rsidRPr="00C011AF">
        <w:t>)</w:t>
      </w:r>
      <w:r w:rsidR="00431987" w:rsidRPr="00C011AF">
        <w:t xml:space="preserve"> to establish a consistent regulatory framework across Australia. </w:t>
      </w:r>
      <w:r w:rsidR="008C286A" w:rsidRPr="00C011AF">
        <w:t xml:space="preserve">All </w:t>
      </w:r>
      <w:r w:rsidR="008C286A" w:rsidRPr="00096B3A">
        <w:t>Type A</w:t>
      </w:r>
      <w:r w:rsidR="008C286A" w:rsidRPr="00BB56FF">
        <w:t xml:space="preserve"> gas appliances available</w:t>
      </w:r>
      <w:r w:rsidR="008C286A" w:rsidRPr="00C60102">
        <w:t xml:space="preserve"> for sale in Victoria must bear a </w:t>
      </w:r>
      <w:r w:rsidR="008C286A" w:rsidRPr="00096B3A">
        <w:t>Gas Compliance Mark in accordance with The Rules,</w:t>
      </w:r>
      <w:r w:rsidR="008C286A" w:rsidRPr="00BB56FF">
        <w:t xml:space="preserve"> verifying that the appliance complies with Australian regulations, standards and codes and is certified for use in Victoria.</w:t>
      </w:r>
    </w:p>
    <w:p w14:paraId="66D47CD0" w14:textId="418EC85F" w:rsidR="002E06FE" w:rsidRPr="009F57E8" w:rsidRDefault="002E06FE">
      <w:r w:rsidRPr="009F57E8">
        <w:t xml:space="preserve">The </w:t>
      </w:r>
      <w:r w:rsidRPr="00410117">
        <w:t xml:space="preserve">Rules apply to CABs that are </w:t>
      </w:r>
      <w:r w:rsidRPr="00387E9A">
        <w:t xml:space="preserve">recognised </w:t>
      </w:r>
      <w:r w:rsidR="00F87DEB" w:rsidRPr="00FD4E71">
        <w:t xml:space="preserve">on a state by state basis </w:t>
      </w:r>
      <w:r w:rsidRPr="00AC12E6">
        <w:t xml:space="preserve">by Gas Technical Regulators in Australia to certify gas equipment. </w:t>
      </w:r>
      <w:r w:rsidR="006A50C3" w:rsidRPr="00F31FBC">
        <w:t xml:space="preserve">In </w:t>
      </w:r>
      <w:r w:rsidR="005F7CFB" w:rsidRPr="001D0E48">
        <w:t>Victoria</w:t>
      </w:r>
      <w:r w:rsidR="00EA7E3B" w:rsidRPr="00C011AF">
        <w:t>,</w:t>
      </w:r>
      <w:r w:rsidR="006A50C3" w:rsidRPr="00C011AF">
        <w:t xml:space="preserve"> ESV requires that </w:t>
      </w:r>
      <w:r w:rsidRPr="00C011AF">
        <w:t xml:space="preserve">CABs </w:t>
      </w:r>
      <w:r w:rsidR="006A50C3" w:rsidRPr="00C011AF">
        <w:t xml:space="preserve">demonstrate compliance with </w:t>
      </w:r>
      <w:r w:rsidR="003B5F19" w:rsidRPr="00C011AF">
        <w:t>T</w:t>
      </w:r>
      <w:r w:rsidRPr="00C011AF">
        <w:t xml:space="preserve">he Rules in order for their acceptance scheme to be </w:t>
      </w:r>
      <w:r w:rsidR="006A50C3" w:rsidRPr="00C011AF">
        <w:t xml:space="preserve">authorised </w:t>
      </w:r>
      <w:r w:rsidRPr="00C011AF">
        <w:t xml:space="preserve">by ESV. </w:t>
      </w:r>
      <w:r w:rsidRPr="00096B3A">
        <w:t xml:space="preserve">If </w:t>
      </w:r>
      <w:r w:rsidR="00B76948" w:rsidRPr="00096B3A">
        <w:t xml:space="preserve">a CAB is </w:t>
      </w:r>
      <w:r w:rsidRPr="00096B3A">
        <w:t>found to</w:t>
      </w:r>
      <w:r w:rsidRPr="00BB56FF">
        <w:t xml:space="preserve"> be non-compliant with The </w:t>
      </w:r>
      <w:r w:rsidRPr="009F57E8">
        <w:t xml:space="preserve">Rules, ESV can withdraw </w:t>
      </w:r>
      <w:r w:rsidR="00B76948" w:rsidRPr="00096B3A">
        <w:t>its</w:t>
      </w:r>
      <w:r w:rsidR="006A50C3" w:rsidRPr="00BB56FF">
        <w:t xml:space="preserve"> authorisation</w:t>
      </w:r>
      <w:r w:rsidRPr="00C60102">
        <w:t>.</w:t>
      </w:r>
    </w:p>
    <w:p w14:paraId="492FD7E6" w14:textId="13295DAF" w:rsidR="00595FB2" w:rsidRPr="00F31FBC" w:rsidRDefault="00595FB2">
      <w:r w:rsidRPr="00410117">
        <w:t>The</w:t>
      </w:r>
      <w:r w:rsidR="008C286A" w:rsidRPr="00410117">
        <w:t xml:space="preserve"> </w:t>
      </w:r>
      <w:r w:rsidRPr="00387E9A">
        <w:t xml:space="preserve">Rules currently set out which </w:t>
      </w:r>
      <w:r w:rsidR="00560652" w:rsidRPr="00FD4E71">
        <w:t>s</w:t>
      </w:r>
      <w:r w:rsidRPr="00AC12E6">
        <w:t xml:space="preserve">tandards OFGSHs must comply with and provide manufacturers with up to 2 years to comply with any changes to those standards. </w:t>
      </w:r>
    </w:p>
    <w:p w14:paraId="33CFE820" w14:textId="7AFBB3E9" w:rsidR="00B636B3" w:rsidRPr="00C011AF" w:rsidRDefault="00B636B3" w:rsidP="009946A8">
      <w:r w:rsidRPr="00F31FBC">
        <w:t xml:space="preserve">Under </w:t>
      </w:r>
      <w:r w:rsidR="00225586">
        <w:t>T</w:t>
      </w:r>
      <w:r w:rsidRPr="00C011AF">
        <w:t xml:space="preserve">he Rules, the GTRC can </w:t>
      </w:r>
      <w:r w:rsidR="006F64BC">
        <w:t xml:space="preserve">publish </w:t>
      </w:r>
      <w:r w:rsidRPr="00C011AF">
        <w:t xml:space="preserve">Technical Guidance Bulletins specifying additional requirements </w:t>
      </w:r>
      <w:r w:rsidR="006F64BC">
        <w:t>that are not included in</w:t>
      </w:r>
      <w:r w:rsidR="00AD2A6B" w:rsidRPr="00C011AF">
        <w:t xml:space="preserve"> the standards for some products. This approach </w:t>
      </w:r>
      <w:r w:rsidR="00EA7E3B" w:rsidRPr="00C011AF">
        <w:t>ha</w:t>
      </w:r>
      <w:r w:rsidR="00AD2A6B" w:rsidRPr="00C011AF">
        <w:t xml:space="preserve">s </w:t>
      </w:r>
      <w:r w:rsidR="00670104" w:rsidRPr="00C011AF">
        <w:t xml:space="preserve">been </w:t>
      </w:r>
      <w:r w:rsidR="00AD2A6B" w:rsidRPr="00C011AF">
        <w:t>used to</w:t>
      </w:r>
      <w:r w:rsidR="00203154" w:rsidRPr="00C011AF">
        <w:t xml:space="preserve"> occasionally</w:t>
      </w:r>
      <w:r w:rsidR="00AD2A6B" w:rsidRPr="00C011AF">
        <w:t xml:space="preserve"> address safety issues before the </w:t>
      </w:r>
      <w:r w:rsidR="00560652" w:rsidRPr="00C011AF">
        <w:t xml:space="preserve">standards </w:t>
      </w:r>
      <w:r w:rsidR="00AD2A6B" w:rsidRPr="00C011AF">
        <w:t xml:space="preserve">are updated. </w:t>
      </w:r>
    </w:p>
    <w:p w14:paraId="35E95950" w14:textId="5E818583" w:rsidR="008C286A" w:rsidRPr="009F57E8" w:rsidRDefault="008C286A" w:rsidP="008C286A">
      <w:pPr>
        <w:rPr>
          <w:rStyle w:val="CommentReference"/>
        </w:rPr>
      </w:pPr>
      <w:r w:rsidRPr="00C011AF">
        <w:t xml:space="preserve">The acceptance schemes authorised by ESV are operated by the Australian Gas Association, the International Association of Plumbing and Mechanical Officials (IAPMO), SAI Global, Global-Mark and </w:t>
      </w:r>
      <w:r w:rsidRPr="00096B3A">
        <w:t>BSI Group ANZ</w:t>
      </w:r>
      <w:r w:rsidRPr="00BB56FF">
        <w:t>. Gas safety regulators in all other State and Territories have also accepted these schemes.</w:t>
      </w:r>
    </w:p>
    <w:p w14:paraId="229B2133" w14:textId="024EA6D2" w:rsidR="0024275B" w:rsidRPr="00FD4E71" w:rsidRDefault="001B7171" w:rsidP="008C286A">
      <w:pPr>
        <w:rPr>
          <w:u w:val="single"/>
        </w:rPr>
      </w:pPr>
      <w:r w:rsidRPr="00410117">
        <w:rPr>
          <w:u w:val="single"/>
        </w:rPr>
        <w:t xml:space="preserve">Australian </w:t>
      </w:r>
      <w:r w:rsidR="00B87EBD" w:rsidRPr="00410117">
        <w:rPr>
          <w:u w:val="single"/>
        </w:rPr>
        <w:t>S</w:t>
      </w:r>
      <w:r w:rsidRPr="00387E9A">
        <w:rPr>
          <w:u w:val="single"/>
        </w:rPr>
        <w:t xml:space="preserve">tandards </w:t>
      </w:r>
    </w:p>
    <w:p w14:paraId="6020FEA8" w14:textId="364A3BD2" w:rsidR="001B7171" w:rsidRPr="00C011AF" w:rsidRDefault="001B7171" w:rsidP="008C286A">
      <w:r w:rsidRPr="00AC12E6">
        <w:t xml:space="preserve">The </w:t>
      </w:r>
      <w:r w:rsidRPr="001D0E48">
        <w:t>Rules require gas equipment to meet the requirements of</w:t>
      </w:r>
      <w:r w:rsidRPr="00C011AF">
        <w:t xml:space="preserve"> </w:t>
      </w:r>
      <w:r w:rsidR="00DE54DA">
        <w:t xml:space="preserve">Australian Standard </w:t>
      </w:r>
      <w:r w:rsidRPr="00C011AF">
        <w:t>AS 3645 Essential requirements for gas equipment. AS</w:t>
      </w:r>
      <w:r w:rsidR="00D54D60" w:rsidRPr="00C011AF">
        <w:t xml:space="preserve"> </w:t>
      </w:r>
      <w:r w:rsidRPr="00C011AF">
        <w:t>3645sets out minimum standards for gas equipment to be accepted and requires specific appliances to comply with additional standards referenced</w:t>
      </w:r>
      <w:r w:rsidR="00941EF5" w:rsidRPr="00C011AF">
        <w:t>.</w:t>
      </w:r>
      <w:r w:rsidR="00D54D60" w:rsidRPr="00C011AF">
        <w:t xml:space="preserve"> This includes </w:t>
      </w:r>
      <w:r w:rsidR="005C19A9" w:rsidRPr="00C011AF">
        <w:t xml:space="preserve">AS/NZS </w:t>
      </w:r>
      <w:r w:rsidR="0080129C" w:rsidRPr="00C011AF">
        <w:t xml:space="preserve">5263.0 (gas appliances – general requirements) and </w:t>
      </w:r>
      <w:r w:rsidR="00D54D60" w:rsidRPr="00C011AF">
        <w:t>AS/NZS5263.1.</w:t>
      </w:r>
      <w:r w:rsidR="0080129C" w:rsidRPr="00C011AF">
        <w:t xml:space="preserve"> (</w:t>
      </w:r>
      <w:r w:rsidR="006A1E9F" w:rsidRPr="00C011AF">
        <w:t>gas appliances – gas space heating appliances)</w:t>
      </w:r>
      <w:r w:rsidR="006F64BC">
        <w:t xml:space="preserve"> and AS/NZS5263.1.8 (gas appliances – decorative effect gas appliances</w:t>
      </w:r>
      <w:r w:rsidR="006A1E9F" w:rsidRPr="00C011AF">
        <w:t>)</w:t>
      </w:r>
      <w:r w:rsidR="00D54D60" w:rsidRPr="00C011AF">
        <w:t xml:space="preserve">. </w:t>
      </w:r>
    </w:p>
    <w:p w14:paraId="3E5F9F7C" w14:textId="1CD29D75" w:rsidR="007C2BB9" w:rsidRPr="00C011AF" w:rsidRDefault="007C2BB9" w:rsidP="001B7171">
      <w:pPr>
        <w:spacing w:after="0" w:line="259" w:lineRule="auto"/>
      </w:pPr>
      <w:r w:rsidRPr="00C011AF">
        <w:rPr>
          <w:i/>
        </w:rPr>
        <w:t xml:space="preserve">Definition of </w:t>
      </w:r>
      <w:r w:rsidR="000932DA">
        <w:rPr>
          <w:i/>
        </w:rPr>
        <w:t xml:space="preserve">OFGSHs </w:t>
      </w:r>
      <w:r w:rsidRPr="00C011AF">
        <w:rPr>
          <w:i/>
        </w:rPr>
        <w:t xml:space="preserve">under the Australian Standards </w:t>
      </w:r>
    </w:p>
    <w:p w14:paraId="7575A682" w14:textId="0B6B908C" w:rsidR="00ED30FB" w:rsidRDefault="00B90FD0" w:rsidP="00E754EB">
      <w:pPr>
        <w:spacing w:after="0" w:line="259" w:lineRule="auto"/>
      </w:pPr>
      <w:r w:rsidRPr="00C011AF">
        <w:t xml:space="preserve">There is currently no definition for </w:t>
      </w:r>
      <w:r w:rsidR="001B13F5" w:rsidRPr="00096B3A">
        <w:t>OFGSHs in</w:t>
      </w:r>
      <w:r w:rsidRPr="00BB56FF">
        <w:t xml:space="preserve"> the Australian Standards. AS/NZS 5263.0 (gas appliances – general requirements) defines open flued appliances as</w:t>
      </w:r>
      <w:r w:rsidR="00E754EB">
        <w:t xml:space="preserve"> a</w:t>
      </w:r>
      <w:r w:rsidR="00ED30FB" w:rsidRPr="00FD4E71">
        <w:t xml:space="preserve">n indoor appliance designed </w:t>
      </w:r>
      <w:r w:rsidR="00ED30FB" w:rsidRPr="00FD4E71">
        <w:lastRenderedPageBreak/>
        <w:t>to be connected to a flue system, its combustion air being</w:t>
      </w:r>
      <w:r w:rsidR="00274D52">
        <w:t xml:space="preserve"> </w:t>
      </w:r>
      <w:r w:rsidR="00ED30FB" w:rsidRPr="00F31FBC">
        <w:t xml:space="preserve">drawn from the room </w:t>
      </w:r>
      <w:r w:rsidR="00ED30FB" w:rsidRPr="001D0E48">
        <w:t>or space in which it is installed.</w:t>
      </w:r>
    </w:p>
    <w:p w14:paraId="12810A1A" w14:textId="77777777" w:rsidR="00E754EB" w:rsidRPr="00C011AF" w:rsidRDefault="00E754EB" w:rsidP="000276F0">
      <w:pPr>
        <w:spacing w:after="0" w:line="259" w:lineRule="auto"/>
      </w:pPr>
    </w:p>
    <w:p w14:paraId="53DFD2E0" w14:textId="750CC124" w:rsidR="00FB4D05" w:rsidRPr="00C011AF" w:rsidRDefault="00BE12C5" w:rsidP="00B67D27">
      <w:r w:rsidRPr="00C011AF">
        <w:t>While there is a specific standard for space heating appliances</w:t>
      </w:r>
      <w:r w:rsidR="00913F7A" w:rsidRPr="00C011AF">
        <w:t xml:space="preserve"> (AS/NZS5263.1.3 - gas appliances – gas space heating appliances)</w:t>
      </w:r>
      <w:r w:rsidRPr="00C011AF">
        <w:t>, there is no definition</w:t>
      </w:r>
      <w:r w:rsidR="00B810F8" w:rsidRPr="00C011AF">
        <w:t xml:space="preserve"> of a space heater</w:t>
      </w:r>
      <w:r w:rsidRPr="00C011AF">
        <w:t>. The space heating standard outlines minimum thermal efficiency requirements for space heaters</w:t>
      </w:r>
      <w:r w:rsidR="00501D91" w:rsidRPr="00C011AF">
        <w:t xml:space="preserve">, which </w:t>
      </w:r>
      <w:r w:rsidR="0064072A" w:rsidRPr="00C011AF">
        <w:t xml:space="preserve">indicate the </w:t>
      </w:r>
      <w:r w:rsidR="004225C2" w:rsidRPr="00C011AF">
        <w:t>proportion</w:t>
      </w:r>
      <w:r w:rsidR="0064072A" w:rsidRPr="00C011AF">
        <w:t xml:space="preserve"> of heat produced that is transferred to heat the space in which the appliance</w:t>
      </w:r>
      <w:r w:rsidR="00A05E4C" w:rsidRPr="00C011AF">
        <w:t xml:space="preserve"> is installed. </w:t>
      </w:r>
    </w:p>
    <w:p w14:paraId="6D6E2DB9" w14:textId="7FE34756" w:rsidR="00E45F9E" w:rsidRPr="00BB56FF" w:rsidRDefault="00B67D27" w:rsidP="00E45F9E">
      <w:r w:rsidRPr="00C011AF">
        <w:t xml:space="preserve">Standards </w:t>
      </w:r>
      <w:r w:rsidR="00935570" w:rsidRPr="00C011AF">
        <w:t>Australia facilitates</w:t>
      </w:r>
      <w:r w:rsidRPr="00C011AF">
        <w:t xml:space="preserve"> the development of Australian Standards by establishing committees to provide the technical expertise to develop relevant standards.</w:t>
      </w:r>
      <w:r w:rsidR="00E45F9E" w:rsidRPr="00BB56FF">
        <w:rPr>
          <w:rStyle w:val="FootnoteReference"/>
        </w:rPr>
        <w:footnoteReference w:id="30"/>
      </w:r>
      <w:r w:rsidRPr="00BB56FF">
        <w:t xml:space="preserve"> Standards Committee AG-001 oversees gas appliance </w:t>
      </w:r>
      <w:r w:rsidRPr="00C60102">
        <w:t xml:space="preserve">standards </w:t>
      </w:r>
      <w:r w:rsidRPr="009F57E8">
        <w:t xml:space="preserve">and </w:t>
      </w:r>
      <w:r w:rsidRPr="00410117">
        <w:t xml:space="preserve">AG-006 oversees gas installation and servicing standards. </w:t>
      </w:r>
      <w:r w:rsidR="00E45F9E" w:rsidRPr="00387E9A">
        <w:t>It is understood that the relevant Standards Aust</w:t>
      </w:r>
      <w:r w:rsidR="00E45F9E" w:rsidRPr="00FD4E71">
        <w:t>ralia committee (AG-001) will consider including a definition for ‘space heater’ in AS/NZS 5263.</w:t>
      </w:r>
      <w:r w:rsidR="000549F5">
        <w:t>1.3</w:t>
      </w:r>
      <w:r w:rsidR="00E45F9E" w:rsidRPr="00FD4E71">
        <w:t xml:space="preserve"> in </w:t>
      </w:r>
      <w:r w:rsidR="00E45F9E" w:rsidRPr="00096B3A">
        <w:t xml:space="preserve">late 2020 or early 2021. </w:t>
      </w:r>
    </w:p>
    <w:p w14:paraId="0626B69F" w14:textId="79E413D9" w:rsidR="00B67D27" w:rsidRPr="00C011AF" w:rsidRDefault="00B67D27" w:rsidP="00B67D27">
      <w:r w:rsidRPr="00C60102">
        <w:t xml:space="preserve">The </w:t>
      </w:r>
      <w:r w:rsidRPr="009F57E8">
        <w:t>development or amendment</w:t>
      </w:r>
      <w:r w:rsidRPr="00410117">
        <w:t xml:space="preserve"> process begins by a proponent submitting a project proposal to </w:t>
      </w:r>
      <w:r w:rsidR="007E2F28">
        <w:t>Standards Australia</w:t>
      </w:r>
      <w:r w:rsidRPr="00410117">
        <w:t xml:space="preserve">. </w:t>
      </w:r>
      <w:r w:rsidRPr="00387E9A">
        <w:t xml:space="preserve">Once </w:t>
      </w:r>
      <w:r w:rsidR="007E2F28">
        <w:t xml:space="preserve">Standards Australia </w:t>
      </w:r>
      <w:r w:rsidRPr="00AC12E6">
        <w:t>approve</w:t>
      </w:r>
      <w:r w:rsidRPr="00F31FBC">
        <w:t>s</w:t>
      </w:r>
      <w:r w:rsidRPr="001D0E48">
        <w:t xml:space="preserve"> a proposal, the </w:t>
      </w:r>
      <w:r w:rsidRPr="00C011AF">
        <w:t xml:space="preserve">relevant committee is responsible for drafting the standard. </w:t>
      </w:r>
      <w:r w:rsidRPr="00096B3A">
        <w:t>Timeframes for revising or amending a standard are heavily dependent on the number and nature of the proposed changes.</w:t>
      </w:r>
      <w:r w:rsidRPr="00BB56FF">
        <w:t xml:space="preserve"> </w:t>
      </w:r>
      <w:r w:rsidRPr="00C60102">
        <w:t xml:space="preserve">Once a draft has been finalised, it is released by </w:t>
      </w:r>
      <w:r w:rsidR="007E2F28">
        <w:t xml:space="preserve">Standards Australia </w:t>
      </w:r>
      <w:r w:rsidRPr="00C60102">
        <w:t>for public comment</w:t>
      </w:r>
      <w:r w:rsidRPr="009F57E8">
        <w:t>. Fo</w:t>
      </w:r>
      <w:r w:rsidRPr="00410117">
        <w:t>llowing consultation</w:t>
      </w:r>
      <w:r w:rsidRPr="00387E9A">
        <w:t>,</w:t>
      </w:r>
      <w:r w:rsidRPr="00FD4E71">
        <w:t xml:space="preserve"> </w:t>
      </w:r>
      <w:r w:rsidR="00935570" w:rsidRPr="00FD4E71">
        <w:t>the</w:t>
      </w:r>
      <w:r w:rsidRPr="00FD4E71">
        <w:t xml:space="preserve"> committee vote</w:t>
      </w:r>
      <w:r w:rsidR="00225586">
        <w:t>s</w:t>
      </w:r>
      <w:r w:rsidRPr="00FD4E71">
        <w:t xml:space="preserve"> on the adoption of the standard. If a majority agree</w:t>
      </w:r>
      <w:r w:rsidRPr="00AC12E6">
        <w:t xml:space="preserve">, </w:t>
      </w:r>
      <w:r w:rsidRPr="00F31FBC">
        <w:t>the standard is approved, and it is subsequently published by</w:t>
      </w:r>
      <w:r w:rsidR="007E2F28">
        <w:t xml:space="preserve"> Standards Australia</w:t>
      </w:r>
      <w:r w:rsidRPr="001D0E48">
        <w:t>.</w:t>
      </w:r>
      <w:r w:rsidRPr="00C011AF">
        <w:t xml:space="preserve"> </w:t>
      </w:r>
    </w:p>
    <w:p w14:paraId="6D5D6584" w14:textId="1C725292" w:rsidR="001B7171" w:rsidRPr="00C011AF" w:rsidRDefault="001B7171" w:rsidP="00E45F9E">
      <w:pPr>
        <w:pStyle w:val="Heading4"/>
      </w:pPr>
      <w:r w:rsidRPr="00C011AF">
        <w:t>Gas appliance installation</w:t>
      </w:r>
      <w:r w:rsidR="00465CBB" w:rsidRPr="00C011AF">
        <w:t xml:space="preserve"> and servicing </w:t>
      </w:r>
    </w:p>
    <w:p w14:paraId="330C7D0E" w14:textId="2733AFF5" w:rsidR="001B7171" w:rsidRPr="00C60102" w:rsidRDefault="00F70573" w:rsidP="001B7171">
      <w:r w:rsidRPr="00C011AF">
        <w:t>Part</w:t>
      </w:r>
      <w:r w:rsidR="001B7171" w:rsidRPr="00C011AF">
        <w:t xml:space="preserve"> 4 of the Plumbing Regulations 2018</w:t>
      </w:r>
      <w:r w:rsidR="008146FD">
        <w:t xml:space="preserve"> defines “gasfitting work”</w:t>
      </w:r>
      <w:r w:rsidR="00225586">
        <w:t xml:space="preserve"> and requires that</w:t>
      </w:r>
      <w:r w:rsidR="001B7171" w:rsidRPr="00C011AF">
        <w:t xml:space="preserve"> fixed gas space heaters must be installed by a suitably qualified plumbing practitioner that has been licen</w:t>
      </w:r>
      <w:r w:rsidR="00710DA9">
        <w:t>s</w:t>
      </w:r>
      <w:r w:rsidR="001B7171" w:rsidRPr="00C011AF">
        <w:t>ed by</w:t>
      </w:r>
      <w:r w:rsidR="00143500">
        <w:t xml:space="preserve"> the</w:t>
      </w:r>
      <w:r w:rsidR="001B7171" w:rsidRPr="00C011AF">
        <w:t xml:space="preserve"> VBA to undertake work on Type A gas appliances. </w:t>
      </w:r>
      <w:r w:rsidR="001F4C11">
        <w:t xml:space="preserve">Part 12A of the Building Act requires </w:t>
      </w:r>
      <w:r w:rsidR="00747BDE">
        <w:t xml:space="preserve">that </w:t>
      </w:r>
      <w:r w:rsidR="001F4C11">
        <w:t xml:space="preserve">a </w:t>
      </w:r>
      <w:r w:rsidR="00E741E4">
        <w:t>c</w:t>
      </w:r>
      <w:r w:rsidR="001B7171" w:rsidRPr="00C011AF">
        <w:t xml:space="preserve">ompliance certificate, certifying that plumbing </w:t>
      </w:r>
      <w:r w:rsidR="00E741E4">
        <w:t xml:space="preserve">(gasfitting) </w:t>
      </w:r>
      <w:r w:rsidR="001B7171" w:rsidRPr="00C011AF">
        <w:t xml:space="preserve">work complies with </w:t>
      </w:r>
      <w:r w:rsidR="001F4C11">
        <w:t xml:space="preserve">the </w:t>
      </w:r>
      <w:r w:rsidR="001B7171" w:rsidRPr="00C011AF">
        <w:t xml:space="preserve">prescribed </w:t>
      </w:r>
      <w:r w:rsidR="001F4C11">
        <w:t xml:space="preserve">gasfitting </w:t>
      </w:r>
      <w:r w:rsidR="001B7171" w:rsidRPr="00C011AF">
        <w:t xml:space="preserve">standards, be submitted to </w:t>
      </w:r>
      <w:r w:rsidR="00BC6C41">
        <w:t xml:space="preserve">the </w:t>
      </w:r>
      <w:r w:rsidR="001B7171" w:rsidRPr="00C011AF">
        <w:t xml:space="preserve">VBA </w:t>
      </w:r>
      <w:r w:rsidR="00366D21">
        <w:t xml:space="preserve">for the installation, relocation or </w:t>
      </w:r>
      <w:r w:rsidR="00E741E4">
        <w:t>replacement of a</w:t>
      </w:r>
      <w:r w:rsidR="00DE33F8">
        <w:t>ll</w:t>
      </w:r>
      <w:r w:rsidR="00E741E4">
        <w:t xml:space="preserve"> </w:t>
      </w:r>
      <w:r w:rsidR="001F4C11">
        <w:t>gas-using appliance</w:t>
      </w:r>
      <w:r w:rsidR="005B6923">
        <w:t>s</w:t>
      </w:r>
      <w:r w:rsidR="001F4C11">
        <w:t>, regardless of the value of the work</w:t>
      </w:r>
      <w:r w:rsidR="00747BDE">
        <w:t>, within 5 days of the completion of the work</w:t>
      </w:r>
      <w:r w:rsidR="001F4C11">
        <w:t xml:space="preserve">. </w:t>
      </w:r>
      <w:r w:rsidR="00225586">
        <w:t>I</w:t>
      </w:r>
      <w:r w:rsidR="00323311">
        <w:t xml:space="preserve">n </w:t>
      </w:r>
      <w:r w:rsidR="002B14C1">
        <w:t>addition,</w:t>
      </w:r>
      <w:r w:rsidR="00323311">
        <w:t xml:space="preserve"> compliance certificates must be submitted where any gas using appliance is installed, relocated or replaced</w:t>
      </w:r>
      <w:r w:rsidR="001B7171" w:rsidRPr="00C011AF">
        <w:t xml:space="preserve">. </w:t>
      </w:r>
      <w:r w:rsidR="00225586">
        <w:t>P</w:t>
      </w:r>
      <w:r w:rsidR="001B7171" w:rsidRPr="00C011AF">
        <w:t>lumbers self-certify their work</w:t>
      </w:r>
      <w:r w:rsidR="00DE556D">
        <w:t xml:space="preserve"> by lodging a compliance certificate</w:t>
      </w:r>
      <w:r w:rsidR="00225586">
        <w:t xml:space="preserve"> and the </w:t>
      </w:r>
      <w:r w:rsidR="00C512A9" w:rsidRPr="00096B3A">
        <w:t xml:space="preserve">VBA audit a sample of </w:t>
      </w:r>
      <w:r w:rsidR="00DE556D">
        <w:t>comp</w:t>
      </w:r>
      <w:r w:rsidR="00782828">
        <w:t>liance certificates</w:t>
      </w:r>
      <w:r w:rsidR="00C512A9" w:rsidRPr="00096B3A">
        <w:t>. Samples are selected based on the nature of the work and the risks involved.</w:t>
      </w:r>
      <w:r w:rsidR="00C512A9" w:rsidRPr="00BB56FF">
        <w:t xml:space="preserve"> </w:t>
      </w:r>
    </w:p>
    <w:p w14:paraId="59055492" w14:textId="40306937" w:rsidR="00004C4D" w:rsidRPr="00C60102" w:rsidRDefault="00004C4D" w:rsidP="001B7171">
      <w:r w:rsidRPr="009F57E8">
        <w:t xml:space="preserve">Under the Gas Safety </w:t>
      </w:r>
      <w:r w:rsidR="0060028C" w:rsidRPr="00410117">
        <w:t>(Gas Installation) Regulations 2018</w:t>
      </w:r>
      <w:r w:rsidR="00173C57" w:rsidRPr="00410117">
        <w:t xml:space="preserve">, it is a prescribed requirement for </w:t>
      </w:r>
      <w:r w:rsidR="00ED5AF2" w:rsidRPr="00387E9A">
        <w:t xml:space="preserve">the </w:t>
      </w:r>
      <w:r w:rsidR="00ED5AF2" w:rsidRPr="00FD4E71">
        <w:t>carrying out of gasfitting work on a gas installation</w:t>
      </w:r>
      <w:r w:rsidRPr="00AC12E6">
        <w:t xml:space="preserve"> </w:t>
      </w:r>
      <w:r w:rsidR="002A48E4" w:rsidRPr="00F31FBC">
        <w:t>that the</w:t>
      </w:r>
      <w:r w:rsidR="00704ABB" w:rsidRPr="001D0E48">
        <w:t xml:space="preserve"> installation </w:t>
      </w:r>
      <w:r w:rsidR="002A48E4" w:rsidRPr="00C011AF">
        <w:t xml:space="preserve">not be made unsafe during the work and </w:t>
      </w:r>
      <w:r w:rsidR="00A43407" w:rsidRPr="00C011AF">
        <w:t>that it</w:t>
      </w:r>
      <w:r w:rsidR="002A48E4" w:rsidRPr="00C011AF">
        <w:t xml:space="preserve"> is safe for use on the completion of the gasfitting work.</w:t>
      </w:r>
      <w:r w:rsidR="002A48E4" w:rsidRPr="00BB56FF">
        <w:rPr>
          <w:rStyle w:val="FootnoteReference"/>
        </w:rPr>
        <w:footnoteReference w:id="31"/>
      </w:r>
      <w:r w:rsidR="00704ABB" w:rsidRPr="00BB56FF">
        <w:t xml:space="preserve"> </w:t>
      </w:r>
    </w:p>
    <w:p w14:paraId="01263E8F" w14:textId="7CB92844" w:rsidR="001B7171" w:rsidRPr="00C60102" w:rsidRDefault="001B7171" w:rsidP="001B7171">
      <w:r w:rsidRPr="00C60102">
        <w:t>There are no specific regulations that mandate gas heaters be maintained</w:t>
      </w:r>
      <w:r w:rsidRPr="009F57E8">
        <w:t xml:space="preserve"> or serviced at any regular interval. </w:t>
      </w:r>
      <w:r w:rsidR="000E0179" w:rsidRPr="00BB56FF">
        <w:t xml:space="preserve">However, it is a requirement of AS/NZS5263.0 that each appliance is supplied with operating instructions that include a reference to a recommended maintenance schedule for the life expectancy of the appliance. </w:t>
      </w:r>
      <w:r w:rsidRPr="00C60102">
        <w:t>ESV currently recommends that all gas heaters be serviced</w:t>
      </w:r>
      <w:r w:rsidRPr="009F57E8">
        <w:t xml:space="preserve"> </w:t>
      </w:r>
      <w:r w:rsidRPr="00410117">
        <w:t xml:space="preserve">by a qualified gasfitter </w:t>
      </w:r>
      <w:r w:rsidRPr="00387E9A">
        <w:t>at least every 2 years</w:t>
      </w:r>
      <w:r w:rsidR="00783485" w:rsidRPr="00FD4E71">
        <w:t>.</w:t>
      </w:r>
      <w:r w:rsidR="005A1A80" w:rsidRPr="00BB56FF">
        <w:rPr>
          <w:rStyle w:val="FootnoteReference"/>
        </w:rPr>
        <w:footnoteReference w:id="32"/>
      </w:r>
    </w:p>
    <w:p w14:paraId="220DFC9C" w14:textId="15D7C363" w:rsidR="00F86568" w:rsidRDefault="00770580" w:rsidP="00CA63A7">
      <w:r>
        <w:rPr>
          <w:noProof/>
          <w:lang w:eastAsia="en-AU"/>
        </w:rPr>
        <w:lastRenderedPageBreak/>
        <mc:AlternateContent>
          <mc:Choice Requires="wps">
            <w:drawing>
              <wp:anchor distT="0" distB="0" distL="114300" distR="114300" simplePos="0" relativeHeight="251658240" behindDoc="0" locked="0" layoutInCell="1" allowOverlap="1" wp14:anchorId="568DD932" wp14:editId="2DCD7FED">
                <wp:simplePos x="0" y="0"/>
                <wp:positionH relativeFrom="margin">
                  <wp:align>right</wp:align>
                </wp:positionH>
                <wp:positionV relativeFrom="paragraph">
                  <wp:posOffset>727075</wp:posOffset>
                </wp:positionV>
                <wp:extent cx="5711190" cy="3152775"/>
                <wp:effectExtent l="0" t="0" r="22860" b="28575"/>
                <wp:wrapTopAndBottom/>
                <wp:docPr id="44" name="Text Box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11190" cy="3152775"/>
                        </a:xfrm>
                        <a:prstGeom prst="rect">
                          <a:avLst/>
                        </a:prstGeom>
                        <a:noFill/>
                        <a:ln w="25400">
                          <a:solidFill>
                            <a:schemeClr val="accent3"/>
                          </a:solidFill>
                        </a:ln>
                      </wps:spPr>
                      <wps:txbx>
                        <w:txbxContent>
                          <w:p w14:paraId="6BB1F67B" w14:textId="45694EF4" w:rsidR="0082085F" w:rsidRPr="009F57E8" w:rsidRDefault="0082085F" w:rsidP="001B7171">
                            <w:r w:rsidRPr="00BB56FF">
                              <w:t xml:space="preserve">In the event that an </w:t>
                            </w:r>
                            <w:r>
                              <w:t xml:space="preserve">OFGSH </w:t>
                            </w:r>
                            <w:r w:rsidRPr="00BB56FF">
                              <w:t xml:space="preserve">is serviced by a qualified gasfitter and unsafe levels of CO are detected indoors, qualified gasfitters have obligations to ensure the installation is left safe for use and are </w:t>
                            </w:r>
                            <w:r w:rsidRPr="00C60102">
                              <w:t>required to take a prescribed set of actions:</w:t>
                            </w:r>
                          </w:p>
                          <w:p w14:paraId="2549D056" w14:textId="50867E63" w:rsidR="0082085F" w:rsidRPr="009F57E8" w:rsidRDefault="0082085F" w:rsidP="00E74AA1">
                            <w:pPr>
                              <w:pStyle w:val="ListParagraph"/>
                              <w:numPr>
                                <w:ilvl w:val="0"/>
                                <w:numId w:val="30"/>
                              </w:numPr>
                            </w:pPr>
                            <w:r w:rsidRPr="00410117">
                              <w:t xml:space="preserve">If negative pressure is found to be causing CO to accumulate indoors, the gasfitter is required to install adequate permanent ventilation </w:t>
                            </w:r>
                            <w:r w:rsidRPr="00096B3A">
                              <w:t>or make the appliance safe by isolation of the gas supply</w:t>
                            </w:r>
                            <w:r w:rsidRPr="00BB56FF">
                              <w:t>.</w:t>
                            </w:r>
                            <w:r w:rsidRPr="00C60102">
                              <w:t xml:space="preserve"> </w:t>
                            </w:r>
                            <w:r>
                              <w:t xml:space="preserve"> </w:t>
                            </w:r>
                            <w:r w:rsidRPr="009F57E8">
                              <w:t xml:space="preserve">If the home </w:t>
                            </w:r>
                            <w:r w:rsidRPr="00410117">
                              <w:t xml:space="preserve">owner refuses to have permanent ventilation installed, or it is not possible to install the appropriate level of ventilation, </w:t>
                            </w:r>
                            <w:r w:rsidRPr="00096B3A">
                              <w:t>or the home owner refuses to allow the gasfitter to isolate the appliance,</w:t>
                            </w:r>
                            <w:r w:rsidRPr="00BB56FF">
                              <w:t xml:space="preserve"> the gasfitter should inform the home owner of the dang</w:t>
                            </w:r>
                            <w:r w:rsidRPr="00C60102">
                              <w:t xml:space="preserve">erous health implications that may result from continued use of the heating appliance. If </w:t>
                            </w:r>
                            <w:r w:rsidR="0059678C" w:rsidRPr="00C60102">
                              <w:t>homeowners</w:t>
                            </w:r>
                            <w:r w:rsidRPr="00C60102">
                              <w:t xml:space="preserve"> </w:t>
                            </w:r>
                            <w:r w:rsidRPr="00096B3A">
                              <w:t>do not allow the gasfitter to make the installation safe</w:t>
                            </w:r>
                            <w:r w:rsidRPr="00BB56FF">
                              <w:t xml:space="preserve"> continue, the gasfitter must then contact </w:t>
                            </w:r>
                            <w:r w:rsidRPr="00096B3A">
                              <w:t>ESV</w:t>
                            </w:r>
                            <w:r w:rsidRPr="00BB56FF">
                              <w:t xml:space="preserve"> (under the Gas Safety (Gas Installation</w:t>
                            </w:r>
                            <w:r w:rsidRPr="00C60102">
                              <w:t>) Regulations 2018), who will take further action.</w:t>
                            </w:r>
                            <w:r w:rsidRPr="00C60102">
                              <w:br/>
                            </w:r>
                          </w:p>
                          <w:p w14:paraId="1BCA2C44" w14:textId="70891DBE" w:rsidR="0082085F" w:rsidRPr="00C60102" w:rsidRDefault="0082085F" w:rsidP="00E74AA1">
                            <w:pPr>
                              <w:pStyle w:val="ListParagraph"/>
                              <w:numPr>
                                <w:ilvl w:val="0"/>
                                <w:numId w:val="30"/>
                              </w:numPr>
                            </w:pPr>
                            <w:r w:rsidRPr="00410117">
                              <w:t xml:space="preserve">If some other fault is found to be causing CO to accumulate indoors, the gasfitter is required to isolate (disconnect) the </w:t>
                            </w:r>
                            <w:r>
                              <w:t xml:space="preserve">OFGSH </w:t>
                            </w:r>
                            <w:r w:rsidRPr="00410117">
                              <w:t xml:space="preserve">from the gas source. If the </w:t>
                            </w:r>
                            <w:r w:rsidR="0059678C" w:rsidRPr="00410117">
                              <w:t>homeowner</w:t>
                            </w:r>
                            <w:r w:rsidRPr="00410117">
                              <w:t xml:space="preserve"> instructs them not to, the gasfitter is then advised to inform the </w:t>
                            </w:r>
                            <w:r w:rsidR="0059678C" w:rsidRPr="00410117">
                              <w:t>homeowner</w:t>
                            </w:r>
                            <w:r w:rsidRPr="00410117">
                              <w:t xml:space="preserve"> of the dangerous health implications that may result from continued use of the heating appliance. </w:t>
                            </w:r>
                            <w:r w:rsidRPr="00096B3A">
                              <w:t xml:space="preserve">If </w:t>
                            </w:r>
                            <w:r w:rsidR="0059678C" w:rsidRPr="00096B3A">
                              <w:t>homeowners</w:t>
                            </w:r>
                            <w:r w:rsidRPr="00096B3A">
                              <w:t xml:space="preserve"> do not allow the gasfitter to make the installation safe, the gasfitter must then contact ESV, who will arrange for the appliance to be made safe.</w:t>
                            </w:r>
                            <w:r w:rsidRPr="00BB56FF">
                              <w:t xml:space="preserve"> </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DD932" id="Text Box 44" o:spid="_x0000_s1028" type="#_x0000_t202" style="position:absolute;margin-left:398.5pt;margin-top:57.25pt;width:449.7pt;height:248.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" filled="f" strokecolor="#62b5e5 [3206]" strokeweight="2pt">
                <v:textbox inset="2mm,1mm,2mm,1mm">
                  <w:txbxContent>
                    <w:p w14:paraId="6BB1F67B" w14:textId="45694EF4" w:rsidR="0082085F" w:rsidRPr="009F57E8" w:rsidRDefault="0082085F" w:rsidP="001B7171">
                      <w:r w:rsidRPr="00BB56FF">
                        <w:t xml:space="preserve">In the event that an </w:t>
                      </w:r>
                      <w:r>
                        <w:t xml:space="preserve">OFGSH </w:t>
                      </w:r>
                      <w:r w:rsidRPr="00BB56FF">
                        <w:t xml:space="preserve">is serviced by a qualified gasfitter and unsafe levels of CO are detected indoors, qualified gasfitters have obligations to ensure the installation is left safe for use and are </w:t>
                      </w:r>
                      <w:r w:rsidRPr="00C60102">
                        <w:t>required to take a prescribed set of actions:</w:t>
                      </w:r>
                    </w:p>
                    <w:p w14:paraId="2549D056" w14:textId="50867E63" w:rsidR="0082085F" w:rsidRPr="009F57E8" w:rsidRDefault="0082085F" w:rsidP="00E74AA1">
                      <w:pPr>
                        <w:pStyle w:val="ListParagraph"/>
                        <w:numPr>
                          <w:ilvl w:val="0"/>
                          <w:numId w:val="30"/>
                        </w:numPr>
                      </w:pPr>
                      <w:r w:rsidRPr="00410117">
                        <w:t xml:space="preserve">If negative pressure is found to be causing CO to accumulate indoors, the gasfitter is required to install adequate permanent ventilation </w:t>
                      </w:r>
                      <w:r w:rsidRPr="00096B3A">
                        <w:t>or make the appliance safe by isolation of the gas supply</w:t>
                      </w:r>
                      <w:r w:rsidRPr="00BB56FF">
                        <w:t>.</w:t>
                      </w:r>
                      <w:r w:rsidRPr="00C60102">
                        <w:t xml:space="preserve"> </w:t>
                      </w:r>
                      <w:r>
                        <w:t xml:space="preserve"> </w:t>
                      </w:r>
                      <w:r w:rsidRPr="009F57E8">
                        <w:t xml:space="preserve">If the home </w:t>
                      </w:r>
                      <w:r w:rsidRPr="00410117">
                        <w:t xml:space="preserve">owner refuses to have permanent ventilation installed, or it is not possible to install the appropriate level of ventilation, </w:t>
                      </w:r>
                      <w:r w:rsidRPr="00096B3A">
                        <w:t>or the home owner refuses to allow the gasfitter to isolate the appliance,</w:t>
                      </w:r>
                      <w:r w:rsidRPr="00BB56FF">
                        <w:t xml:space="preserve"> the gasfitter should inform the home owner of the dang</w:t>
                      </w:r>
                      <w:r w:rsidRPr="00C60102">
                        <w:t xml:space="preserve">erous health implications that may result from continued use of the heating appliance. If </w:t>
                      </w:r>
                      <w:r w:rsidR="0059678C" w:rsidRPr="00C60102">
                        <w:t>homeowners</w:t>
                      </w:r>
                      <w:r w:rsidRPr="00C60102">
                        <w:t xml:space="preserve"> </w:t>
                      </w:r>
                      <w:r w:rsidRPr="00096B3A">
                        <w:t>do not allow the gasfitter to make the installation safe</w:t>
                      </w:r>
                      <w:r w:rsidRPr="00BB56FF">
                        <w:t xml:space="preserve"> continue, the gasfitter must then contact </w:t>
                      </w:r>
                      <w:r w:rsidRPr="00096B3A">
                        <w:t>ESV</w:t>
                      </w:r>
                      <w:r w:rsidRPr="00BB56FF">
                        <w:t xml:space="preserve"> (under the Gas Safety (Gas Installation</w:t>
                      </w:r>
                      <w:r w:rsidRPr="00C60102">
                        <w:t>) Regulations 2018), who will take further action.</w:t>
                      </w:r>
                      <w:r w:rsidRPr="00C60102">
                        <w:br/>
                      </w:r>
                    </w:p>
                    <w:p w14:paraId="1BCA2C44" w14:textId="70891DBE" w:rsidR="0082085F" w:rsidRPr="00C60102" w:rsidRDefault="0082085F" w:rsidP="00E74AA1">
                      <w:pPr>
                        <w:pStyle w:val="ListParagraph"/>
                        <w:numPr>
                          <w:ilvl w:val="0"/>
                          <w:numId w:val="30"/>
                        </w:numPr>
                      </w:pPr>
                      <w:r w:rsidRPr="00410117">
                        <w:t xml:space="preserve">If some other fault is found to be causing CO to accumulate indoors, the gasfitter is required to isolate (disconnect) the </w:t>
                      </w:r>
                      <w:r>
                        <w:t xml:space="preserve">OFGSH </w:t>
                      </w:r>
                      <w:r w:rsidRPr="00410117">
                        <w:t xml:space="preserve">from the gas source. If the </w:t>
                      </w:r>
                      <w:r w:rsidR="0059678C" w:rsidRPr="00410117">
                        <w:t>homeowner</w:t>
                      </w:r>
                      <w:r w:rsidRPr="00410117">
                        <w:t xml:space="preserve"> instructs them not to, the gasfitter is then advised to inform the </w:t>
                      </w:r>
                      <w:r w:rsidR="0059678C" w:rsidRPr="00410117">
                        <w:t>homeowner</w:t>
                      </w:r>
                      <w:r w:rsidRPr="00410117">
                        <w:t xml:space="preserve"> of the dangerous health implications that may result from continued use of the heating appliance. </w:t>
                      </w:r>
                      <w:r w:rsidRPr="00096B3A">
                        <w:t xml:space="preserve">If </w:t>
                      </w:r>
                      <w:r w:rsidR="0059678C" w:rsidRPr="00096B3A">
                        <w:t>homeowners</w:t>
                      </w:r>
                      <w:r w:rsidRPr="00096B3A">
                        <w:t xml:space="preserve"> do not allow the gasfitter to make the installation safe, the gasfitter must then contact ESV, who will arrange for the appliance to be made safe.</w:t>
                      </w:r>
                      <w:r w:rsidRPr="00BB56FF">
                        <w:t xml:space="preserve"> </w:t>
                      </w:r>
                    </w:p>
                  </w:txbxContent>
                </v:textbox>
                <w10:wrap type="topAndBottom" anchorx="margin"/>
              </v:shape>
            </w:pict>
          </mc:Fallback>
        </mc:AlternateContent>
      </w:r>
      <w:r w:rsidR="002C50E6" w:rsidRPr="009F57E8">
        <w:t>In the UK</w:t>
      </w:r>
      <w:r w:rsidR="002C50E6" w:rsidRPr="00410117">
        <w:t>, the Gas Safety (</w:t>
      </w:r>
      <w:r w:rsidR="002C50E6" w:rsidRPr="00387E9A">
        <w:t>I</w:t>
      </w:r>
      <w:r w:rsidR="002C50E6" w:rsidRPr="00FD4E71">
        <w:t>nst</w:t>
      </w:r>
      <w:r w:rsidR="002C50E6" w:rsidRPr="00AC12E6">
        <w:t xml:space="preserve">allation and </w:t>
      </w:r>
      <w:r w:rsidR="002C50E6" w:rsidRPr="00F31FBC">
        <w:t>U</w:t>
      </w:r>
      <w:r w:rsidR="002C50E6" w:rsidRPr="001D0E48">
        <w:t>se) Regulations require</w:t>
      </w:r>
      <w:r w:rsidR="002C50E6" w:rsidRPr="00C011AF">
        <w:t xml:space="preserve"> a landlord to service gas appliances according to the manufacturer’s instructions. In the absence of appropriate instruction, the UK government recommends that gas appliances are serviced annually</w:t>
      </w:r>
      <w:r w:rsidR="00113799" w:rsidRPr="00C011AF">
        <w:t xml:space="preserve">, </w:t>
      </w:r>
      <w:r w:rsidR="0030513D" w:rsidRPr="00096B3A">
        <w:t>unless a Gas Safe registered engineer advises otherwise</w:t>
      </w:r>
      <w:r w:rsidR="00CA63A7" w:rsidRPr="00096B3A">
        <w:t>.</w:t>
      </w:r>
      <w:r w:rsidR="00CA63A7" w:rsidRPr="00096B3A">
        <w:rPr>
          <w:rStyle w:val="FootnoteReference"/>
        </w:rPr>
        <w:footnoteReference w:id="33"/>
      </w:r>
    </w:p>
    <w:p w14:paraId="471FCA43" w14:textId="77777777" w:rsidR="007876AB" w:rsidRPr="00BB56FF" w:rsidRDefault="007876AB" w:rsidP="00096B3A">
      <w:pPr>
        <w:rPr>
          <w:iCs/>
        </w:rPr>
      </w:pPr>
    </w:p>
    <w:p w14:paraId="117215C4" w14:textId="69C86035" w:rsidR="00891F86" w:rsidRPr="00410117" w:rsidRDefault="001B7171" w:rsidP="00BB56FF">
      <w:pPr>
        <w:pStyle w:val="Heading4"/>
      </w:pPr>
      <w:r w:rsidRPr="00C60102">
        <w:t xml:space="preserve">Ventilation requirements </w:t>
      </w:r>
      <w:r w:rsidR="004459EA" w:rsidRPr="009F57E8">
        <w:t>for OFGSH</w:t>
      </w:r>
    </w:p>
    <w:p w14:paraId="73BDAC7B" w14:textId="37741B29" w:rsidR="002849A2" w:rsidRPr="00387E9A" w:rsidRDefault="00557479" w:rsidP="00BA0755">
      <w:pPr>
        <w:pStyle w:val="ListParagraph"/>
        <w:spacing w:line="254" w:lineRule="auto"/>
        <w:ind w:left="0"/>
        <w:rPr>
          <w:rFonts w:eastAsia="Times New Roman"/>
        </w:rPr>
      </w:pPr>
      <w:r w:rsidRPr="00410117">
        <w:rPr>
          <w:rFonts w:eastAsia="Times New Roman"/>
        </w:rPr>
        <w:t>Under</w:t>
      </w:r>
      <w:r w:rsidRPr="00387E9A">
        <w:rPr>
          <w:rFonts w:eastAsia="Times New Roman"/>
        </w:rPr>
        <w:t xml:space="preserve"> the Australian Standards, it is a requirement for OFGSHs to be installed in rooms with adequate </w:t>
      </w:r>
      <w:r w:rsidR="00C21D67" w:rsidRPr="00096B3A">
        <w:rPr>
          <w:rFonts w:eastAsia="Times New Roman"/>
        </w:rPr>
        <w:t>permanent</w:t>
      </w:r>
      <w:r w:rsidR="00C21D67" w:rsidRPr="00BB56FF">
        <w:rPr>
          <w:rFonts w:eastAsia="Times New Roman"/>
        </w:rPr>
        <w:t xml:space="preserve"> </w:t>
      </w:r>
      <w:r w:rsidRPr="00C60102">
        <w:rPr>
          <w:rFonts w:eastAsia="Times New Roman"/>
        </w:rPr>
        <w:t>ventilation</w:t>
      </w:r>
      <w:r w:rsidR="00915BB8" w:rsidRPr="009F57E8">
        <w:rPr>
          <w:rFonts w:eastAsia="Times New Roman"/>
        </w:rPr>
        <w:t xml:space="preserve"> </w:t>
      </w:r>
      <w:r w:rsidR="00915BB8" w:rsidRPr="00096B3A">
        <w:rPr>
          <w:rFonts w:eastAsia="Times New Roman"/>
        </w:rPr>
        <w:t>where the gas consumption of the appliance</w:t>
      </w:r>
      <w:r w:rsidR="00DD281A" w:rsidRPr="00096B3A">
        <w:rPr>
          <w:rFonts w:eastAsia="Times New Roman"/>
        </w:rPr>
        <w:t xml:space="preserve"> relative to the volume of the room</w:t>
      </w:r>
      <w:r w:rsidR="00AB50B1" w:rsidRPr="00096B3A">
        <w:rPr>
          <w:rFonts w:eastAsia="Times New Roman"/>
        </w:rPr>
        <w:t xml:space="preserve"> does not exceed a certain value (see b</w:t>
      </w:r>
      <w:r w:rsidR="00A2074C" w:rsidRPr="00096B3A">
        <w:rPr>
          <w:rFonts w:eastAsia="Times New Roman"/>
        </w:rPr>
        <w:t>elow)</w:t>
      </w:r>
      <w:r w:rsidRPr="00096B3A">
        <w:rPr>
          <w:rFonts w:eastAsia="Times New Roman"/>
        </w:rPr>
        <w:t>.</w:t>
      </w:r>
      <w:r w:rsidRPr="00BB56FF">
        <w:rPr>
          <w:rFonts w:eastAsia="Times New Roman"/>
        </w:rPr>
        <w:t xml:space="preserve"> </w:t>
      </w:r>
      <w:r w:rsidR="00C92B91" w:rsidRPr="00C60102">
        <w:rPr>
          <w:rFonts w:eastAsia="Times New Roman"/>
        </w:rPr>
        <w:t xml:space="preserve">Due to </w:t>
      </w:r>
      <w:r w:rsidR="00C92B91" w:rsidRPr="009F57E8">
        <w:rPr>
          <w:rFonts w:eastAsia="Times New Roman"/>
        </w:rPr>
        <w:t>their design, OFGSHs require a certain amount</w:t>
      </w:r>
      <w:r w:rsidR="0073667F" w:rsidRPr="00410117">
        <w:rPr>
          <w:rFonts w:eastAsia="Times New Roman"/>
        </w:rPr>
        <w:t xml:space="preserve"> of</w:t>
      </w:r>
      <w:r w:rsidR="006D5C95" w:rsidRPr="00410117">
        <w:rPr>
          <w:rFonts w:eastAsia="Times New Roman"/>
        </w:rPr>
        <w:t xml:space="preserve"> </w:t>
      </w:r>
      <w:r w:rsidR="002B64A2" w:rsidRPr="00096B3A">
        <w:rPr>
          <w:rFonts w:eastAsia="Times New Roman"/>
        </w:rPr>
        <w:t xml:space="preserve">adequate </w:t>
      </w:r>
      <w:r w:rsidR="006D5C95" w:rsidRPr="00096B3A">
        <w:rPr>
          <w:rFonts w:eastAsia="Times New Roman"/>
        </w:rPr>
        <w:t>ventilation</w:t>
      </w:r>
      <w:r w:rsidR="002B64A2" w:rsidRPr="00096B3A">
        <w:rPr>
          <w:rFonts w:eastAsia="Times New Roman"/>
        </w:rPr>
        <w:t xml:space="preserve"> for satisfactory combustion</w:t>
      </w:r>
      <w:r w:rsidR="002B64A2" w:rsidRPr="00BB56FF">
        <w:rPr>
          <w:rFonts w:eastAsia="Times New Roman"/>
        </w:rPr>
        <w:t>,</w:t>
      </w:r>
      <w:r w:rsidR="00EE1837" w:rsidRPr="00C60102">
        <w:rPr>
          <w:rFonts w:eastAsia="Times New Roman"/>
        </w:rPr>
        <w:t xml:space="preserve"> to expel the products of </w:t>
      </w:r>
      <w:r w:rsidR="00226645" w:rsidRPr="009F57E8">
        <w:rPr>
          <w:rFonts w:eastAsia="Times New Roman"/>
        </w:rPr>
        <w:t xml:space="preserve">combustion from the home and operate </w:t>
      </w:r>
      <w:r w:rsidR="00F25E5C" w:rsidRPr="00410117">
        <w:rPr>
          <w:rFonts w:eastAsia="Times New Roman"/>
        </w:rPr>
        <w:t>safely</w:t>
      </w:r>
      <w:r w:rsidR="00226645" w:rsidRPr="00410117">
        <w:rPr>
          <w:rFonts w:eastAsia="Times New Roman"/>
        </w:rPr>
        <w:t>.</w:t>
      </w:r>
    </w:p>
    <w:p w14:paraId="33C32B05" w14:textId="77777777" w:rsidR="00557479" w:rsidRPr="00FD4E71" w:rsidRDefault="00557479" w:rsidP="00BA0755">
      <w:pPr>
        <w:pStyle w:val="ListParagraph"/>
        <w:spacing w:line="254" w:lineRule="auto"/>
        <w:ind w:left="0"/>
      </w:pPr>
    </w:p>
    <w:p w14:paraId="43669B1A" w14:textId="116F750D" w:rsidR="00557479" w:rsidRPr="009F57E8" w:rsidRDefault="00557479" w:rsidP="00BA0755">
      <w:pPr>
        <w:pStyle w:val="ListParagraph"/>
        <w:spacing w:line="254" w:lineRule="auto"/>
        <w:ind w:left="0"/>
        <w:rPr>
          <w:rFonts w:eastAsia="Times New Roman"/>
        </w:rPr>
      </w:pPr>
      <w:r w:rsidRPr="00AC12E6">
        <w:rPr>
          <w:rFonts w:eastAsia="Times New Roman"/>
        </w:rPr>
        <w:t>Buildings approved for construction prior to 31 March 2014 must comply with the ventil</w:t>
      </w:r>
      <w:r w:rsidRPr="00F31FBC">
        <w:rPr>
          <w:rFonts w:eastAsia="Times New Roman"/>
        </w:rPr>
        <w:t xml:space="preserve">ation requirements of 3MJ/h per cubic metre, which means that </w:t>
      </w:r>
      <w:r w:rsidR="00BA0755" w:rsidRPr="001D0E48">
        <w:rPr>
          <w:rFonts w:eastAsia="Times New Roman"/>
        </w:rPr>
        <w:t xml:space="preserve">1 cubic metre of room volume is needed </w:t>
      </w:r>
      <w:r w:rsidRPr="00C011AF">
        <w:rPr>
          <w:rFonts w:eastAsia="Times New Roman"/>
        </w:rPr>
        <w:t xml:space="preserve">for every 3MJ/h </w:t>
      </w:r>
      <w:r w:rsidR="00127303">
        <w:rPr>
          <w:rFonts w:eastAsia="Times New Roman"/>
        </w:rPr>
        <w:t>of gas consumption</w:t>
      </w:r>
      <w:r w:rsidRPr="00C011AF">
        <w:rPr>
          <w:rFonts w:eastAsia="Times New Roman"/>
        </w:rPr>
        <w:t>. For example, a</w:t>
      </w:r>
      <w:r w:rsidR="00F15FC0" w:rsidRPr="00C011AF">
        <w:rPr>
          <w:rFonts w:eastAsia="Times New Roman"/>
        </w:rPr>
        <w:t xml:space="preserve"> heater wi</w:t>
      </w:r>
      <w:r w:rsidR="00A220F4" w:rsidRPr="00C011AF">
        <w:rPr>
          <w:rFonts w:eastAsia="Times New Roman"/>
        </w:rPr>
        <w:t xml:space="preserve">th a total </w:t>
      </w:r>
      <w:r w:rsidR="00F447B4" w:rsidRPr="00096B3A">
        <w:rPr>
          <w:rFonts w:eastAsia="Times New Roman"/>
        </w:rPr>
        <w:t>maximum gas consumption of</w:t>
      </w:r>
      <w:r w:rsidRPr="00BB56FF">
        <w:rPr>
          <w:rFonts w:eastAsia="Times New Roman"/>
        </w:rPr>
        <w:t xml:space="preserve"> 30MJ/h needs to be installed in a room with a volume no smaller than 10 cubi</w:t>
      </w:r>
      <w:r w:rsidRPr="00C60102">
        <w:rPr>
          <w:rFonts w:eastAsia="Times New Roman"/>
        </w:rPr>
        <w:t>c metres. If the room is smaller than 10 cubic metres, it will require additional permanent ventilation.</w:t>
      </w:r>
    </w:p>
    <w:p w14:paraId="0E7BADC4" w14:textId="77777777" w:rsidR="002849A2" w:rsidRPr="00410117" w:rsidRDefault="002849A2" w:rsidP="002849A2">
      <w:pPr>
        <w:pStyle w:val="ListParagraph"/>
        <w:spacing w:line="254" w:lineRule="auto"/>
        <w:ind w:left="0"/>
        <w:rPr>
          <w:rFonts w:eastAsia="Times New Roman"/>
        </w:rPr>
      </w:pPr>
    </w:p>
    <w:p w14:paraId="57575A44" w14:textId="758BD26F" w:rsidR="00340E74" w:rsidRPr="00410117" w:rsidRDefault="00557479" w:rsidP="00BA0755">
      <w:pPr>
        <w:pStyle w:val="ListParagraph"/>
        <w:spacing w:line="254" w:lineRule="auto"/>
        <w:ind w:left="0"/>
        <w:rPr>
          <w:rFonts w:eastAsia="Times New Roman"/>
        </w:rPr>
      </w:pPr>
      <w:r w:rsidRPr="00410117">
        <w:rPr>
          <w:rFonts w:eastAsia="Times New Roman"/>
        </w:rPr>
        <w:t xml:space="preserve">Buildings approved for construction after 31 March 2014 must comply with the ventilation requirements of 0.4MJ/h per cubic metre. </w:t>
      </w:r>
      <w:r w:rsidRPr="00387E9A">
        <w:rPr>
          <w:rFonts w:eastAsia="Times New Roman"/>
        </w:rPr>
        <w:t xml:space="preserve">For example, a </w:t>
      </w:r>
      <w:r w:rsidR="008F1E07" w:rsidRPr="00FD4E71">
        <w:rPr>
          <w:rFonts w:eastAsia="Times New Roman"/>
        </w:rPr>
        <w:t>heate</w:t>
      </w:r>
      <w:r w:rsidR="008F1E07" w:rsidRPr="00AC12E6">
        <w:rPr>
          <w:rFonts w:eastAsia="Times New Roman"/>
        </w:rPr>
        <w:t xml:space="preserve">r with a total </w:t>
      </w:r>
      <w:r w:rsidR="00B27778" w:rsidRPr="00096B3A">
        <w:rPr>
          <w:rFonts w:eastAsia="Times New Roman"/>
        </w:rPr>
        <w:t xml:space="preserve">maximum gas consumption </w:t>
      </w:r>
      <w:r w:rsidR="008F1E07" w:rsidRPr="00096B3A">
        <w:rPr>
          <w:rFonts w:eastAsia="Times New Roman"/>
        </w:rPr>
        <w:t>of</w:t>
      </w:r>
      <w:r w:rsidR="008F1E07" w:rsidRPr="00BB56FF">
        <w:rPr>
          <w:rFonts w:eastAsia="Times New Roman"/>
        </w:rPr>
        <w:t xml:space="preserve"> </w:t>
      </w:r>
      <w:r w:rsidRPr="00C60102">
        <w:rPr>
          <w:rFonts w:eastAsia="Times New Roman"/>
        </w:rPr>
        <w:t>30MJ/h</w:t>
      </w:r>
      <w:r w:rsidR="008F1E07" w:rsidRPr="009F57E8">
        <w:rPr>
          <w:rFonts w:eastAsia="Times New Roman"/>
        </w:rPr>
        <w:t xml:space="preserve"> </w:t>
      </w:r>
      <w:r w:rsidRPr="00410117">
        <w:rPr>
          <w:rFonts w:eastAsia="Times New Roman"/>
        </w:rPr>
        <w:t>needs to be installed in a room with a volume no smaller than 75 cubic metres. If the room is smaller than 75 cubic metres it will require additional permanent ventilation.</w:t>
      </w:r>
    </w:p>
    <w:p w14:paraId="3D39520E" w14:textId="77777777" w:rsidR="002849A2" w:rsidRPr="00387E9A" w:rsidRDefault="002849A2" w:rsidP="002849A2">
      <w:pPr>
        <w:pStyle w:val="ListParagraph"/>
        <w:spacing w:line="254" w:lineRule="auto"/>
        <w:ind w:left="0"/>
        <w:rPr>
          <w:rFonts w:eastAsia="Times New Roman"/>
        </w:rPr>
      </w:pPr>
    </w:p>
    <w:p w14:paraId="04F2E347" w14:textId="4C71F138" w:rsidR="002849A2" w:rsidRPr="00AC12E6" w:rsidRDefault="00340E74" w:rsidP="002849A2">
      <w:pPr>
        <w:pStyle w:val="ListParagraph"/>
        <w:spacing w:line="254" w:lineRule="auto"/>
        <w:ind w:left="0"/>
        <w:rPr>
          <w:rFonts w:eastAsia="Times New Roman"/>
        </w:rPr>
      </w:pPr>
      <w:r w:rsidRPr="00FD4E71">
        <w:rPr>
          <w:rFonts w:eastAsia="Times New Roman"/>
        </w:rPr>
        <w:t xml:space="preserve">Most OFGSHs have </w:t>
      </w:r>
      <w:r w:rsidRPr="00096B3A">
        <w:rPr>
          <w:rFonts w:eastAsia="Times New Roman"/>
        </w:rPr>
        <w:t>a</w:t>
      </w:r>
      <w:r w:rsidR="00913398" w:rsidRPr="00096B3A">
        <w:rPr>
          <w:rFonts w:eastAsia="Times New Roman"/>
        </w:rPr>
        <w:t xml:space="preserve"> maximum</w:t>
      </w:r>
      <w:r w:rsidR="00E900C0" w:rsidRPr="00096B3A">
        <w:rPr>
          <w:rFonts w:eastAsia="Times New Roman"/>
        </w:rPr>
        <w:t xml:space="preserve"> gas con</w:t>
      </w:r>
      <w:r w:rsidR="00925354" w:rsidRPr="00096B3A">
        <w:rPr>
          <w:rFonts w:eastAsia="Times New Roman"/>
        </w:rPr>
        <w:t>sumption range of between</w:t>
      </w:r>
      <w:r w:rsidRPr="00096B3A">
        <w:rPr>
          <w:rFonts w:eastAsia="Times New Roman"/>
        </w:rPr>
        <w:t xml:space="preserve"> range between 1</w:t>
      </w:r>
      <w:r w:rsidR="00C92DFA" w:rsidRPr="00096B3A">
        <w:rPr>
          <w:rFonts w:eastAsia="Times New Roman"/>
        </w:rPr>
        <w:t>8MJ/h and 30MJ/h total input.</w:t>
      </w:r>
      <w:r w:rsidR="00085811" w:rsidRPr="00096B3A">
        <w:rPr>
          <w:rFonts w:eastAsia="Times New Roman"/>
        </w:rPr>
        <w:t xml:space="preserve"> During installation, the gasfitter must assess</w:t>
      </w:r>
      <w:r w:rsidR="000679D8" w:rsidRPr="00096B3A">
        <w:rPr>
          <w:rFonts w:eastAsia="Times New Roman"/>
        </w:rPr>
        <w:t xml:space="preserve"> </w:t>
      </w:r>
      <w:r w:rsidR="00127629" w:rsidRPr="00096B3A">
        <w:rPr>
          <w:rFonts w:eastAsia="Times New Roman"/>
        </w:rPr>
        <w:t>the maximum gas consumption</w:t>
      </w:r>
      <w:r w:rsidR="000679D8" w:rsidRPr="00096B3A">
        <w:rPr>
          <w:rFonts w:eastAsia="Times New Roman"/>
        </w:rPr>
        <w:t xml:space="preserve"> of</w:t>
      </w:r>
      <w:r w:rsidR="000679D8" w:rsidRPr="00BB56FF">
        <w:rPr>
          <w:rFonts w:eastAsia="Times New Roman"/>
        </w:rPr>
        <w:t xml:space="preserve"> the heater and</w:t>
      </w:r>
      <w:r w:rsidR="00085811" w:rsidRPr="00C60102">
        <w:rPr>
          <w:rFonts w:eastAsia="Times New Roman"/>
        </w:rPr>
        <w:t xml:space="preserve"> the size of the room </w:t>
      </w:r>
      <w:r w:rsidR="00AB7176" w:rsidRPr="009F57E8">
        <w:rPr>
          <w:rFonts w:eastAsia="Times New Roman"/>
        </w:rPr>
        <w:t xml:space="preserve">to the requirements listed above and </w:t>
      </w:r>
      <w:r w:rsidR="00AB7176" w:rsidRPr="00410117">
        <w:rPr>
          <w:rFonts w:eastAsia="Times New Roman"/>
        </w:rPr>
        <w:t xml:space="preserve">if </w:t>
      </w:r>
      <w:r w:rsidR="00B3299B" w:rsidRPr="00410117">
        <w:rPr>
          <w:rFonts w:eastAsia="Times New Roman"/>
        </w:rPr>
        <w:t>necessary,</w:t>
      </w:r>
      <w:r w:rsidR="00AB7176" w:rsidRPr="00387E9A">
        <w:rPr>
          <w:rFonts w:eastAsia="Times New Roman"/>
        </w:rPr>
        <w:t xml:space="preserve"> add permanent ventilation.</w:t>
      </w:r>
    </w:p>
    <w:p w14:paraId="17AC0C26" w14:textId="29E128E1" w:rsidR="00ED0EF8" w:rsidRPr="00D7409C" w:rsidRDefault="0095302C" w:rsidP="00ED0EF8">
      <w:r w:rsidRPr="00F31FBC">
        <w:rPr>
          <w:rFonts w:eastAsia="Times New Roman"/>
        </w:rPr>
        <w:t>Subsequent alterations to the home</w:t>
      </w:r>
      <w:r w:rsidR="00CC22AD" w:rsidRPr="001D0E48">
        <w:rPr>
          <w:rFonts w:eastAsia="Times New Roman"/>
        </w:rPr>
        <w:t>,</w:t>
      </w:r>
      <w:r w:rsidR="00362226" w:rsidRPr="00C011AF">
        <w:rPr>
          <w:rFonts w:eastAsia="Times New Roman"/>
        </w:rPr>
        <w:t xml:space="preserve"> such as covering up permanent ventilation</w:t>
      </w:r>
      <w:r w:rsidR="00CC22AD" w:rsidRPr="00C011AF">
        <w:rPr>
          <w:rFonts w:eastAsia="Times New Roman"/>
        </w:rPr>
        <w:t>,</w:t>
      </w:r>
      <w:r w:rsidR="00362226" w:rsidRPr="00C011AF">
        <w:rPr>
          <w:rFonts w:eastAsia="Times New Roman"/>
        </w:rPr>
        <w:t xml:space="preserve"> </w:t>
      </w:r>
      <w:r w:rsidR="006D3E86" w:rsidRPr="00C011AF">
        <w:rPr>
          <w:rFonts w:eastAsia="Times New Roman"/>
        </w:rPr>
        <w:t xml:space="preserve">will result in </w:t>
      </w:r>
      <w:r w:rsidR="007B6CB0" w:rsidRPr="00C011AF">
        <w:rPr>
          <w:rFonts w:eastAsia="Times New Roman"/>
        </w:rPr>
        <w:t xml:space="preserve">a room which does not meet the requirements for an </w:t>
      </w:r>
      <w:r w:rsidR="000932DA">
        <w:rPr>
          <w:rFonts w:eastAsia="Times New Roman"/>
        </w:rPr>
        <w:t xml:space="preserve">OFGSH </w:t>
      </w:r>
      <w:r w:rsidR="007B6CB0" w:rsidRPr="00C011AF">
        <w:rPr>
          <w:rFonts w:eastAsia="Times New Roman"/>
        </w:rPr>
        <w:t>to operate safely.</w:t>
      </w:r>
      <w:r w:rsidR="00ED0EF8">
        <w:rPr>
          <w:rFonts w:eastAsia="Times New Roman"/>
        </w:rPr>
        <w:t xml:space="preserve"> </w:t>
      </w:r>
      <w:r w:rsidR="00ED0EF8">
        <w:t>Covering up</w:t>
      </w:r>
      <w:r w:rsidR="00ED0EF8" w:rsidRPr="00DB0D83">
        <w:t xml:space="preserve"> permanent ventilation holes can increase the likelihood of creating a negative </w:t>
      </w:r>
      <w:r w:rsidR="0033030F" w:rsidRPr="00DB0D83">
        <w:t>pre</w:t>
      </w:r>
      <w:r w:rsidR="0033030F">
        <w:t>s</w:t>
      </w:r>
      <w:r w:rsidR="0033030F" w:rsidRPr="00DB0D83">
        <w:t>su</w:t>
      </w:r>
      <w:r w:rsidR="0033030F">
        <w:t>r</w:t>
      </w:r>
      <w:r w:rsidR="0033030F" w:rsidRPr="00DB0D83">
        <w:t xml:space="preserve">e </w:t>
      </w:r>
      <w:r w:rsidR="00ED0EF8" w:rsidRPr="00DB0D83">
        <w:lastRenderedPageBreak/>
        <w:t xml:space="preserve">environment dependent on the amount and size of openings around the windows and doors, relative to the area of the permanent vents.  </w:t>
      </w:r>
    </w:p>
    <w:p w14:paraId="78F92AED" w14:textId="41181696" w:rsidR="00FB5506" w:rsidRPr="00C011AF" w:rsidRDefault="00FB5506" w:rsidP="0015419D">
      <w:r w:rsidRPr="00C011AF">
        <w:t>More information on the specific regulations pertaining to gas heaters (and Type A gas appliances more broadly) can be found in Appendix B.</w:t>
      </w:r>
    </w:p>
    <w:p w14:paraId="1CBC3806" w14:textId="77777777" w:rsidR="001B7171" w:rsidRPr="00C011AF" w:rsidRDefault="001B7171" w:rsidP="00BA0755">
      <w:pPr>
        <w:pStyle w:val="Heading4"/>
      </w:pPr>
      <w:r w:rsidRPr="00C011AF">
        <w:t>CO alarms</w:t>
      </w:r>
    </w:p>
    <w:p w14:paraId="79D97152" w14:textId="4C13AAB3" w:rsidR="00950F17" w:rsidRPr="00C60102" w:rsidRDefault="001B7171" w:rsidP="001B7171">
      <w:pPr>
        <w:pStyle w:val="BodyText"/>
        <w:rPr>
          <w:vertAlign w:val="superscript"/>
          <w:lang w:eastAsia="en-AU"/>
        </w:rPr>
      </w:pPr>
      <w:r w:rsidRPr="00C011AF">
        <w:t xml:space="preserve">A CO alarm is a device designed to alert people when it detects high, unsafe concentrations of CO in its immediate environment. The alarms are intended to limit people’s duration of exposure to </w:t>
      </w:r>
      <w:r w:rsidR="009C25FE">
        <w:t xml:space="preserve">a high concentration of </w:t>
      </w:r>
      <w:r w:rsidRPr="00C011AF">
        <w:t xml:space="preserve">CO and therefore mitigate the </w:t>
      </w:r>
      <w:r w:rsidR="009C25FE">
        <w:t xml:space="preserve">potential </w:t>
      </w:r>
      <w:r w:rsidRPr="00C011AF">
        <w:t>negative health impacts associated with CO poisoning. CO alarms can be a useful back-up precaution but should not be considered a substitute for the proper installation and regular maintenance of gas appliances.</w:t>
      </w:r>
      <w:r w:rsidRPr="00BB56FF">
        <w:rPr>
          <w:vertAlign w:val="superscript"/>
          <w:lang w:eastAsia="en-AU"/>
        </w:rPr>
        <w:footnoteReference w:id="34"/>
      </w:r>
      <w:r w:rsidRPr="00BB56FF">
        <w:rPr>
          <w:vertAlign w:val="superscript"/>
          <w:lang w:eastAsia="en-AU"/>
        </w:rPr>
        <w:t xml:space="preserve"> </w:t>
      </w:r>
    </w:p>
    <w:p w14:paraId="508A749A" w14:textId="36561E7F" w:rsidR="00EE408B" w:rsidRPr="00C011AF" w:rsidRDefault="00F843DB" w:rsidP="00EE408B">
      <w:r w:rsidRPr="009F57E8">
        <w:t>T</w:t>
      </w:r>
      <w:r w:rsidR="00D6546D" w:rsidRPr="00410117">
        <w:t xml:space="preserve">here is </w:t>
      </w:r>
      <w:r w:rsidR="00CA7425" w:rsidRPr="00410117">
        <w:t xml:space="preserve">currently </w:t>
      </w:r>
      <w:r w:rsidR="00D6546D" w:rsidRPr="00387E9A">
        <w:t>no requirement that CO alarms be installed in any Victorian building</w:t>
      </w:r>
      <w:r w:rsidR="00451EF5" w:rsidRPr="00FD4E71">
        <w:t xml:space="preserve"> (</w:t>
      </w:r>
      <w:r w:rsidR="00D12C0F" w:rsidRPr="00AC12E6">
        <w:t>or buildings elsewhere in Australia)</w:t>
      </w:r>
      <w:r w:rsidR="00D6546D" w:rsidRPr="00F31FBC">
        <w:t xml:space="preserve">. </w:t>
      </w:r>
      <w:r w:rsidR="00464CC0" w:rsidRPr="001D0E48">
        <w:t>W</w:t>
      </w:r>
      <w:r w:rsidR="00D6546D" w:rsidRPr="00C011AF">
        <w:t xml:space="preserve">hile tenants can request to have CO alarms installed at their property, landlords currently have no legal obligation to meet their request. </w:t>
      </w:r>
    </w:p>
    <w:p w14:paraId="2369E876" w14:textId="2976DC6D" w:rsidR="00F843DB" w:rsidRPr="00BB56FF" w:rsidRDefault="00F843DB" w:rsidP="00F843DB">
      <w:pPr>
        <w:pStyle w:val="BodyText"/>
      </w:pPr>
      <w:r w:rsidRPr="00C011AF">
        <w:t>ESV advises that CO alarms are a back-up precaution to warn users about very high concentrations of CO, which could cause serious injury or death.</w:t>
      </w:r>
      <w:r w:rsidR="00F6459E">
        <w:t xml:space="preserve"> They are not intended to be a substitute for regular servicing of the </w:t>
      </w:r>
      <w:r w:rsidR="00B13E9B">
        <w:t>gas appliance</w:t>
      </w:r>
      <w:r w:rsidR="00624289">
        <w:t xml:space="preserve"> as CO monitors are not fail safe</w:t>
      </w:r>
      <w:r w:rsidR="002F7251">
        <w:t xml:space="preserve"> and could result in</w:t>
      </w:r>
      <w:r w:rsidR="00143A7E">
        <w:t xml:space="preserve"> complacency</w:t>
      </w:r>
      <w:r w:rsidR="00B13E9B">
        <w:t xml:space="preserve">. </w:t>
      </w:r>
      <w:r w:rsidRPr="00C011AF">
        <w:t xml:space="preserve">ESV advises that CO alarms should not be considered a replacement for proper installation and maintenance of heaters. ESV also recommends that consumers only purchase CO alarms that </w:t>
      </w:r>
      <w:r w:rsidRPr="00096B3A">
        <w:t>comply with</w:t>
      </w:r>
      <w:r w:rsidRPr="00BB56FF">
        <w:t xml:space="preserve"> </w:t>
      </w:r>
      <w:r w:rsidRPr="00C60102">
        <w:rPr>
          <w:color w:val="000000" w:themeColor="text1"/>
        </w:rPr>
        <w:t>either an EN50291 (the European standard) or UL2034 (the US standard)</w:t>
      </w:r>
      <w:r w:rsidRPr="009F57E8">
        <w:rPr>
          <w:color w:val="000000" w:themeColor="text1"/>
        </w:rPr>
        <w:t xml:space="preserve"> </w:t>
      </w:r>
      <w:r w:rsidRPr="00410117">
        <w:t>and have visu</w:t>
      </w:r>
      <w:r w:rsidRPr="00387E9A">
        <w:t xml:space="preserve">al or audible alarms indicating when the electrochemical sensor or battery has expired. ESV notes that while these alarms may indicate </w:t>
      </w:r>
      <w:r w:rsidRPr="00FD4E71">
        <w:t>the presence of CO</w:t>
      </w:r>
      <w:r w:rsidRPr="00AC12E6">
        <w:t xml:space="preserve"> in the air</w:t>
      </w:r>
      <w:r w:rsidRPr="00F31FBC">
        <w:t xml:space="preserve">, </w:t>
      </w:r>
      <w:r w:rsidRPr="001D0E48">
        <w:t>an alarm’s</w:t>
      </w:r>
      <w:r w:rsidRPr="00C011AF">
        <w:t xml:space="preserve"> effectiveness may be limited by the location where it is installed. CO concentrations may vary significantly throughout the room and </w:t>
      </w:r>
      <w:r w:rsidR="00E8068A">
        <w:t xml:space="preserve">high concentrations of CO may </w:t>
      </w:r>
      <w:r w:rsidRPr="00C011AF">
        <w:t>go undetected if the alarm is not in the correct position.</w:t>
      </w:r>
      <w:r w:rsidRPr="00BB56FF">
        <w:rPr>
          <w:vertAlign w:val="superscript"/>
          <w:lang w:eastAsia="en-AU"/>
        </w:rPr>
        <w:footnoteReference w:id="35"/>
      </w:r>
    </w:p>
    <w:p w14:paraId="63C33B7F" w14:textId="7A7B2A96" w:rsidR="00A72275" w:rsidRPr="00BB56FF" w:rsidRDefault="000E19D5" w:rsidP="000E19D5">
      <w:pPr>
        <w:rPr>
          <w:color w:val="000000" w:themeColor="text1"/>
        </w:rPr>
      </w:pPr>
      <w:r w:rsidRPr="00C60102">
        <w:t>In 2012, a DRIS was prepared by the Allen Consulting Group to consider a number o</w:t>
      </w:r>
      <w:r w:rsidRPr="009F57E8">
        <w:t xml:space="preserve">f approaches to manage the risk of CO poisoning from gas appliances (the 2012 </w:t>
      </w:r>
      <w:r w:rsidRPr="00410117">
        <w:rPr>
          <w:color w:val="000000" w:themeColor="text1"/>
        </w:rPr>
        <w:t>DRIS).</w:t>
      </w:r>
      <w:r w:rsidRPr="00BB56FF">
        <w:rPr>
          <w:rStyle w:val="FootnoteReference"/>
          <w:color w:val="000000" w:themeColor="text1"/>
        </w:rPr>
        <w:footnoteReference w:id="36"/>
      </w:r>
      <w:r w:rsidRPr="00BB56FF">
        <w:rPr>
          <w:color w:val="000000" w:themeColor="text1"/>
        </w:rPr>
        <w:t xml:space="preserve"> The </w:t>
      </w:r>
      <w:r w:rsidR="002B6BC6">
        <w:rPr>
          <w:color w:val="000000" w:themeColor="text1"/>
        </w:rPr>
        <w:t>2012</w:t>
      </w:r>
      <w:r w:rsidRPr="00BB56FF">
        <w:rPr>
          <w:color w:val="000000" w:themeColor="text1"/>
        </w:rPr>
        <w:t xml:space="preserve"> DRIS found that the cost of requiring CO alarms was large and did not outweigh the relatively small benefits.</w:t>
      </w:r>
      <w:r w:rsidR="00913531" w:rsidRPr="00C60102">
        <w:rPr>
          <w:color w:val="000000" w:themeColor="text1"/>
        </w:rPr>
        <w:t xml:space="preserve"> </w:t>
      </w:r>
      <w:r w:rsidR="00913531" w:rsidRPr="009F57E8">
        <w:t xml:space="preserve">The recommended option was </w:t>
      </w:r>
      <w:r w:rsidR="00493F12">
        <w:t>for</w:t>
      </w:r>
      <w:r w:rsidR="00913531" w:rsidRPr="009F57E8">
        <w:t xml:space="preserve"> community </w:t>
      </w:r>
      <w:r w:rsidR="00493F12">
        <w:t>education</w:t>
      </w:r>
      <w:r w:rsidR="00890588">
        <w:t>.</w:t>
      </w:r>
      <w:r w:rsidRPr="00BB56FF">
        <w:rPr>
          <w:rStyle w:val="FootnoteReference"/>
          <w:color w:val="000000" w:themeColor="text1"/>
        </w:rPr>
        <w:footnoteReference w:id="37"/>
      </w:r>
    </w:p>
    <w:p w14:paraId="21BBF8DC" w14:textId="294A30EF" w:rsidR="00286CEB" w:rsidRPr="00FD4E71" w:rsidRDefault="008A1359" w:rsidP="000E19D5">
      <w:r w:rsidRPr="00C60102">
        <w:t>There</w:t>
      </w:r>
      <w:r w:rsidRPr="009F57E8">
        <w:t xml:space="preserve"> are currently no minimum Australian </w:t>
      </w:r>
      <w:r w:rsidR="00F843DB" w:rsidRPr="00410117">
        <w:t>S</w:t>
      </w:r>
      <w:r w:rsidRPr="00410117">
        <w:t>tandards that specify design,</w:t>
      </w:r>
      <w:r w:rsidR="005E08D6" w:rsidRPr="00387E9A">
        <w:t xml:space="preserve"> manufacturing,</w:t>
      </w:r>
      <w:r w:rsidRPr="00FD4E71">
        <w:t xml:space="preserve"> installation or servicing requirements for CO</w:t>
      </w:r>
      <w:r w:rsidRPr="00AC12E6">
        <w:t xml:space="preserve"> alarms</w:t>
      </w:r>
      <w:r w:rsidR="00B72F81" w:rsidRPr="00F31FBC">
        <w:rPr>
          <w:color w:val="000000" w:themeColor="text1"/>
        </w:rPr>
        <w:t>.</w:t>
      </w:r>
      <w:r w:rsidR="00B72F81" w:rsidRPr="00BB56FF">
        <w:rPr>
          <w:rStyle w:val="FootnoteReference"/>
          <w:color w:val="000000" w:themeColor="text1"/>
        </w:rPr>
        <w:footnoteReference w:id="38"/>
      </w:r>
      <w:r w:rsidR="00B72F81" w:rsidRPr="00BB56FF">
        <w:rPr>
          <w:color w:val="000000" w:themeColor="text1"/>
        </w:rPr>
        <w:t xml:space="preserve"> The quality and effectiveness of CO alarms available for purchase can vary significantly as a result. Many CO alarms available in Victoria carry no official product safety certification. </w:t>
      </w:r>
      <w:r w:rsidR="009C5A92" w:rsidRPr="00C60102">
        <w:rPr>
          <w:color w:val="000000" w:themeColor="text1"/>
        </w:rPr>
        <w:t xml:space="preserve">While </w:t>
      </w:r>
      <w:r w:rsidR="00B72F81" w:rsidRPr="009F57E8">
        <w:rPr>
          <w:color w:val="000000" w:themeColor="text1"/>
        </w:rPr>
        <w:t>ESV recommend</w:t>
      </w:r>
      <w:r w:rsidR="009C5A92" w:rsidRPr="00410117">
        <w:rPr>
          <w:color w:val="000000" w:themeColor="text1"/>
        </w:rPr>
        <w:t>s</w:t>
      </w:r>
      <w:r w:rsidR="00B72F81" w:rsidRPr="00410117">
        <w:rPr>
          <w:color w:val="000000" w:themeColor="text1"/>
        </w:rPr>
        <w:t xml:space="preserve"> that consumers purchase CO alarms that </w:t>
      </w:r>
      <w:r w:rsidR="00B72F81" w:rsidRPr="00096B3A">
        <w:rPr>
          <w:color w:val="000000" w:themeColor="text1"/>
        </w:rPr>
        <w:t>c</w:t>
      </w:r>
      <w:r w:rsidR="00341A5B" w:rsidRPr="00096B3A">
        <w:rPr>
          <w:color w:val="000000" w:themeColor="text1"/>
        </w:rPr>
        <w:t xml:space="preserve">omply with </w:t>
      </w:r>
      <w:r w:rsidR="00F843DB" w:rsidRPr="00BB56FF">
        <w:rPr>
          <w:color w:val="000000" w:themeColor="text1"/>
        </w:rPr>
        <w:t xml:space="preserve">relevant </w:t>
      </w:r>
      <w:r w:rsidR="008E2B14">
        <w:rPr>
          <w:color w:val="000000" w:themeColor="text1"/>
        </w:rPr>
        <w:t>European</w:t>
      </w:r>
      <w:r w:rsidR="00F843DB" w:rsidRPr="00BB56FF">
        <w:rPr>
          <w:color w:val="000000" w:themeColor="text1"/>
        </w:rPr>
        <w:t xml:space="preserve"> or US standards</w:t>
      </w:r>
      <w:r w:rsidR="00B72F81" w:rsidRPr="00C60102">
        <w:rPr>
          <w:color w:val="000000" w:themeColor="text1"/>
        </w:rPr>
        <w:t xml:space="preserve">, consumers are not legally </w:t>
      </w:r>
      <w:r w:rsidR="009C5A92" w:rsidRPr="009F57E8">
        <w:rPr>
          <w:color w:val="000000" w:themeColor="text1"/>
        </w:rPr>
        <w:t>required</w:t>
      </w:r>
      <w:r w:rsidR="00B72F81" w:rsidRPr="00410117">
        <w:rPr>
          <w:color w:val="000000" w:themeColor="text1"/>
        </w:rPr>
        <w:t xml:space="preserve"> to do so. Households may instead favour cheaper, low-quality alternatives.</w:t>
      </w:r>
      <w:r w:rsidR="00B72F81" w:rsidRPr="00BB56FF">
        <w:rPr>
          <w:rStyle w:val="FootnoteReference"/>
          <w:color w:val="000000" w:themeColor="text1"/>
        </w:rPr>
        <w:footnoteReference w:id="39"/>
      </w:r>
      <w:r w:rsidR="00B72F81" w:rsidRPr="00BB56FF">
        <w:rPr>
          <w:color w:val="000000" w:themeColor="text1"/>
        </w:rPr>
        <w:t xml:space="preserve"> </w:t>
      </w:r>
      <w:r w:rsidR="00A41E88" w:rsidRPr="00C60102">
        <w:rPr>
          <w:color w:val="000000" w:themeColor="text1"/>
        </w:rPr>
        <w:t>Appendix C</w:t>
      </w:r>
      <w:r w:rsidR="00913531" w:rsidRPr="009F57E8">
        <w:rPr>
          <w:color w:val="000000" w:themeColor="text1"/>
        </w:rPr>
        <w:t xml:space="preserve"> </w:t>
      </w:r>
      <w:r w:rsidR="00B72F81" w:rsidRPr="00410117">
        <w:rPr>
          <w:color w:val="000000" w:themeColor="text1"/>
        </w:rPr>
        <w:t xml:space="preserve">provides the details of a selection of CO alarms available for sale in Victoria, as </w:t>
      </w:r>
      <w:r w:rsidR="00B72F81" w:rsidRPr="00387E9A">
        <w:rPr>
          <w:color w:val="000000" w:themeColor="text1"/>
        </w:rPr>
        <w:t>well as an overview of their international certifications.</w:t>
      </w:r>
    </w:p>
    <w:p w14:paraId="1CEC51C9" w14:textId="11354AED" w:rsidR="00F843DB" w:rsidRPr="00F31FBC" w:rsidRDefault="00F843DB" w:rsidP="00F843DB">
      <w:r w:rsidRPr="00AC12E6">
        <w:t>No data is available on sales of CO alarms or households with CO alarms in Victoria or Australia.</w:t>
      </w:r>
    </w:p>
    <w:p w14:paraId="28ABC49F" w14:textId="6235EB99" w:rsidR="00692A20" w:rsidRPr="00C011AF" w:rsidRDefault="00692A20" w:rsidP="00F843DB">
      <w:pPr>
        <w:rPr>
          <w:u w:val="single"/>
          <w:lang w:eastAsia="en-AU"/>
        </w:rPr>
      </w:pPr>
      <w:r w:rsidRPr="001D0E48">
        <w:rPr>
          <w:u w:val="single"/>
        </w:rPr>
        <w:t xml:space="preserve">UK Regulations </w:t>
      </w:r>
    </w:p>
    <w:p w14:paraId="6E89EB71" w14:textId="1E440636" w:rsidR="001B7171" w:rsidRPr="00BB56FF" w:rsidRDefault="001B7171" w:rsidP="00F843DB">
      <w:pPr>
        <w:pStyle w:val="BodyText"/>
        <w:spacing w:after="120"/>
        <w:rPr>
          <w:color w:val="000000" w:themeColor="text1"/>
          <w:lang w:eastAsia="en-AU"/>
        </w:rPr>
      </w:pPr>
      <w:r w:rsidRPr="00C011AF">
        <w:rPr>
          <w:lang w:eastAsia="en-AU"/>
        </w:rPr>
        <w:t xml:space="preserve">Current UK regulations require </w:t>
      </w:r>
      <w:r w:rsidR="0033579D">
        <w:rPr>
          <w:lang w:eastAsia="en-AU"/>
        </w:rPr>
        <w:t>CO</w:t>
      </w:r>
      <w:r w:rsidRPr="00C011AF">
        <w:rPr>
          <w:lang w:eastAsia="en-AU"/>
        </w:rPr>
        <w:t xml:space="preserve"> alarms to be fitted in all rental properties where certain heating appliances are installed. In England and Wales, this applies </w:t>
      </w:r>
      <w:r w:rsidR="001B2CCF" w:rsidRPr="00C011AF">
        <w:rPr>
          <w:lang w:eastAsia="en-AU"/>
        </w:rPr>
        <w:t xml:space="preserve">only </w:t>
      </w:r>
      <w:r w:rsidRPr="00C011AF">
        <w:rPr>
          <w:lang w:eastAsia="en-AU"/>
        </w:rPr>
        <w:t>to heaters that burn solid fuels, such wood and coal,</w:t>
      </w:r>
      <w:r w:rsidRPr="00BB56FF">
        <w:rPr>
          <w:rStyle w:val="FootnoteReference"/>
          <w:lang w:eastAsia="en-AU"/>
        </w:rPr>
        <w:footnoteReference w:id="40"/>
      </w:r>
      <w:r w:rsidRPr="00BB56FF">
        <w:rPr>
          <w:lang w:eastAsia="en-AU"/>
        </w:rPr>
        <w:t xml:space="preserve"> while in Scotland and Northern Ireland, the requirement is extended to all fixed combustion (including </w:t>
      </w:r>
      <w:r w:rsidRPr="00C60102">
        <w:rPr>
          <w:lang w:eastAsia="en-AU"/>
        </w:rPr>
        <w:t>gas) heaters.</w:t>
      </w:r>
      <w:r w:rsidRPr="00BB56FF">
        <w:rPr>
          <w:rStyle w:val="FootnoteReference"/>
          <w:lang w:eastAsia="en-AU"/>
        </w:rPr>
        <w:footnoteReference w:id="41"/>
      </w:r>
      <w:r w:rsidRPr="00BB56FF">
        <w:rPr>
          <w:lang w:eastAsia="en-AU"/>
        </w:rPr>
        <w:t xml:space="preserve"> In Northern Ireland, CO alarms are a mandatory </w:t>
      </w:r>
      <w:r w:rsidRPr="00BB56FF">
        <w:rPr>
          <w:lang w:eastAsia="en-AU"/>
        </w:rPr>
        <w:lastRenderedPageBreak/>
        <w:t>requirement in all new homes.</w:t>
      </w:r>
      <w:r w:rsidRPr="00BB56FF">
        <w:rPr>
          <w:rStyle w:val="FootnoteReference"/>
          <w:lang w:eastAsia="en-AU"/>
        </w:rPr>
        <w:footnoteReference w:id="42"/>
      </w:r>
      <w:r w:rsidRPr="00BB56FF">
        <w:rPr>
          <w:lang w:eastAsia="en-AU"/>
        </w:rPr>
        <w:t xml:space="preserve"> In Scotland, from February 2021, all homes with </w:t>
      </w:r>
      <w:r w:rsidRPr="00C60102">
        <w:rPr>
          <w:color w:val="000000" w:themeColor="text1"/>
          <w:lang w:eastAsia="en-AU"/>
        </w:rPr>
        <w:t>a carbon fuelled appliance or flue will have to comply with the requirement for CO detectors to be fitted.</w:t>
      </w:r>
      <w:r w:rsidRPr="00BB56FF">
        <w:rPr>
          <w:rStyle w:val="FootnoteReference"/>
          <w:color w:val="000000" w:themeColor="text1"/>
          <w:lang w:eastAsia="en-AU"/>
        </w:rPr>
        <w:footnoteReference w:id="43"/>
      </w:r>
    </w:p>
    <w:p w14:paraId="73D2F9C3" w14:textId="759B4291" w:rsidR="00EE491F" w:rsidRPr="009F57E8" w:rsidRDefault="00EE491F" w:rsidP="00EE491F">
      <w:pPr>
        <w:rPr>
          <w:color w:val="000000" w:themeColor="text1"/>
        </w:rPr>
      </w:pPr>
      <w:r w:rsidRPr="00C60102">
        <w:rPr>
          <w:color w:val="000000" w:themeColor="text1"/>
        </w:rPr>
        <w:t xml:space="preserve">The </w:t>
      </w:r>
      <w:r w:rsidR="00EB1650">
        <w:rPr>
          <w:color w:val="000000" w:themeColor="text1"/>
        </w:rPr>
        <w:t>European</w:t>
      </w:r>
      <w:r w:rsidRPr="00C60102">
        <w:rPr>
          <w:color w:val="000000" w:themeColor="text1"/>
        </w:rPr>
        <w:t xml:space="preserve"> standard for CO alarm installation, BS EN 5029</w:t>
      </w:r>
      <w:r w:rsidR="008E2B14">
        <w:rPr>
          <w:color w:val="000000" w:themeColor="text1"/>
        </w:rPr>
        <w:t>1</w:t>
      </w:r>
      <w:r w:rsidRPr="00C60102">
        <w:rPr>
          <w:color w:val="000000" w:themeColor="text1"/>
        </w:rPr>
        <w:t>, recommends that CO alarms be fitted:</w:t>
      </w:r>
    </w:p>
    <w:p w14:paraId="7FC49982" w14:textId="77777777" w:rsidR="00EE491F" w:rsidRPr="00410117" w:rsidRDefault="00EE491F" w:rsidP="00E74AA1">
      <w:pPr>
        <w:pStyle w:val="ListParagraph"/>
        <w:numPr>
          <w:ilvl w:val="0"/>
          <w:numId w:val="31"/>
        </w:numPr>
        <w:rPr>
          <w:color w:val="000000" w:themeColor="text1"/>
        </w:rPr>
      </w:pPr>
      <w:r w:rsidRPr="00410117">
        <w:rPr>
          <w:color w:val="000000" w:themeColor="text1"/>
        </w:rPr>
        <w:t>In every room that contains a fuel burning appliance</w:t>
      </w:r>
    </w:p>
    <w:p w14:paraId="3442112E" w14:textId="77777777" w:rsidR="00EE491F" w:rsidRPr="00FD4E71" w:rsidRDefault="00EE491F" w:rsidP="00E74AA1">
      <w:pPr>
        <w:pStyle w:val="ListParagraph"/>
        <w:numPr>
          <w:ilvl w:val="0"/>
          <w:numId w:val="31"/>
        </w:numPr>
        <w:rPr>
          <w:color w:val="000000" w:themeColor="text1"/>
        </w:rPr>
      </w:pPr>
      <w:r w:rsidRPr="00387E9A">
        <w:rPr>
          <w:color w:val="000000" w:themeColor="text1"/>
        </w:rPr>
        <w:t>At least 300mm from any wall (for ceiling mounted alarms)</w:t>
      </w:r>
    </w:p>
    <w:p w14:paraId="6599DC6A" w14:textId="77777777" w:rsidR="00EE491F" w:rsidRPr="001D0E48" w:rsidRDefault="00EE491F" w:rsidP="00E74AA1">
      <w:pPr>
        <w:pStyle w:val="ListParagraph"/>
        <w:numPr>
          <w:ilvl w:val="0"/>
          <w:numId w:val="31"/>
        </w:numPr>
        <w:rPr>
          <w:color w:val="000000" w:themeColor="text1"/>
        </w:rPr>
      </w:pPr>
      <w:r w:rsidRPr="00AC12E6">
        <w:rPr>
          <w:color w:val="000000" w:themeColor="text1"/>
        </w:rPr>
        <w:t>At least 150mm from the ceiling, above the height of</w:t>
      </w:r>
      <w:r w:rsidRPr="00F31FBC">
        <w:rPr>
          <w:color w:val="000000" w:themeColor="text1"/>
        </w:rPr>
        <w:t xml:space="preserve"> any door or window (for wall mounted alarms)</w:t>
      </w:r>
    </w:p>
    <w:p w14:paraId="5AA9AC04" w14:textId="77777777" w:rsidR="00EE491F" w:rsidRPr="00BB56FF" w:rsidRDefault="00EE491F" w:rsidP="00E74AA1">
      <w:pPr>
        <w:pStyle w:val="ListParagraph"/>
        <w:numPr>
          <w:ilvl w:val="0"/>
          <w:numId w:val="31"/>
        </w:numPr>
        <w:rPr>
          <w:color w:val="000000" w:themeColor="text1"/>
        </w:rPr>
      </w:pPr>
      <w:r w:rsidRPr="00C011AF">
        <w:rPr>
          <w:color w:val="000000" w:themeColor="text1"/>
        </w:rPr>
        <w:t>Between 1m and 3m (measured horizontally) from the potential source of CO.</w:t>
      </w:r>
      <w:r w:rsidRPr="00BB56FF">
        <w:rPr>
          <w:rStyle w:val="FootnoteReference"/>
          <w:color w:val="000000" w:themeColor="text1"/>
        </w:rPr>
        <w:footnoteReference w:id="44"/>
      </w:r>
    </w:p>
    <w:p w14:paraId="3A3909AB" w14:textId="77777777" w:rsidR="00EE491F" w:rsidRPr="009F57E8" w:rsidRDefault="00EE491F" w:rsidP="00EE491F">
      <w:pPr>
        <w:rPr>
          <w:color w:val="000000" w:themeColor="text1"/>
        </w:rPr>
      </w:pPr>
      <w:r w:rsidRPr="00C60102">
        <w:rPr>
          <w:color w:val="000000" w:themeColor="text1"/>
        </w:rPr>
        <w:t>The standard also recommends that CO alarms are not fitted:</w:t>
      </w:r>
    </w:p>
    <w:p w14:paraId="3934B465" w14:textId="77777777" w:rsidR="00EE491F" w:rsidRPr="00410117" w:rsidRDefault="00EE491F" w:rsidP="00E74AA1">
      <w:pPr>
        <w:pStyle w:val="ListParagraph"/>
        <w:numPr>
          <w:ilvl w:val="0"/>
          <w:numId w:val="32"/>
        </w:numPr>
        <w:rPr>
          <w:color w:val="000000" w:themeColor="text1"/>
        </w:rPr>
      </w:pPr>
      <w:r w:rsidRPr="00410117">
        <w:rPr>
          <w:color w:val="000000" w:themeColor="text1"/>
        </w:rPr>
        <w:t>In enclosed spaces</w:t>
      </w:r>
    </w:p>
    <w:p w14:paraId="35F96746" w14:textId="77777777" w:rsidR="00EE491F" w:rsidRPr="00FD4E71" w:rsidRDefault="00EE491F" w:rsidP="00E74AA1">
      <w:pPr>
        <w:pStyle w:val="ListParagraph"/>
        <w:numPr>
          <w:ilvl w:val="0"/>
          <w:numId w:val="32"/>
        </w:numPr>
        <w:rPr>
          <w:color w:val="000000" w:themeColor="text1"/>
        </w:rPr>
      </w:pPr>
      <w:r w:rsidRPr="00387E9A">
        <w:rPr>
          <w:color w:val="000000" w:themeColor="text1"/>
        </w:rPr>
        <w:t>Where they can be obstructed</w:t>
      </w:r>
    </w:p>
    <w:p w14:paraId="3BFBC770" w14:textId="77777777" w:rsidR="00EE491F" w:rsidRPr="00F31FBC" w:rsidRDefault="00EE491F" w:rsidP="00E74AA1">
      <w:pPr>
        <w:pStyle w:val="ListParagraph"/>
        <w:numPr>
          <w:ilvl w:val="0"/>
          <w:numId w:val="32"/>
        </w:numPr>
        <w:rPr>
          <w:color w:val="000000" w:themeColor="text1"/>
        </w:rPr>
      </w:pPr>
      <w:r w:rsidRPr="00AC12E6">
        <w:rPr>
          <w:color w:val="000000" w:themeColor="text1"/>
        </w:rPr>
        <w:t>Directly above a sink</w:t>
      </w:r>
    </w:p>
    <w:p w14:paraId="5D1E3581" w14:textId="4AF7D0EC" w:rsidR="00853769" w:rsidRPr="00C011AF" w:rsidRDefault="00EE491F" w:rsidP="00E74AA1">
      <w:pPr>
        <w:pStyle w:val="ListParagraph"/>
        <w:numPr>
          <w:ilvl w:val="0"/>
          <w:numId w:val="32"/>
        </w:numPr>
        <w:rPr>
          <w:color w:val="000000" w:themeColor="text1"/>
        </w:rPr>
      </w:pPr>
      <w:r w:rsidRPr="001D0E48">
        <w:rPr>
          <w:color w:val="000000" w:themeColor="text1"/>
        </w:rPr>
        <w:t>Nex</w:t>
      </w:r>
      <w:r w:rsidRPr="00C011AF">
        <w:rPr>
          <w:color w:val="000000" w:themeColor="text1"/>
        </w:rPr>
        <w:t>t to a door, window, extractor fan, air vent, or similar ventilation opening</w:t>
      </w:r>
    </w:p>
    <w:p w14:paraId="3425D6CE" w14:textId="77777777" w:rsidR="00853769" w:rsidRPr="00C011AF" w:rsidRDefault="00EE491F" w:rsidP="001B7171">
      <w:pPr>
        <w:pStyle w:val="ListParagraph"/>
        <w:numPr>
          <w:ilvl w:val="0"/>
          <w:numId w:val="32"/>
        </w:numPr>
        <w:rPr>
          <w:lang w:eastAsia="en-AU"/>
        </w:rPr>
      </w:pPr>
      <w:r w:rsidRPr="00C011AF">
        <w:rPr>
          <w:color w:val="000000" w:themeColor="text1"/>
        </w:rPr>
        <w:t>Where the temperature may drop below -5ºC or rise above 40ºC.</w:t>
      </w:r>
    </w:p>
    <w:p w14:paraId="09A28A92" w14:textId="50E39C47" w:rsidR="00692A20" w:rsidRPr="00C011AF" w:rsidRDefault="00692A20" w:rsidP="00F843DB">
      <w:pPr>
        <w:rPr>
          <w:u w:val="single"/>
          <w:lang w:eastAsia="en-AU"/>
        </w:rPr>
      </w:pPr>
      <w:r w:rsidRPr="00C011AF">
        <w:rPr>
          <w:u w:val="single"/>
          <w:lang w:eastAsia="en-AU"/>
        </w:rPr>
        <w:t xml:space="preserve">US </w:t>
      </w:r>
      <w:r w:rsidR="00CD43E5">
        <w:rPr>
          <w:u w:val="single"/>
          <w:lang w:eastAsia="en-AU"/>
        </w:rPr>
        <w:t>and Canadian</w:t>
      </w:r>
      <w:r w:rsidRPr="00C011AF">
        <w:rPr>
          <w:u w:val="single"/>
          <w:lang w:eastAsia="en-AU"/>
        </w:rPr>
        <w:t xml:space="preserve"> regulations </w:t>
      </w:r>
    </w:p>
    <w:p w14:paraId="3C1A3AFF" w14:textId="2AAE67FE" w:rsidR="001B7171" w:rsidRPr="00BB56FF" w:rsidRDefault="001B7171" w:rsidP="00FB5506">
      <w:pPr>
        <w:rPr>
          <w:lang w:eastAsia="en-AU"/>
        </w:rPr>
      </w:pPr>
      <w:r w:rsidRPr="00C011AF">
        <w:rPr>
          <w:lang w:eastAsia="en-AU"/>
        </w:rPr>
        <w:t>While regulation varies by state, the majority of US states require CO alarms to be installed in residential buildings under certain conditions (e.g. where heating appliances are installed that use carbon based fuel for combustion).</w:t>
      </w:r>
      <w:r w:rsidRPr="00BB56FF">
        <w:rPr>
          <w:rStyle w:val="FootnoteReference"/>
          <w:lang w:eastAsia="en-AU"/>
        </w:rPr>
        <w:footnoteReference w:id="45"/>
      </w:r>
      <w:r w:rsidRPr="00BB56FF">
        <w:rPr>
          <w:lang w:eastAsia="en-AU"/>
        </w:rPr>
        <w:t xml:space="preserve"> Further, regulation in Ontario, Canada, requires CO alarms to be installed in close vicinity to sleeping areas in all residential occupancies where fuel-burning appliances such as furnaces, stoves and gas heaters are located.</w:t>
      </w:r>
      <w:r w:rsidRPr="00BB56FF">
        <w:rPr>
          <w:rStyle w:val="FootnoteReference"/>
          <w:lang w:eastAsia="en-AU"/>
        </w:rPr>
        <w:footnoteReference w:id="46"/>
      </w:r>
    </w:p>
    <w:p w14:paraId="65166CBF" w14:textId="1EE0815C" w:rsidR="001B7171" w:rsidRPr="009F57E8" w:rsidRDefault="00227583" w:rsidP="00FB5506">
      <w:pPr>
        <w:pStyle w:val="Heading4"/>
      </w:pPr>
      <w:bookmarkStart w:id="149" w:name="_Ref22300481"/>
      <w:r>
        <w:t>Restriction</w:t>
      </w:r>
      <w:r w:rsidRPr="00C60102">
        <w:t xml:space="preserve"> </w:t>
      </w:r>
      <w:r w:rsidR="001B7171" w:rsidRPr="00C60102">
        <w:t xml:space="preserve">of flueless </w:t>
      </w:r>
      <w:r w:rsidR="00F530A9" w:rsidRPr="00096B3A">
        <w:t>gas space</w:t>
      </w:r>
      <w:r w:rsidR="00F530A9" w:rsidRPr="00BB56FF">
        <w:t xml:space="preserve"> </w:t>
      </w:r>
      <w:r w:rsidR="001B7171" w:rsidRPr="00C60102">
        <w:t>heater</w:t>
      </w:r>
      <w:bookmarkEnd w:id="149"/>
      <w:r w:rsidR="001B7171" w:rsidRPr="00C60102">
        <w:t>s</w:t>
      </w:r>
    </w:p>
    <w:p w14:paraId="2856DA8B" w14:textId="5180D4A8" w:rsidR="001B7171" w:rsidRPr="00C60102" w:rsidRDefault="001B7171" w:rsidP="001B7171">
      <w:r w:rsidRPr="00410117">
        <w:t xml:space="preserve">In 2008, a RIS was prepared to amend the Gas Safety (Gas Installation) Regulations to </w:t>
      </w:r>
      <w:r w:rsidR="00227583">
        <w:t>restrict</w:t>
      </w:r>
      <w:r w:rsidR="00227583" w:rsidRPr="00410117">
        <w:t xml:space="preserve"> </w:t>
      </w:r>
      <w:r w:rsidRPr="00410117">
        <w:t>new flueless gas</w:t>
      </w:r>
      <w:r w:rsidR="00F530A9" w:rsidRPr="00410117">
        <w:t xml:space="preserve"> </w:t>
      </w:r>
      <w:r w:rsidR="00F530A9" w:rsidRPr="00096B3A">
        <w:t>space</w:t>
      </w:r>
      <w:r w:rsidRPr="00BB56FF">
        <w:t xml:space="preserve"> heater installations (where one did not previously exist) in Victoria.</w:t>
      </w:r>
      <w:r w:rsidRPr="00BB56FF">
        <w:rPr>
          <w:rStyle w:val="FootnoteReference"/>
        </w:rPr>
        <w:footnoteReference w:id="47"/>
      </w:r>
      <w:r w:rsidRPr="00BB56FF">
        <w:t xml:space="preserve"> The </w:t>
      </w:r>
      <w:r w:rsidR="00227583">
        <w:t>restriction</w:t>
      </w:r>
      <w:r w:rsidR="00227583" w:rsidRPr="00BB56FF">
        <w:t xml:space="preserve"> </w:t>
      </w:r>
      <w:r w:rsidRPr="00BB56FF">
        <w:t xml:space="preserve">was introduced due to </w:t>
      </w:r>
      <w:r w:rsidR="00B147EB">
        <w:t xml:space="preserve">the </w:t>
      </w:r>
      <w:r w:rsidRPr="00C60102">
        <w:t>health risks</w:t>
      </w:r>
      <w:r w:rsidRPr="009F57E8">
        <w:t xml:space="preserve"> of</w:t>
      </w:r>
      <w:r w:rsidRPr="00410117">
        <w:t xml:space="preserve"> flueless gas</w:t>
      </w:r>
      <w:r w:rsidR="00F530A9" w:rsidRPr="00387E9A">
        <w:t xml:space="preserve"> </w:t>
      </w:r>
      <w:r w:rsidR="00F530A9" w:rsidRPr="00096B3A">
        <w:t>space</w:t>
      </w:r>
      <w:r w:rsidRPr="00BB56FF">
        <w:t xml:space="preserve"> heater</w:t>
      </w:r>
      <w:r w:rsidR="00B147EB">
        <w:t xml:space="preserve"> emissions</w:t>
      </w:r>
      <w:r w:rsidR="00200FFD">
        <w:t xml:space="preserve">, </w:t>
      </w:r>
      <w:r w:rsidR="00726C74" w:rsidRPr="00096B3A">
        <w:t xml:space="preserve">in particular the </w:t>
      </w:r>
      <w:r w:rsidR="004010E7">
        <w:t>potential</w:t>
      </w:r>
      <w:r w:rsidR="00726C74" w:rsidRPr="00096B3A">
        <w:t xml:space="preserve"> impact</w:t>
      </w:r>
      <w:r w:rsidR="004010E7">
        <w:t>s</w:t>
      </w:r>
      <w:r w:rsidR="00726C74" w:rsidRPr="00096B3A">
        <w:t xml:space="preserve"> of NO</w:t>
      </w:r>
      <w:r w:rsidR="00726C74" w:rsidRPr="00096B3A">
        <w:rPr>
          <w:vertAlign w:val="subscript"/>
        </w:rPr>
        <w:t>x</w:t>
      </w:r>
      <w:r w:rsidR="00726C74" w:rsidRPr="00096B3A">
        <w:t xml:space="preserve"> (nitrous oxide</w:t>
      </w:r>
      <w:r w:rsidR="006C1A9E">
        <w:t>)</w:t>
      </w:r>
      <w:r w:rsidR="004010E7">
        <w:t>, CO and water</w:t>
      </w:r>
      <w:r w:rsidR="004B55C2">
        <w:t xml:space="preserve"> </w:t>
      </w:r>
      <w:r w:rsidR="00726C74" w:rsidRPr="00096B3A">
        <w:t>emissions on asthmatics</w:t>
      </w:r>
      <w:r w:rsidR="006C1A9E">
        <w:t xml:space="preserve"> and </w:t>
      </w:r>
      <w:r w:rsidR="00864C7E">
        <w:t>other health conditions</w:t>
      </w:r>
      <w:r w:rsidRPr="00BB56FF">
        <w:t>.</w:t>
      </w:r>
      <w:r w:rsidRPr="00BB56FF">
        <w:rPr>
          <w:rStyle w:val="FootnoteReference"/>
        </w:rPr>
        <w:footnoteReference w:id="48"/>
      </w:r>
      <w:r w:rsidRPr="00BB56FF">
        <w:t xml:space="preserve"> The </w:t>
      </w:r>
      <w:r w:rsidR="00884A18">
        <w:t>restriction</w:t>
      </w:r>
      <w:r w:rsidRPr="00BB56FF">
        <w:t xml:space="preserve"> came into effect in 2009. New </w:t>
      </w:r>
      <w:r w:rsidR="006E601F">
        <w:t>LPG</w:t>
      </w:r>
      <w:r w:rsidR="00493F12">
        <w:t xml:space="preserve"> </w:t>
      </w:r>
      <w:r w:rsidR="00F908FC">
        <w:t>low emission</w:t>
      </w:r>
      <w:r w:rsidRPr="00BB56FF">
        <w:t xml:space="preserve"> flueless gas heaters are still permitted to be installed </w:t>
      </w:r>
      <w:r w:rsidR="00315110">
        <w:t xml:space="preserve">in residences </w:t>
      </w:r>
      <w:r w:rsidRPr="00BB56FF">
        <w:t xml:space="preserve">if they replace an existing </w:t>
      </w:r>
      <w:r w:rsidR="006E601F">
        <w:t xml:space="preserve">LPG </w:t>
      </w:r>
      <w:r w:rsidRPr="00BB56FF">
        <w:t xml:space="preserve">flueless gas heater installation and comply with </w:t>
      </w:r>
      <w:r w:rsidR="000461AB" w:rsidRPr="00C60102">
        <w:t xml:space="preserve">the </w:t>
      </w:r>
      <w:r w:rsidR="000461AB" w:rsidRPr="00096B3A">
        <w:t>regulations</w:t>
      </w:r>
      <w:r w:rsidRPr="00096B3A">
        <w:rPr>
          <w:rStyle w:val="FootnoteReference"/>
        </w:rPr>
        <w:footnoteReference w:id="49"/>
      </w:r>
      <w:r w:rsidR="000461AB" w:rsidRPr="00096B3A">
        <w:t xml:space="preserve"> and the Australian Standard AS/NZS5601.1.</w:t>
      </w:r>
      <w:r w:rsidRPr="00BB56FF">
        <w:t xml:space="preserve"> </w:t>
      </w:r>
      <w:r w:rsidR="00315110">
        <w:t xml:space="preserve">This form of heating is not permitted in </w:t>
      </w:r>
      <w:r w:rsidR="007D0D03">
        <w:t>hospitals, community health centres, day procedure centres, residential care services</w:t>
      </w:r>
      <w:r w:rsidR="000F4789">
        <w:t xml:space="preserve"> or supported residential services, schools, TAFE or university or children’s service (kindergarten, childcare)</w:t>
      </w:r>
      <w:r w:rsidR="001C2C2E">
        <w:t>.</w:t>
      </w:r>
    </w:p>
    <w:p w14:paraId="270AC357" w14:textId="71A53E68" w:rsidR="001B7171" w:rsidRPr="00410117" w:rsidRDefault="001B7171" w:rsidP="001B7171">
      <w:pPr>
        <w:rPr>
          <w:rFonts w:asciiTheme="majorHAnsi" w:hAnsiTheme="majorHAnsi" w:cs="Arial"/>
        </w:rPr>
      </w:pPr>
      <w:r w:rsidRPr="009F57E8">
        <w:lastRenderedPageBreak/>
        <w:t xml:space="preserve">Some states specify minimum room sizing and ventilation requirements or have restrictions on the types of rooms where a flueless gas heater can be installed. All installations must comply with the relevant Australian Standard. </w:t>
      </w:r>
    </w:p>
    <w:p w14:paraId="5EB61AB6" w14:textId="6B57FD25" w:rsidR="001B7171" w:rsidRPr="00FF5BFF" w:rsidRDefault="001B7171" w:rsidP="00FF5BFF">
      <w:pPr>
        <w:pStyle w:val="Heading3"/>
        <w:numPr>
          <w:ilvl w:val="1"/>
          <w:numId w:val="172"/>
        </w:numPr>
        <w:rPr>
          <w:color w:val="62B5E5" w:themeColor="accent3"/>
        </w:rPr>
      </w:pPr>
      <w:bookmarkStart w:id="150" w:name="_Ref56456062"/>
      <w:r w:rsidRPr="00FF5BFF">
        <w:rPr>
          <w:color w:val="62B5E5" w:themeColor="accent3"/>
        </w:rPr>
        <w:t>Actions already underway to address the risks</w:t>
      </w:r>
      <w:bookmarkEnd w:id="150"/>
    </w:p>
    <w:p w14:paraId="0B2B8ED0" w14:textId="70EB529C" w:rsidR="001B7171" w:rsidRDefault="001B7171" w:rsidP="001B7171">
      <w:r w:rsidRPr="001D0E48">
        <w:t>In addition to implementing the</w:t>
      </w:r>
      <w:r w:rsidRPr="00C011AF">
        <w:t xml:space="preserve"> recommendations made during the 2018 </w:t>
      </w:r>
      <w:r w:rsidR="002A098B">
        <w:t>C</w:t>
      </w:r>
      <w:r w:rsidRPr="00C011AF">
        <w:t xml:space="preserve">oronial </w:t>
      </w:r>
      <w:r w:rsidR="002A098B">
        <w:t>I</w:t>
      </w:r>
      <w:r w:rsidRPr="00C011AF">
        <w:t>nquest, the Victorian Government is taking the following actions to respond to the risks of CO poisoning from OFGSHs.</w:t>
      </w:r>
    </w:p>
    <w:p w14:paraId="5B2402FA" w14:textId="5481417E" w:rsidR="00C86820" w:rsidRPr="00C011AF" w:rsidRDefault="00C86820" w:rsidP="00C86820">
      <w:pPr>
        <w:pStyle w:val="Heading3"/>
      </w:pPr>
      <w:r>
        <w:t>Removal of OFGSHs</w:t>
      </w:r>
    </w:p>
    <w:p w14:paraId="0B90AEE1" w14:textId="566B071F" w:rsidR="00C86820" w:rsidRPr="00C011AF" w:rsidRDefault="00C86820" w:rsidP="001B7171">
      <w:r>
        <w:t>In November 2020</w:t>
      </w:r>
      <w:r>
        <w:rPr>
          <w:rFonts w:eastAsia="Times New Roman"/>
        </w:rPr>
        <w:t xml:space="preserve"> the Victorian Government announced its intention to </w:t>
      </w:r>
      <w:r>
        <w:rPr>
          <w:rFonts w:asciiTheme="minorHAnsi" w:hAnsiTheme="minorHAnsi" w:cs="Segoe UI Light"/>
        </w:rPr>
        <w:t xml:space="preserve">spend $335 million to replace inefficient heaters in Victoria (including OFGSHs). Although final details of the program are yet to be announced, this is </w:t>
      </w:r>
      <w:r w:rsidR="00BC0DBA">
        <w:rPr>
          <w:rFonts w:asciiTheme="minorHAnsi" w:hAnsiTheme="minorHAnsi" w:cs="Segoe UI Light"/>
        </w:rPr>
        <w:t>anticipated</w:t>
      </w:r>
      <w:r>
        <w:rPr>
          <w:rFonts w:asciiTheme="minorHAnsi" w:hAnsiTheme="minorHAnsi" w:cs="Segoe UI Light"/>
        </w:rPr>
        <w:t xml:space="preserve"> to result in approximately</w:t>
      </w:r>
      <w:r w:rsidRPr="007A6E6C">
        <w:rPr>
          <w:rFonts w:asciiTheme="minorHAnsi" w:hAnsiTheme="minorHAnsi" w:cs="Segoe UI Light"/>
        </w:rPr>
        <w:t xml:space="preserve"> 100,000 </w:t>
      </w:r>
      <w:r>
        <w:rPr>
          <w:rFonts w:asciiTheme="minorHAnsi" w:hAnsiTheme="minorHAnsi" w:cs="Segoe UI Light"/>
        </w:rPr>
        <w:t xml:space="preserve">of Victoria’s estimated 287,000 </w:t>
      </w:r>
      <w:r w:rsidRPr="007A6E6C">
        <w:rPr>
          <w:rFonts w:asciiTheme="minorHAnsi" w:hAnsiTheme="minorHAnsi" w:cs="Segoe UI Light"/>
        </w:rPr>
        <w:t>OFGSHs being removed</w:t>
      </w:r>
      <w:r>
        <w:rPr>
          <w:rFonts w:asciiTheme="minorHAnsi" w:hAnsiTheme="minorHAnsi" w:cs="Segoe UI Light"/>
        </w:rPr>
        <w:t xml:space="preserve"> and will substantially reduce the risk of harms to health and safety from the existing stock of OFGSHs.</w:t>
      </w:r>
    </w:p>
    <w:p w14:paraId="21127B1C" w14:textId="77777777" w:rsidR="001B7171" w:rsidRPr="00C011AF" w:rsidRDefault="001B7171" w:rsidP="00FB5506">
      <w:pPr>
        <w:pStyle w:val="Heading3"/>
      </w:pPr>
      <w:r w:rsidRPr="00C011AF">
        <w:t>Public education</w:t>
      </w:r>
    </w:p>
    <w:p w14:paraId="72B37437" w14:textId="62FD2526" w:rsidR="00CC5FBA" w:rsidRPr="00C011AF" w:rsidRDefault="00CC5FBA" w:rsidP="00CC5FBA">
      <w:pPr>
        <w:spacing w:after="240"/>
      </w:pPr>
      <w:r w:rsidRPr="00C011AF">
        <w:t xml:space="preserve">ESV has run a carbon monoxide campaign every year since 2011 after the deaths of Chase and Tyler Robinson </w:t>
      </w:r>
      <w:r w:rsidR="00493F12">
        <w:t xml:space="preserve">in </w:t>
      </w:r>
      <w:r w:rsidRPr="00C011AF">
        <w:t xml:space="preserve">2010. </w:t>
      </w:r>
    </w:p>
    <w:p w14:paraId="5D09A7D4" w14:textId="735F9095" w:rsidR="001B7171" w:rsidRPr="00C011AF" w:rsidRDefault="001B7171" w:rsidP="001B7171">
      <w:pPr>
        <w:spacing w:after="240"/>
      </w:pPr>
      <w:r w:rsidRPr="00C011AF">
        <w:t>ESV</w:t>
      </w:r>
      <w:r w:rsidR="002043D6" w:rsidRPr="00C011AF">
        <w:t>’s most recent campaigns include:</w:t>
      </w:r>
    </w:p>
    <w:p w14:paraId="567854DE" w14:textId="1A775691" w:rsidR="001B7171" w:rsidRPr="00387E9A" w:rsidRDefault="001B7171" w:rsidP="00E74AA1">
      <w:pPr>
        <w:pStyle w:val="ListParagraph"/>
        <w:numPr>
          <w:ilvl w:val="0"/>
          <w:numId w:val="51"/>
        </w:numPr>
        <w:rPr>
          <w:rFonts w:eastAsia="Times New Roman"/>
        </w:rPr>
      </w:pPr>
      <w:r w:rsidRPr="00C011AF">
        <w:rPr>
          <w:rFonts w:eastAsia="Times New Roman"/>
        </w:rPr>
        <w:t xml:space="preserve">The ‘Be Sure’ campaign </w:t>
      </w:r>
      <w:r w:rsidRPr="00096B3A">
        <w:rPr>
          <w:rFonts w:eastAsia="Times New Roman"/>
        </w:rPr>
        <w:t>(2019</w:t>
      </w:r>
      <w:r w:rsidR="00FB5506" w:rsidRPr="00096B3A">
        <w:rPr>
          <w:rFonts w:eastAsia="Times New Roman"/>
        </w:rPr>
        <w:t xml:space="preserve"> to </w:t>
      </w:r>
      <w:r w:rsidR="00CE03C7" w:rsidRPr="00096B3A">
        <w:rPr>
          <w:rFonts w:eastAsia="Times New Roman"/>
        </w:rPr>
        <w:t>current</w:t>
      </w:r>
      <w:r w:rsidRPr="00096B3A">
        <w:rPr>
          <w:rFonts w:eastAsia="Times New Roman"/>
        </w:rPr>
        <w:t>),</w:t>
      </w:r>
      <w:r w:rsidRPr="00BB56FF">
        <w:rPr>
          <w:rFonts w:eastAsia="Times New Roman"/>
        </w:rPr>
        <w:t xml:space="preserve"> which urged Victorians to have their </w:t>
      </w:r>
      <w:r w:rsidR="00186559" w:rsidRPr="00C60102">
        <w:rPr>
          <w:rFonts w:eastAsia="Times New Roman"/>
        </w:rPr>
        <w:t xml:space="preserve">gas </w:t>
      </w:r>
      <w:r w:rsidRPr="009F57E8">
        <w:rPr>
          <w:rFonts w:eastAsia="Times New Roman"/>
        </w:rPr>
        <w:t xml:space="preserve">heaters serviced and understand how to manage the risks associated with </w:t>
      </w:r>
      <w:r w:rsidR="00030A27" w:rsidRPr="00410117">
        <w:rPr>
          <w:rFonts w:eastAsia="Times New Roman"/>
        </w:rPr>
        <w:t>their</w:t>
      </w:r>
      <w:r w:rsidRPr="00410117">
        <w:rPr>
          <w:rFonts w:eastAsia="Times New Roman"/>
        </w:rPr>
        <w:t xml:space="preserve"> use</w:t>
      </w:r>
    </w:p>
    <w:p w14:paraId="615CB538" w14:textId="52A510B0" w:rsidR="001B7171" w:rsidRPr="009F57E8" w:rsidRDefault="001B7171" w:rsidP="00E74AA1">
      <w:pPr>
        <w:pStyle w:val="ListParagraph"/>
        <w:numPr>
          <w:ilvl w:val="0"/>
          <w:numId w:val="51"/>
        </w:numPr>
        <w:rPr>
          <w:rFonts w:eastAsia="Times New Roman"/>
        </w:rPr>
      </w:pPr>
      <w:r w:rsidRPr="00FD4E71">
        <w:rPr>
          <w:rFonts w:eastAsia="Times New Roman"/>
        </w:rPr>
        <w:t xml:space="preserve">The ‘Cold Feet’ campaign </w:t>
      </w:r>
      <w:r w:rsidRPr="00096B3A">
        <w:rPr>
          <w:rFonts w:eastAsia="Times New Roman"/>
        </w:rPr>
        <w:t>(2015</w:t>
      </w:r>
      <w:r w:rsidR="00FB5506" w:rsidRPr="00096B3A">
        <w:rPr>
          <w:rFonts w:eastAsia="Times New Roman"/>
        </w:rPr>
        <w:t xml:space="preserve"> to </w:t>
      </w:r>
      <w:r w:rsidR="00CE03C7" w:rsidRPr="00096B3A">
        <w:rPr>
          <w:rFonts w:eastAsia="Times New Roman"/>
        </w:rPr>
        <w:t>2018</w:t>
      </w:r>
      <w:r w:rsidRPr="00096B3A">
        <w:rPr>
          <w:rFonts w:eastAsia="Times New Roman"/>
        </w:rPr>
        <w:t>),</w:t>
      </w:r>
      <w:r w:rsidRPr="00BB56FF">
        <w:rPr>
          <w:rFonts w:eastAsia="Times New Roman"/>
        </w:rPr>
        <w:t xml:space="preserve"> which focused on informing the public that CO poisoning can happen in any home or building</w:t>
      </w:r>
      <w:r w:rsidRPr="00C60102">
        <w:rPr>
          <w:rFonts w:eastAsia="Times New Roman"/>
        </w:rPr>
        <w:t xml:space="preserve"> with gas heating appliances, as well as urging consumers to service their gas heaters at least every two years</w:t>
      </w:r>
      <w:r w:rsidR="001A3250">
        <w:rPr>
          <w:rFonts w:eastAsia="Times New Roman"/>
        </w:rPr>
        <w:t>.</w:t>
      </w:r>
    </w:p>
    <w:p w14:paraId="667A356C" w14:textId="24870A6F" w:rsidR="009B1E23" w:rsidRPr="00FD4E71" w:rsidRDefault="009B1E23" w:rsidP="00FB5506">
      <w:pPr>
        <w:rPr>
          <w:rFonts w:eastAsia="Times New Roman"/>
        </w:rPr>
      </w:pPr>
      <w:r w:rsidRPr="00410117">
        <w:rPr>
          <w:rFonts w:eastAsia="Times New Roman"/>
        </w:rPr>
        <w:t>The campaigns have traditionally been aimed at a general cohort – Victorians with gas appliances, particularly gas heating</w:t>
      </w:r>
      <w:r w:rsidR="00493F12">
        <w:rPr>
          <w:rFonts w:eastAsia="Times New Roman"/>
        </w:rPr>
        <w:t xml:space="preserve"> – and not just owners of OFGSHs</w:t>
      </w:r>
      <w:r w:rsidRPr="00410117">
        <w:rPr>
          <w:rFonts w:eastAsia="Times New Roman"/>
        </w:rPr>
        <w:t xml:space="preserve">. In the most recent campaign, particular attention was paid to renters and rental providers after it was identified </w:t>
      </w:r>
      <w:r w:rsidR="00493F12">
        <w:rPr>
          <w:rFonts w:eastAsia="Times New Roman"/>
        </w:rPr>
        <w:t>many</w:t>
      </w:r>
      <w:r w:rsidRPr="00410117">
        <w:rPr>
          <w:rFonts w:eastAsia="Times New Roman"/>
        </w:rPr>
        <w:t xml:space="preserve"> renters don’t know their rights and rental providers don’t know their responsibilities. The campaigns have always had a strong focus on engaging cu</w:t>
      </w:r>
      <w:r w:rsidRPr="00387E9A">
        <w:rPr>
          <w:rFonts w:eastAsia="Times New Roman"/>
        </w:rPr>
        <w:t>lturally and linguistically diverse people. The 2019 campaign was broadcast through a variety of advertising channels, including social media, radio, sign boards, TV and in retail outlets.</w:t>
      </w:r>
    </w:p>
    <w:p w14:paraId="05800015" w14:textId="32985656" w:rsidR="001B7171" w:rsidRPr="00C60102" w:rsidRDefault="001B7171" w:rsidP="001B7171">
      <w:pPr>
        <w:pStyle w:val="Caption"/>
      </w:pPr>
      <w:bookmarkStart w:id="151" w:name="_Ref23167148"/>
      <w:r w:rsidRPr="00C011AF">
        <w:t xml:space="preserve">Figure </w:t>
      </w:r>
      <w:r w:rsidR="00E754EB">
        <w:t>1</w:t>
      </w:r>
      <w:r w:rsidR="0063109D" w:rsidRPr="00BB56FF">
        <w:noBreakHyphen/>
      </w:r>
      <w:r w:rsidR="0063109D" w:rsidRPr="00C60102">
        <w:fldChar w:fldCharType="begin"/>
      </w:r>
      <w:r w:rsidR="0063109D" w:rsidRPr="00C011AF">
        <w:instrText xml:space="preserve"> SEQ Figure \* ARABIC \s 1 </w:instrText>
      </w:r>
      <w:r w:rsidR="0063109D" w:rsidRPr="00C60102">
        <w:fldChar w:fldCharType="separate"/>
      </w:r>
      <w:r w:rsidR="00CD0679">
        <w:rPr>
          <w:noProof/>
        </w:rPr>
        <w:t>1</w:t>
      </w:r>
      <w:r w:rsidR="0063109D" w:rsidRPr="00C60102">
        <w:fldChar w:fldCharType="end"/>
      </w:r>
      <w:bookmarkEnd w:id="151"/>
      <w:r w:rsidRPr="00BB56FF">
        <w:t xml:space="preserve"> Actions taken as a result of seeing or hearing information about CO poisoning</w:t>
      </w:r>
    </w:p>
    <w:p w14:paraId="1A8FE672" w14:textId="77777777" w:rsidR="001B7171" w:rsidRPr="00BB56FF" w:rsidRDefault="001B7171" w:rsidP="00FB5506">
      <w:pPr>
        <w:jc w:val="center"/>
      </w:pPr>
      <w:r w:rsidRPr="00C011AF">
        <w:rPr>
          <w:noProof/>
          <w:lang w:eastAsia="en-AU"/>
        </w:rPr>
        <w:drawing>
          <wp:inline distT="0" distB="0" distL="0" distR="0" wp14:anchorId="1E3466F3" wp14:editId="7FD3A7DB">
            <wp:extent cx="4403730" cy="2933396"/>
            <wp:effectExtent l="0" t="0" r="0" b="0"/>
            <wp:docPr id="40" name="Picture 40" descr="Figure 1-1 Actions taken as a result of seeing or hearing information about CO pois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a:extLst>
                        <a:ext uri="{28A0092B-C50C-407E-A947-70E740481C1C}">
                          <a14:useLocalDpi xmlns:a14="http://schemas.microsoft.com/office/drawing/2010/main" val="0"/>
                        </a:ext>
                      </a:extLst>
                    </a:blip>
                    <a:srcRect t="4460"/>
                    <a:stretch/>
                  </pic:blipFill>
                  <pic:spPr bwMode="auto">
                    <a:xfrm>
                      <a:off x="0" y="0"/>
                      <a:ext cx="4429981" cy="2950882"/>
                    </a:xfrm>
                    <a:prstGeom prst="rect">
                      <a:avLst/>
                    </a:prstGeom>
                    <a:noFill/>
                    <a:ln>
                      <a:noFill/>
                    </a:ln>
                    <a:extLst>
                      <a:ext uri="{53640926-AAD7-44D8-BBD7-CCE9431645EC}">
                        <a14:shadowObscured xmlns:a14="http://schemas.microsoft.com/office/drawing/2010/main"/>
                      </a:ext>
                    </a:extLst>
                  </pic:spPr>
                </pic:pic>
              </a:graphicData>
            </a:graphic>
          </wp:inline>
        </w:drawing>
      </w:r>
    </w:p>
    <w:p w14:paraId="1D885B76" w14:textId="77777777" w:rsidR="001B7171" w:rsidRPr="00410117" w:rsidRDefault="001B7171" w:rsidP="00FB5506">
      <w:pPr>
        <w:pStyle w:val="Source"/>
      </w:pPr>
      <w:r w:rsidRPr="00C60102">
        <w:t xml:space="preserve">Source: Quantum Market Research. (2018, July). </w:t>
      </w:r>
      <w:r w:rsidRPr="009F57E8">
        <w:rPr>
          <w:i/>
        </w:rPr>
        <w:t>Energy Safe Victoria Gas Heaters Research.</w:t>
      </w:r>
    </w:p>
    <w:p w14:paraId="3CEA5538" w14:textId="77777777" w:rsidR="001B7171" w:rsidRPr="00387E9A" w:rsidRDefault="001B7171" w:rsidP="00FB5506">
      <w:pPr>
        <w:pStyle w:val="Heading3"/>
      </w:pPr>
      <w:r w:rsidRPr="00410117">
        <w:lastRenderedPageBreak/>
        <w:t>Testing and safety alerts</w:t>
      </w:r>
    </w:p>
    <w:p w14:paraId="07B9C761" w14:textId="5C6B0796" w:rsidR="001B7171" w:rsidRPr="00C011AF" w:rsidRDefault="001B7171" w:rsidP="00CC4A0B">
      <w:pPr>
        <w:pStyle w:val="BodyTextManual"/>
        <w:spacing w:before="60" w:after="120"/>
        <w:jc w:val="both"/>
        <w:rPr>
          <w:rFonts w:asciiTheme="minorHAnsi" w:hAnsiTheme="minorHAnsi"/>
        </w:rPr>
      </w:pPr>
      <w:r w:rsidRPr="00FD4E71">
        <w:rPr>
          <w:rFonts w:asciiTheme="minorHAnsi" w:hAnsiTheme="minorHAnsi"/>
          <w:sz w:val="18"/>
          <w:szCs w:val="18"/>
        </w:rPr>
        <w:t>ESV</w:t>
      </w:r>
      <w:r w:rsidR="001A2E39">
        <w:rPr>
          <w:rFonts w:asciiTheme="minorHAnsi" w:hAnsiTheme="minorHAnsi"/>
          <w:sz w:val="18"/>
          <w:szCs w:val="18"/>
          <w:lang w:val="en-AU"/>
        </w:rPr>
        <w:t>,</w:t>
      </w:r>
      <w:r w:rsidRPr="00FD4E71">
        <w:rPr>
          <w:rFonts w:asciiTheme="minorHAnsi" w:hAnsiTheme="minorHAnsi"/>
          <w:sz w:val="18"/>
          <w:szCs w:val="18"/>
        </w:rPr>
        <w:t xml:space="preserve"> as the independent regulator</w:t>
      </w:r>
      <w:r w:rsidR="001A2E39">
        <w:rPr>
          <w:rFonts w:asciiTheme="minorHAnsi" w:hAnsiTheme="minorHAnsi"/>
          <w:sz w:val="18"/>
          <w:szCs w:val="18"/>
          <w:lang w:val="en-AU"/>
        </w:rPr>
        <w:t>,</w:t>
      </w:r>
      <w:r w:rsidRPr="00FD4E71">
        <w:rPr>
          <w:rFonts w:asciiTheme="minorHAnsi" w:hAnsiTheme="minorHAnsi"/>
          <w:sz w:val="18"/>
          <w:szCs w:val="18"/>
        </w:rPr>
        <w:t xml:space="preserve"> is responsible for decisions concerning heater recalls under the </w:t>
      </w:r>
      <w:r w:rsidR="00930706" w:rsidRPr="000276F0">
        <w:rPr>
          <w:rFonts w:asciiTheme="minorHAnsi" w:hAnsiTheme="minorHAnsi"/>
          <w:iCs/>
          <w:sz w:val="18"/>
          <w:szCs w:val="18"/>
          <w:lang w:val="en-AU"/>
        </w:rPr>
        <w:t>GS Act</w:t>
      </w:r>
      <w:r w:rsidRPr="00F31FBC">
        <w:rPr>
          <w:rFonts w:asciiTheme="minorHAnsi" w:hAnsiTheme="minorHAnsi"/>
          <w:sz w:val="18"/>
          <w:szCs w:val="18"/>
        </w:rPr>
        <w:t>. In response to the in</w:t>
      </w:r>
      <w:r w:rsidRPr="001D0E48">
        <w:rPr>
          <w:rFonts w:asciiTheme="minorHAnsi" w:hAnsiTheme="minorHAnsi"/>
          <w:sz w:val="18"/>
          <w:szCs w:val="18"/>
        </w:rPr>
        <w:t>volvement of a</w:t>
      </w:r>
      <w:r w:rsidR="00A33791" w:rsidRPr="00C011AF">
        <w:rPr>
          <w:rFonts w:asciiTheme="minorHAnsi" w:hAnsiTheme="minorHAnsi"/>
          <w:sz w:val="18"/>
          <w:szCs w:val="18"/>
          <w:lang w:val="en-AU"/>
        </w:rPr>
        <w:t xml:space="preserve"> Vulcan/Pyrox Heritage</w:t>
      </w:r>
      <w:r w:rsidR="00A33791" w:rsidRPr="00C011AF" w:rsidDel="00A33791">
        <w:rPr>
          <w:rFonts w:asciiTheme="minorHAnsi" w:hAnsiTheme="minorHAnsi"/>
          <w:sz w:val="18"/>
          <w:szCs w:val="18"/>
          <w:lang w:val="en-AU"/>
        </w:rPr>
        <w:t xml:space="preserve"> </w:t>
      </w:r>
      <w:r w:rsidR="000932DA">
        <w:rPr>
          <w:rFonts w:asciiTheme="minorHAnsi" w:hAnsiTheme="minorHAnsi"/>
          <w:sz w:val="18"/>
          <w:szCs w:val="18"/>
          <w:lang w:val="en-AU"/>
        </w:rPr>
        <w:t xml:space="preserve">OFGSH </w:t>
      </w:r>
      <w:r w:rsidRPr="00C011AF">
        <w:rPr>
          <w:rFonts w:asciiTheme="minorHAnsi" w:hAnsiTheme="minorHAnsi"/>
          <w:sz w:val="18"/>
          <w:szCs w:val="18"/>
        </w:rPr>
        <w:t xml:space="preserve">in the CO poisoning and death of Ms Sofianopoulos in 2017, ESV required all </w:t>
      </w:r>
      <w:r w:rsidR="000932DA">
        <w:rPr>
          <w:rFonts w:asciiTheme="minorHAnsi" w:hAnsiTheme="minorHAnsi"/>
          <w:sz w:val="18"/>
          <w:szCs w:val="18"/>
          <w:lang w:val="en-AU"/>
        </w:rPr>
        <w:t xml:space="preserve">OFGSH </w:t>
      </w:r>
      <w:r w:rsidRPr="00C011AF">
        <w:rPr>
          <w:rFonts w:asciiTheme="minorHAnsi" w:hAnsiTheme="minorHAnsi"/>
          <w:sz w:val="18"/>
          <w:szCs w:val="18"/>
        </w:rPr>
        <w:t>models to be check tested, commencing in April 2018. All testing was completed by early December 2018.</w:t>
      </w:r>
      <w:bookmarkStart w:id="152" w:name="_Hlk20992988"/>
      <w:r w:rsidR="001F0EE3" w:rsidRPr="00C011AF">
        <w:rPr>
          <w:rFonts w:asciiTheme="minorHAnsi" w:hAnsiTheme="minorHAnsi"/>
          <w:sz w:val="18"/>
          <w:szCs w:val="18"/>
          <w:lang w:val="en-AU"/>
        </w:rPr>
        <w:t xml:space="preserve"> </w:t>
      </w:r>
      <w:r w:rsidRPr="00C011AF">
        <w:rPr>
          <w:rFonts w:asciiTheme="minorHAnsi" w:hAnsiTheme="minorHAnsi"/>
          <w:sz w:val="18"/>
          <w:szCs w:val="18"/>
        </w:rPr>
        <w:t xml:space="preserve">In April 2018, ESV triggered standards and safety testing of all </w:t>
      </w:r>
      <w:r w:rsidR="000932DA">
        <w:rPr>
          <w:rFonts w:asciiTheme="minorHAnsi" w:hAnsiTheme="minorHAnsi"/>
          <w:sz w:val="18"/>
          <w:szCs w:val="18"/>
          <w:lang w:val="en-AU"/>
        </w:rPr>
        <w:t xml:space="preserve">OFGSH </w:t>
      </w:r>
      <w:r w:rsidRPr="00C011AF">
        <w:rPr>
          <w:rFonts w:asciiTheme="minorHAnsi" w:hAnsiTheme="minorHAnsi"/>
          <w:sz w:val="18"/>
          <w:szCs w:val="18"/>
        </w:rPr>
        <w:t xml:space="preserve">models on the </w:t>
      </w:r>
      <w:r w:rsidR="00302FA2" w:rsidRPr="00C011AF">
        <w:rPr>
          <w:rFonts w:asciiTheme="minorHAnsi" w:hAnsiTheme="minorHAnsi"/>
          <w:sz w:val="18"/>
          <w:szCs w:val="18"/>
          <w:lang w:val="en-AU"/>
        </w:rPr>
        <w:t>Victorian</w:t>
      </w:r>
      <w:r w:rsidR="00302FA2" w:rsidRPr="00C011AF">
        <w:rPr>
          <w:rFonts w:asciiTheme="minorHAnsi" w:hAnsiTheme="minorHAnsi"/>
          <w:sz w:val="18"/>
          <w:szCs w:val="18"/>
        </w:rPr>
        <w:t xml:space="preserve"> </w:t>
      </w:r>
      <w:r w:rsidRPr="00C011AF">
        <w:rPr>
          <w:rFonts w:asciiTheme="minorHAnsi" w:hAnsiTheme="minorHAnsi"/>
          <w:sz w:val="18"/>
          <w:szCs w:val="18"/>
        </w:rPr>
        <w:t xml:space="preserve">market in response to the death of Ms Sofianopoulos. </w:t>
      </w:r>
    </w:p>
    <w:p w14:paraId="55C2D2EE" w14:textId="77777777" w:rsidR="006210E4" w:rsidRPr="00C011AF" w:rsidRDefault="001B7171" w:rsidP="00FB5506">
      <w:pPr>
        <w:spacing w:after="120"/>
        <w:jc w:val="both"/>
        <w:rPr>
          <w:rFonts w:asciiTheme="minorHAnsi" w:hAnsiTheme="minorHAnsi"/>
        </w:rPr>
      </w:pPr>
      <w:r w:rsidRPr="00C011AF">
        <w:rPr>
          <w:rFonts w:asciiTheme="minorHAnsi" w:hAnsiTheme="minorHAnsi" w:cs="Arial"/>
        </w:rPr>
        <w:t xml:space="preserve">Testing resulted in eight open flued gas space heater certificates being suspended in addition to the Vulcan/Pyrox Heritage, which was already suspended. A further eight certificates were retained and unaffected. </w:t>
      </w:r>
    </w:p>
    <w:p w14:paraId="0E4815A8" w14:textId="08B1B5EB" w:rsidR="00FB7CEE" w:rsidRPr="00C60102" w:rsidRDefault="006210E4" w:rsidP="00FB7CEE">
      <w:pPr>
        <w:pStyle w:val="BodyText"/>
        <w:rPr>
          <w:rFonts w:asciiTheme="minorHAnsi" w:hAnsiTheme="minorHAnsi"/>
        </w:rPr>
      </w:pPr>
      <w:r w:rsidRPr="00C011AF">
        <w:rPr>
          <w:rFonts w:asciiTheme="minorHAnsi" w:hAnsiTheme="minorHAnsi"/>
          <w:color w:val="000000" w:themeColor="text1"/>
        </w:rPr>
        <w:t xml:space="preserve">Of the eight </w:t>
      </w:r>
      <w:r w:rsidR="008E39FA" w:rsidRPr="00C011AF">
        <w:rPr>
          <w:rFonts w:asciiTheme="minorHAnsi" w:hAnsiTheme="minorHAnsi"/>
          <w:color w:val="000000" w:themeColor="text1"/>
        </w:rPr>
        <w:t>suspended certifications, f</w:t>
      </w:r>
      <w:r w:rsidRPr="00C011AF">
        <w:rPr>
          <w:rFonts w:asciiTheme="minorHAnsi" w:hAnsiTheme="minorHAnsi"/>
          <w:color w:val="000000" w:themeColor="text1"/>
        </w:rPr>
        <w:t xml:space="preserve">our </w:t>
      </w:r>
      <w:r w:rsidR="000932DA">
        <w:rPr>
          <w:rFonts w:asciiTheme="minorHAnsi" w:hAnsiTheme="minorHAnsi"/>
          <w:color w:val="000000" w:themeColor="text1"/>
        </w:rPr>
        <w:t xml:space="preserve">OFGSH </w:t>
      </w:r>
      <w:r w:rsidRPr="00C011AF">
        <w:rPr>
          <w:rFonts w:asciiTheme="minorHAnsi" w:hAnsiTheme="minorHAnsi"/>
          <w:color w:val="000000" w:themeColor="text1"/>
        </w:rPr>
        <w:t xml:space="preserve">models were found to have safety risks </w:t>
      </w:r>
      <w:r w:rsidR="00835795" w:rsidRPr="00C011AF">
        <w:rPr>
          <w:rFonts w:asciiTheme="minorHAnsi" w:hAnsiTheme="minorHAnsi"/>
          <w:color w:val="000000" w:themeColor="text1"/>
        </w:rPr>
        <w:t xml:space="preserve">and were further tested. ESV issued </w:t>
      </w:r>
      <w:r w:rsidR="007A68CA" w:rsidRPr="00C011AF">
        <w:rPr>
          <w:rFonts w:asciiTheme="minorHAnsi" w:hAnsiTheme="minorHAnsi"/>
          <w:color w:val="000000" w:themeColor="text1"/>
        </w:rPr>
        <w:t xml:space="preserve">safety alerts regarding these heaters </w:t>
      </w:r>
      <w:r w:rsidRPr="00C011AF">
        <w:rPr>
          <w:rFonts w:asciiTheme="minorHAnsi" w:hAnsiTheme="minorHAnsi"/>
          <w:color w:val="000000" w:themeColor="text1"/>
        </w:rPr>
        <w:t>and manufacturers</w:t>
      </w:r>
      <w:r w:rsidR="007A68CA" w:rsidRPr="00C011AF">
        <w:rPr>
          <w:rFonts w:asciiTheme="minorHAnsi" w:hAnsiTheme="minorHAnsi"/>
          <w:color w:val="000000" w:themeColor="text1"/>
        </w:rPr>
        <w:t xml:space="preserve"> are now required</w:t>
      </w:r>
      <w:r w:rsidRPr="00C011AF">
        <w:rPr>
          <w:rFonts w:asciiTheme="minorHAnsi" w:hAnsiTheme="minorHAnsi"/>
          <w:color w:val="000000" w:themeColor="text1"/>
        </w:rPr>
        <w:t xml:space="preserve"> to rectify </w:t>
      </w:r>
      <w:r w:rsidR="007A68CA" w:rsidRPr="00C011AF">
        <w:rPr>
          <w:rFonts w:asciiTheme="minorHAnsi" w:hAnsiTheme="minorHAnsi"/>
          <w:color w:val="000000" w:themeColor="text1"/>
        </w:rPr>
        <w:t xml:space="preserve">affected </w:t>
      </w:r>
      <w:r w:rsidRPr="00C011AF">
        <w:rPr>
          <w:rFonts w:asciiTheme="minorHAnsi" w:hAnsiTheme="minorHAnsi"/>
          <w:color w:val="000000" w:themeColor="text1"/>
        </w:rPr>
        <w:t xml:space="preserve">heaters installed in Victoria. </w:t>
      </w:r>
      <w:r w:rsidR="00FB7CEE" w:rsidRPr="00C011AF">
        <w:rPr>
          <w:rFonts w:asciiTheme="minorHAnsi" w:hAnsiTheme="minorHAnsi"/>
        </w:rPr>
        <w:t>These safety alerts urge people with these appliances installed in their homes to contact the supplier and have their heater checked by a qualified gasfitter immediately.</w:t>
      </w:r>
      <w:r w:rsidR="00FB5506" w:rsidRPr="00BB56FF">
        <w:rPr>
          <w:rStyle w:val="FootnoteReference"/>
          <w:rFonts w:asciiTheme="minorHAnsi" w:hAnsiTheme="minorHAnsi"/>
        </w:rPr>
        <w:footnoteReference w:id="50"/>
      </w:r>
      <w:r w:rsidR="00FB7CEE" w:rsidRPr="00BB56FF">
        <w:rPr>
          <w:rFonts w:asciiTheme="minorHAnsi" w:hAnsiTheme="minorHAnsi"/>
        </w:rPr>
        <w:t xml:space="preserve"> </w:t>
      </w:r>
    </w:p>
    <w:p w14:paraId="4D19663D" w14:textId="77777777" w:rsidR="006210E4" w:rsidRPr="00410117" w:rsidRDefault="006210E4" w:rsidP="006210E4">
      <w:pPr>
        <w:pStyle w:val="BodyText"/>
        <w:spacing w:after="120"/>
        <w:rPr>
          <w:rFonts w:asciiTheme="minorHAnsi" w:hAnsiTheme="minorHAnsi"/>
        </w:rPr>
      </w:pPr>
      <w:r w:rsidRPr="009F57E8">
        <w:rPr>
          <w:rFonts w:asciiTheme="minorHAnsi" w:hAnsiTheme="minorHAnsi"/>
        </w:rPr>
        <w:t xml:space="preserve">ESV currently has safety alerts released for the following gas heaters: </w:t>
      </w:r>
    </w:p>
    <w:p w14:paraId="627410CB" w14:textId="77777777" w:rsidR="006210E4" w:rsidRPr="00387E9A" w:rsidRDefault="006210E4" w:rsidP="006210E4">
      <w:pPr>
        <w:pStyle w:val="ListParagraph"/>
        <w:numPr>
          <w:ilvl w:val="0"/>
          <w:numId w:val="51"/>
        </w:numPr>
        <w:rPr>
          <w:rFonts w:eastAsia="Times New Roman"/>
        </w:rPr>
      </w:pPr>
      <w:r w:rsidRPr="00410117">
        <w:rPr>
          <w:rFonts w:eastAsia="Times New Roman"/>
        </w:rPr>
        <w:t>Vulcan/Pyrox Heritage</w:t>
      </w:r>
    </w:p>
    <w:p w14:paraId="19B52566" w14:textId="77777777" w:rsidR="006210E4" w:rsidRPr="00AC12E6" w:rsidRDefault="006210E4" w:rsidP="006210E4">
      <w:pPr>
        <w:pStyle w:val="ListParagraph"/>
        <w:numPr>
          <w:ilvl w:val="0"/>
          <w:numId w:val="51"/>
        </w:numPr>
        <w:rPr>
          <w:rFonts w:eastAsia="Times New Roman"/>
        </w:rPr>
      </w:pPr>
      <w:r w:rsidRPr="00FD4E71">
        <w:rPr>
          <w:rFonts w:eastAsia="Times New Roman"/>
        </w:rPr>
        <w:t>Inbuilt Cannon Fitzroy/Canterbury heaters built between 20 March 2001 and 8 October 2009</w:t>
      </w:r>
    </w:p>
    <w:p w14:paraId="556871E0" w14:textId="38273A67" w:rsidR="006210E4" w:rsidRPr="00BB56FF" w:rsidRDefault="006210E4" w:rsidP="006210E4">
      <w:pPr>
        <w:pStyle w:val="ListParagraph"/>
        <w:numPr>
          <w:ilvl w:val="0"/>
          <w:numId w:val="51"/>
        </w:numPr>
        <w:rPr>
          <w:rFonts w:eastAsia="Times New Roman"/>
        </w:rPr>
      </w:pPr>
      <w:r w:rsidRPr="00F31FBC">
        <w:rPr>
          <w:rFonts w:eastAsia="Times New Roman"/>
        </w:rPr>
        <w:t xml:space="preserve">Regency i31 manufactured between 13 January 2010 and </w:t>
      </w:r>
      <w:r w:rsidR="007D5B19" w:rsidRPr="00096B3A">
        <w:rPr>
          <w:rFonts w:eastAsia="Times New Roman"/>
        </w:rPr>
        <w:t>8 May</w:t>
      </w:r>
      <w:r w:rsidRPr="00096B3A">
        <w:rPr>
          <w:rFonts w:eastAsia="Times New Roman"/>
        </w:rPr>
        <w:t xml:space="preserve"> 201</w:t>
      </w:r>
      <w:r w:rsidR="007D5B19" w:rsidRPr="00096B3A">
        <w:rPr>
          <w:rFonts w:eastAsia="Times New Roman"/>
        </w:rPr>
        <w:t>8</w:t>
      </w:r>
    </w:p>
    <w:p w14:paraId="22E58494" w14:textId="77777777" w:rsidR="006210E4" w:rsidRPr="009F57E8" w:rsidRDefault="006210E4" w:rsidP="006210E4">
      <w:pPr>
        <w:pStyle w:val="ListParagraph"/>
        <w:numPr>
          <w:ilvl w:val="0"/>
          <w:numId w:val="51"/>
        </w:numPr>
        <w:rPr>
          <w:rFonts w:eastAsia="Times New Roman"/>
        </w:rPr>
      </w:pPr>
      <w:r w:rsidRPr="00C60102">
        <w:rPr>
          <w:rFonts w:eastAsia="Times New Roman"/>
        </w:rPr>
        <w:t>Regency FG38 manufactured between 11 March 2004 and 23 April 2018, and F38 manufactured between 18 February 2003 and 20 April 2018</w:t>
      </w:r>
    </w:p>
    <w:p w14:paraId="5A1BF250" w14:textId="77777777" w:rsidR="006210E4" w:rsidRPr="00410117" w:rsidRDefault="006210E4" w:rsidP="006210E4">
      <w:pPr>
        <w:pStyle w:val="ListParagraph"/>
        <w:numPr>
          <w:ilvl w:val="0"/>
          <w:numId w:val="51"/>
        </w:numPr>
        <w:rPr>
          <w:rFonts w:eastAsia="Times New Roman"/>
        </w:rPr>
      </w:pPr>
      <w:r w:rsidRPr="00410117">
        <w:rPr>
          <w:rFonts w:eastAsia="Times New Roman"/>
        </w:rPr>
        <w:t>Nectre 2000 manufactured between 1 January 2007 and 26 June 2018</w:t>
      </w:r>
    </w:p>
    <w:p w14:paraId="7D2BCB03" w14:textId="53F84C7F" w:rsidR="006210E4" w:rsidRPr="00F31FBC" w:rsidRDefault="006210E4" w:rsidP="006210E4">
      <w:pPr>
        <w:pStyle w:val="ListParagraph"/>
        <w:numPr>
          <w:ilvl w:val="0"/>
          <w:numId w:val="51"/>
        </w:numPr>
        <w:rPr>
          <w:rFonts w:eastAsia="Times New Roman"/>
        </w:rPr>
      </w:pPr>
      <w:r w:rsidRPr="00387E9A">
        <w:rPr>
          <w:rFonts w:eastAsia="Times New Roman"/>
        </w:rPr>
        <w:t>Real Flame Pyrotech</w:t>
      </w:r>
      <w:r w:rsidRPr="00FD4E71">
        <w:rPr>
          <w:rFonts w:eastAsia="Times New Roman"/>
        </w:rPr>
        <w:t xml:space="preserve"> manufactured between 1 January 2012 and 5 July 2018</w:t>
      </w:r>
      <w:r w:rsidR="00742252" w:rsidRPr="00AC12E6">
        <w:rPr>
          <w:rFonts w:eastAsia="Times New Roman"/>
        </w:rPr>
        <w:t>.</w:t>
      </w:r>
    </w:p>
    <w:p w14:paraId="4D20F859" w14:textId="46FEDBF2" w:rsidR="00903531" w:rsidRPr="00C011AF" w:rsidRDefault="00CC14D1" w:rsidP="00903531">
      <w:pPr>
        <w:pStyle w:val="BodyTextManual"/>
        <w:spacing w:before="60" w:after="120"/>
        <w:jc w:val="both"/>
        <w:rPr>
          <w:rFonts w:asciiTheme="minorHAnsi" w:hAnsiTheme="minorHAnsi"/>
          <w:color w:val="000000" w:themeColor="text1"/>
          <w:sz w:val="18"/>
          <w:szCs w:val="18"/>
          <w:lang w:val="en-AU"/>
        </w:rPr>
      </w:pPr>
      <w:r w:rsidRPr="001D0E48">
        <w:rPr>
          <w:rFonts w:asciiTheme="minorHAnsi" w:hAnsiTheme="minorHAnsi"/>
          <w:color w:val="000000" w:themeColor="text1"/>
          <w:sz w:val="18"/>
          <w:szCs w:val="18"/>
          <w:lang w:val="en-AU"/>
        </w:rPr>
        <w:t>All eight suspended certifications were reinstated following modifications and found to be compliant through independent laboratory testing</w:t>
      </w:r>
      <w:r w:rsidRPr="00C011AF">
        <w:rPr>
          <w:rFonts w:asciiTheme="minorHAnsi" w:hAnsiTheme="minorHAnsi"/>
          <w:color w:val="000000" w:themeColor="text1"/>
          <w:sz w:val="18"/>
          <w:szCs w:val="18"/>
          <w:lang w:val="en-AU"/>
        </w:rPr>
        <w:t xml:space="preserve"> </w:t>
      </w:r>
      <w:r w:rsidR="00FB7CEE" w:rsidRPr="00C011AF">
        <w:rPr>
          <w:rFonts w:asciiTheme="minorHAnsi" w:hAnsiTheme="minorHAnsi"/>
          <w:color w:val="000000" w:themeColor="text1"/>
          <w:sz w:val="18"/>
          <w:szCs w:val="18"/>
          <w:lang w:val="en-AU"/>
        </w:rPr>
        <w:t>(therefore the safety alerts only affect heaters within a particular</w:t>
      </w:r>
      <w:r w:rsidR="00B02542" w:rsidRPr="00C011AF">
        <w:rPr>
          <w:rFonts w:asciiTheme="minorHAnsi" w:hAnsiTheme="minorHAnsi"/>
          <w:color w:val="000000" w:themeColor="text1"/>
          <w:sz w:val="18"/>
          <w:szCs w:val="18"/>
          <w:lang w:val="en-AU"/>
        </w:rPr>
        <w:t xml:space="preserve"> </w:t>
      </w:r>
      <w:r w:rsidR="00FB7CEE" w:rsidRPr="00C011AF">
        <w:rPr>
          <w:rFonts w:asciiTheme="minorHAnsi" w:hAnsiTheme="minorHAnsi"/>
          <w:color w:val="000000" w:themeColor="text1"/>
          <w:sz w:val="18"/>
          <w:szCs w:val="18"/>
          <w:lang w:val="en-AU"/>
        </w:rPr>
        <w:t>date range</w:t>
      </w:r>
      <w:r w:rsidR="00D34E42" w:rsidRPr="00C011AF">
        <w:rPr>
          <w:rFonts w:asciiTheme="minorHAnsi" w:hAnsiTheme="minorHAnsi"/>
          <w:color w:val="000000" w:themeColor="text1"/>
          <w:sz w:val="18"/>
          <w:szCs w:val="18"/>
          <w:lang w:val="en-AU"/>
        </w:rPr>
        <w:t>, before these modifications were made to the designs</w:t>
      </w:r>
      <w:r w:rsidR="00FB7CEE" w:rsidRPr="00C011AF">
        <w:rPr>
          <w:rFonts w:asciiTheme="minorHAnsi" w:hAnsiTheme="minorHAnsi"/>
          <w:color w:val="000000" w:themeColor="text1"/>
          <w:sz w:val="18"/>
          <w:szCs w:val="18"/>
          <w:lang w:val="en-AU"/>
        </w:rPr>
        <w:t>).</w:t>
      </w:r>
      <w:r w:rsidR="00903531" w:rsidRPr="00C011AF">
        <w:rPr>
          <w:rFonts w:asciiTheme="minorHAnsi" w:hAnsiTheme="minorHAnsi"/>
          <w:color w:val="000000" w:themeColor="text1"/>
          <w:sz w:val="18"/>
          <w:szCs w:val="18"/>
          <w:lang w:val="en-AU"/>
        </w:rPr>
        <w:t xml:space="preserve"> </w:t>
      </w:r>
      <w:r w:rsidR="001B7171" w:rsidRPr="00C011AF">
        <w:rPr>
          <w:rFonts w:asciiTheme="minorHAnsi" w:hAnsiTheme="minorHAnsi"/>
          <w:color w:val="000000" w:themeColor="text1"/>
          <w:sz w:val="18"/>
          <w:szCs w:val="18"/>
          <w:lang w:val="en-AU"/>
        </w:rPr>
        <w:t xml:space="preserve">The Vulcan/Pyrox Heritage certification remains suspended as there is no fix for this appliance. </w:t>
      </w:r>
    </w:p>
    <w:bookmarkEnd w:id="152"/>
    <w:p w14:paraId="585C2980" w14:textId="77777777" w:rsidR="001B7171" w:rsidRPr="00C011AF" w:rsidRDefault="001B7171" w:rsidP="00FB5506">
      <w:pPr>
        <w:pStyle w:val="Heading3"/>
      </w:pPr>
      <w:r w:rsidRPr="00C011AF">
        <w:t>Public housing</w:t>
      </w:r>
    </w:p>
    <w:p w14:paraId="62B0EA1E" w14:textId="77777777" w:rsidR="001B7171" w:rsidRPr="00C011AF" w:rsidRDefault="001B7171" w:rsidP="001B7171">
      <w:r w:rsidRPr="00C011AF">
        <w:t>Following advice from ESV, the Department of Health and Human Services (DHHS) moved from a 5 year servicing regime of OFGSHs to a 2 year servicing regime as of March 2018.</w:t>
      </w:r>
    </w:p>
    <w:p w14:paraId="381259D7" w14:textId="0E481946" w:rsidR="001B7171" w:rsidRPr="00C011AF" w:rsidRDefault="001B7171" w:rsidP="001B7171">
      <w:r w:rsidRPr="00C011AF">
        <w:t>In response to the death of Ms Sofianopoulos, DHHS is currently undertaking a program to inspect and or replace OFGSHs in Victorian public housing</w:t>
      </w:r>
      <w:r w:rsidRPr="00C011AF" w:rsidDel="00022088">
        <w:t xml:space="preserve"> </w:t>
      </w:r>
      <w:r w:rsidRPr="00C011AF">
        <w:t xml:space="preserve">developments. DHHS is replacing all Vulcan Heritage and Pyrox Heritage heaters (the gas space heater model found to have contributed to Ms Sofianopoulos’ death) with alternative heating appliances, predominantly room sealed gas space heaters. </w:t>
      </w:r>
    </w:p>
    <w:p w14:paraId="330D57E3" w14:textId="3A5EF329" w:rsidR="001B7171" w:rsidRPr="00C011AF" w:rsidRDefault="001B7171" w:rsidP="001B7171">
      <w:r w:rsidRPr="00C011AF">
        <w:t xml:space="preserve">Tenants were instructed to immediately stop using these heaters due to safety concerns and were also provided with temporary heating units, until DHHS could arrange for a new permanent heater installation. As of </w:t>
      </w:r>
      <w:r w:rsidR="00C54DF9">
        <w:t>30</w:t>
      </w:r>
      <w:r w:rsidRPr="00C011AF">
        <w:t xml:space="preserve"> September 20</w:t>
      </w:r>
      <w:r w:rsidR="00C54DF9">
        <w:t>20</w:t>
      </w:r>
      <w:r w:rsidRPr="00C011AF">
        <w:t xml:space="preserve">, DHHS had replaced </w:t>
      </w:r>
      <w:r w:rsidR="00C93EE4">
        <w:t>99.9</w:t>
      </w:r>
      <w:r w:rsidRPr="00C011AF">
        <w:t xml:space="preserve"> per cent of Vulcan Heritage and Pyrox Heritage heaters in its public housing stock.</w:t>
      </w:r>
    </w:p>
    <w:p w14:paraId="21F15D95" w14:textId="5A6864AF" w:rsidR="001B7171" w:rsidRPr="00C011AF" w:rsidRDefault="001B7171" w:rsidP="001B7171">
      <w:r w:rsidRPr="00C011AF">
        <w:t xml:space="preserve">DHHS is also completing gas heater inspections for other </w:t>
      </w:r>
      <w:r w:rsidR="000932DA">
        <w:t xml:space="preserve">OFGSH </w:t>
      </w:r>
      <w:r w:rsidRPr="00C011AF">
        <w:t xml:space="preserve">models and replacing unsafe appliances with room sealed heaters. DHHS has completed a </w:t>
      </w:r>
      <w:r w:rsidR="00285A8B">
        <w:t xml:space="preserve">total of </w:t>
      </w:r>
      <w:r w:rsidR="001C0924">
        <w:t>75,870</w:t>
      </w:r>
      <w:r w:rsidRPr="00C011AF">
        <w:t xml:space="preserve"> gas heater </w:t>
      </w:r>
      <w:r w:rsidR="002C5C58" w:rsidRPr="00C011AF">
        <w:t>inspections and</w:t>
      </w:r>
      <w:r w:rsidRPr="00C011AF">
        <w:t xml:space="preserve"> of these </w:t>
      </w:r>
      <w:r w:rsidR="00A84043">
        <w:t>30</w:t>
      </w:r>
      <w:r w:rsidR="00EB7280">
        <w:t>,118</w:t>
      </w:r>
      <w:r w:rsidRPr="00C011AF">
        <w:t xml:space="preserve"> have been replaced. Tenants with medical or health related issues, and tenants over 75 years of age were prioritised in this program. DHHS expects all replacement appliances to be installed within the next 12 months.</w:t>
      </w:r>
    </w:p>
    <w:p w14:paraId="439FE6DC" w14:textId="15EA8A18" w:rsidR="001B7171" w:rsidRPr="00BB56FF" w:rsidRDefault="001B7171" w:rsidP="001B7171">
      <w:r w:rsidRPr="00C011AF">
        <w:lastRenderedPageBreak/>
        <w:t>Furthermore, DHHS is installing CO alarms in all homes</w:t>
      </w:r>
      <w:r w:rsidR="002E5BC9" w:rsidRPr="00C011AF">
        <w:t xml:space="preserve"> with a gas heater</w:t>
      </w:r>
      <w:r w:rsidRPr="00C011AF">
        <w:t xml:space="preserve">, including those where the </w:t>
      </w:r>
      <w:r w:rsidR="000932DA">
        <w:t xml:space="preserve">OFGSH </w:t>
      </w:r>
      <w:r w:rsidRPr="00C011AF">
        <w:t xml:space="preserve">passed DHHS administered CO tests, as well as those where a new heater was installed. </w:t>
      </w:r>
      <w:r w:rsidRPr="00BB56FF">
        <w:t xml:space="preserve">As of </w:t>
      </w:r>
      <w:r w:rsidR="00EB7280">
        <w:t>3</w:t>
      </w:r>
      <w:r w:rsidRPr="00BB56FF">
        <w:t>0 September 20</w:t>
      </w:r>
      <w:r w:rsidR="00EB7280">
        <w:t>20</w:t>
      </w:r>
      <w:r w:rsidRPr="00C60102">
        <w:t xml:space="preserve">, DHHS has installed </w:t>
      </w:r>
      <w:r w:rsidR="00EC7094">
        <w:t>53</w:t>
      </w:r>
      <w:r w:rsidRPr="00C60102">
        <w:t>,</w:t>
      </w:r>
      <w:r w:rsidR="00EC7094">
        <w:t>043</w:t>
      </w:r>
      <w:r w:rsidRPr="00C60102">
        <w:t xml:space="preserve"> CO alarms across the State.</w:t>
      </w:r>
      <w:r w:rsidRPr="00BB56FF">
        <w:rPr>
          <w:rStyle w:val="FootnoteReference"/>
        </w:rPr>
        <w:footnoteReference w:id="51"/>
      </w:r>
    </w:p>
    <w:p w14:paraId="68685592" w14:textId="7A1AFAB1" w:rsidR="001B7171" w:rsidRPr="00410117" w:rsidRDefault="001B7171" w:rsidP="00FB5506">
      <w:pPr>
        <w:pStyle w:val="Heading3"/>
      </w:pPr>
      <w:r w:rsidRPr="00C60102">
        <w:t xml:space="preserve">Improvements for </w:t>
      </w:r>
      <w:r w:rsidR="00C0757B" w:rsidRPr="009F57E8">
        <w:t xml:space="preserve">residential </w:t>
      </w:r>
      <w:r w:rsidRPr="00410117">
        <w:t>tenants</w:t>
      </w:r>
    </w:p>
    <w:p w14:paraId="05A79F1B" w14:textId="77777777" w:rsidR="001B7171" w:rsidRPr="00C60102" w:rsidRDefault="001B7171" w:rsidP="001B7171">
      <w:pPr>
        <w:pStyle w:val="BodyText"/>
      </w:pPr>
      <w:r w:rsidRPr="00387E9A">
        <w:t>“Renting a home: a guide for tenants” clearly sets out tenants’ rights with regards to gas appliance maintenance.</w:t>
      </w:r>
      <w:r w:rsidRPr="00BB56FF">
        <w:rPr>
          <w:rStyle w:val="FootnoteReference"/>
        </w:rPr>
        <w:footnoteReference w:id="52"/>
      </w:r>
      <w:r w:rsidRPr="00BB56FF">
        <w:t xml:space="preserve"> The guide states that:</w:t>
      </w:r>
    </w:p>
    <w:p w14:paraId="0A8F72DA" w14:textId="2B2A9758" w:rsidR="001B7171" w:rsidRPr="00387E9A" w:rsidRDefault="001B7171" w:rsidP="001B7171">
      <w:pPr>
        <w:pStyle w:val="BodyText"/>
        <w:ind w:left="567"/>
      </w:pPr>
      <w:r w:rsidRPr="009F57E8">
        <w:rPr>
          <w:i/>
        </w:rPr>
        <w:t>Landlords/agents or owners must ensure that rented premises are maintained in good repair. This includes ensuring that all gas appliances provided by the landlord/ agent or owner, such as heaters and stoves, are safe to use and prop</w:t>
      </w:r>
      <w:r w:rsidRPr="00410117">
        <w:rPr>
          <w:i/>
        </w:rPr>
        <w:t>erly maintained. All installation and maintenance of a gasfitting or fixture should be done by a licensed gasfitter. Failing to ensure gas appliances are safe to use or properly maintained can result in death, serious injury or considerable property damage. Energy Safe Victoria recommends gas heaters and water heaters are serviced every two years.</w:t>
      </w:r>
    </w:p>
    <w:p w14:paraId="21F4BE15" w14:textId="1BFCD719" w:rsidR="00016212" w:rsidRPr="00096B3A" w:rsidRDefault="00016212" w:rsidP="00016212">
      <w:pPr>
        <w:rPr>
          <w:lang w:eastAsia="en-AU"/>
        </w:rPr>
      </w:pPr>
      <w:r w:rsidRPr="00096B3A">
        <w:rPr>
          <w:lang w:eastAsia="en-AU"/>
        </w:rPr>
        <w:t xml:space="preserve">In September 2018, the Victorian Government passed the </w:t>
      </w:r>
      <w:r w:rsidRPr="00096B3A">
        <w:rPr>
          <w:i/>
          <w:lang w:eastAsia="en-AU"/>
        </w:rPr>
        <w:t>Residential Tenancies Amendment Act 2018</w:t>
      </w:r>
      <w:r w:rsidRPr="00096B3A">
        <w:rPr>
          <w:lang w:eastAsia="en-AU"/>
        </w:rPr>
        <w:t xml:space="preserve"> (RTAA) to amend the </w:t>
      </w:r>
      <w:r w:rsidRPr="00096B3A">
        <w:rPr>
          <w:i/>
          <w:lang w:eastAsia="en-AU"/>
        </w:rPr>
        <w:t>Residential Tenancies Act 1997</w:t>
      </w:r>
      <w:r w:rsidRPr="00096B3A">
        <w:rPr>
          <w:lang w:eastAsia="en-AU"/>
        </w:rPr>
        <w:t xml:space="preserve"> as part of its commitment to ensure Victorians who rent have access to fairer, safer housing. The amendments enable the imposition of mandatory safety-related activities, which are required to be undertaken by the residential rental provider (landlord) and the renter. The draft Residential Tenancies Regulations (RTR), which were released by the Department of Justice and Community Safety (DJCS) for public consultation in November and December 2019, propose a range of safety-related activities</w:t>
      </w:r>
      <w:r w:rsidR="2BCD58A3" w:rsidRPr="610C1255">
        <w:rPr>
          <w:lang w:eastAsia="en-AU"/>
        </w:rPr>
        <w:t>,</w:t>
      </w:r>
      <w:r w:rsidRPr="00096B3A">
        <w:rPr>
          <w:lang w:eastAsia="en-AU"/>
        </w:rPr>
        <w:t xml:space="preserve"> including that residential rental providers will be required to have a licenced or registered gasfitter conduct a gas safety check on gas appliances, fixtures and fittings contained in the rented premises every two years. </w:t>
      </w:r>
    </w:p>
    <w:p w14:paraId="452D023F" w14:textId="2A379841" w:rsidR="00016212" w:rsidRPr="00C60102" w:rsidRDefault="00016212" w:rsidP="00016212">
      <w:pPr>
        <w:rPr>
          <w:lang w:eastAsia="en-AU"/>
        </w:rPr>
      </w:pPr>
      <w:r w:rsidRPr="00096B3A">
        <w:rPr>
          <w:lang w:eastAsia="en-AU"/>
        </w:rPr>
        <w:t xml:space="preserve">The RTR have not been finalised at the time this RIS was </w:t>
      </w:r>
      <w:r w:rsidR="00493F12">
        <w:rPr>
          <w:lang w:eastAsia="en-AU"/>
        </w:rPr>
        <w:t>prepared</w:t>
      </w:r>
      <w:r w:rsidRPr="00096B3A">
        <w:rPr>
          <w:lang w:eastAsia="en-AU"/>
        </w:rPr>
        <w:t xml:space="preserve">. The RTR are expected to   commence </w:t>
      </w:r>
      <w:r w:rsidR="794A82C4" w:rsidRPr="610C1255">
        <w:rPr>
          <w:lang w:eastAsia="en-AU"/>
        </w:rPr>
        <w:t xml:space="preserve">at the same time as the </w:t>
      </w:r>
      <w:r w:rsidRPr="00096B3A">
        <w:rPr>
          <w:lang w:eastAsia="en-AU"/>
        </w:rPr>
        <w:t xml:space="preserve">RTAA, which </w:t>
      </w:r>
      <w:r w:rsidR="5C0FB9BE" w:rsidRPr="610C1255">
        <w:rPr>
          <w:lang w:eastAsia="en-AU"/>
        </w:rPr>
        <w:t>is scheduled to commence on</w:t>
      </w:r>
      <w:r w:rsidRPr="00096B3A">
        <w:rPr>
          <w:lang w:eastAsia="en-AU"/>
        </w:rPr>
        <w:t xml:space="preserve"> </w:t>
      </w:r>
      <w:r w:rsidR="13A5D3D3" w:rsidRPr="610C1255">
        <w:rPr>
          <w:lang w:eastAsia="en-AU"/>
        </w:rPr>
        <w:t>29 March 2021.</w:t>
      </w:r>
    </w:p>
    <w:p w14:paraId="5D71AAD4" w14:textId="0ECD1107" w:rsidR="00E01E30" w:rsidRPr="00387E9A" w:rsidRDefault="00E01E30" w:rsidP="00FB5506">
      <w:r w:rsidRPr="00C60102">
        <w:rPr>
          <w:lang w:eastAsia="en-AU"/>
        </w:rPr>
        <w:t xml:space="preserve">Regular gas safety checks, which include testing for CO </w:t>
      </w:r>
      <w:r w:rsidR="00A0211A">
        <w:rPr>
          <w:lang w:eastAsia="en-AU"/>
        </w:rPr>
        <w:t>spillage</w:t>
      </w:r>
      <w:r w:rsidRPr="00C60102">
        <w:rPr>
          <w:lang w:eastAsia="en-AU"/>
        </w:rPr>
        <w:t xml:space="preserve"> and negative pressure conditions, are an important way o</w:t>
      </w:r>
      <w:r w:rsidRPr="009F57E8">
        <w:rPr>
          <w:lang w:eastAsia="en-AU"/>
        </w:rPr>
        <w:t xml:space="preserve">f mitigating </w:t>
      </w:r>
      <w:r w:rsidR="00C62C38">
        <w:rPr>
          <w:lang w:eastAsia="en-AU"/>
        </w:rPr>
        <w:t xml:space="preserve">health and safety </w:t>
      </w:r>
      <w:r w:rsidRPr="009F57E8">
        <w:rPr>
          <w:lang w:eastAsia="en-AU"/>
        </w:rPr>
        <w:t xml:space="preserve">risks associated with OFGSHs already installed in Victorian homes. </w:t>
      </w:r>
      <w:r w:rsidR="00D17B18" w:rsidRPr="00410117">
        <w:rPr>
          <w:lang w:eastAsia="en-AU"/>
        </w:rPr>
        <w:t xml:space="preserve">It is estimated that </w:t>
      </w:r>
      <w:r w:rsidR="001117F8" w:rsidRPr="00410117">
        <w:rPr>
          <w:lang w:eastAsia="en-AU"/>
        </w:rPr>
        <w:t>30</w:t>
      </w:r>
      <w:r w:rsidR="001A645C">
        <w:rPr>
          <w:lang w:eastAsia="en-AU"/>
        </w:rPr>
        <w:t xml:space="preserve"> per cent</w:t>
      </w:r>
      <w:r w:rsidR="001117F8" w:rsidRPr="00410117">
        <w:rPr>
          <w:lang w:eastAsia="en-AU"/>
        </w:rPr>
        <w:t xml:space="preserve"> of </w:t>
      </w:r>
      <w:r w:rsidR="00295250" w:rsidRPr="00387E9A">
        <w:rPr>
          <w:lang w:eastAsia="en-AU"/>
        </w:rPr>
        <w:t xml:space="preserve">existing heaters </w:t>
      </w:r>
      <w:r w:rsidRPr="00FD4E71">
        <w:rPr>
          <w:lang w:eastAsia="en-AU"/>
        </w:rPr>
        <w:t>are installed in rental properties</w:t>
      </w:r>
      <w:r w:rsidR="00A313F5" w:rsidRPr="00AC12E6">
        <w:rPr>
          <w:lang w:eastAsia="en-AU"/>
        </w:rPr>
        <w:t>.</w:t>
      </w:r>
      <w:r w:rsidR="00185B23" w:rsidRPr="00BB56FF">
        <w:rPr>
          <w:rStyle w:val="FootnoteReference"/>
          <w:lang w:eastAsia="en-AU"/>
        </w:rPr>
        <w:footnoteReference w:id="53"/>
      </w:r>
      <w:r w:rsidRPr="00BB56FF">
        <w:rPr>
          <w:lang w:eastAsia="en-AU"/>
        </w:rPr>
        <w:t xml:space="preserve"> </w:t>
      </w:r>
      <w:r w:rsidR="00A313F5" w:rsidRPr="00C60102">
        <w:rPr>
          <w:lang w:eastAsia="en-AU"/>
        </w:rPr>
        <w:t>R</w:t>
      </w:r>
      <w:r w:rsidRPr="009F57E8">
        <w:rPr>
          <w:lang w:eastAsia="en-AU"/>
        </w:rPr>
        <w:t xml:space="preserve">enters </w:t>
      </w:r>
      <w:r w:rsidR="00D17B18" w:rsidRPr="00410117">
        <w:rPr>
          <w:lang w:eastAsia="en-AU"/>
        </w:rPr>
        <w:t xml:space="preserve">may </w:t>
      </w:r>
      <w:r w:rsidRPr="00410117">
        <w:rPr>
          <w:lang w:eastAsia="en-AU"/>
        </w:rPr>
        <w:t xml:space="preserve">often be unaware of which type of heater is installed and its service history. </w:t>
      </w:r>
    </w:p>
    <w:p w14:paraId="787F87B6" w14:textId="486A6989" w:rsidR="001B7171" w:rsidRPr="001D0E48" w:rsidRDefault="000C0476" w:rsidP="008052E6">
      <w:pPr>
        <w:pStyle w:val="Heading3"/>
      </w:pPr>
      <w:r w:rsidRPr="00FD4E71">
        <w:t>Change</w:t>
      </w:r>
      <w:r w:rsidR="001B7171" w:rsidRPr="00F31FBC">
        <w:t>s to standards</w:t>
      </w:r>
    </w:p>
    <w:p w14:paraId="0F4BCA00" w14:textId="57ED0257" w:rsidR="000C0476" w:rsidRPr="00C011AF" w:rsidRDefault="000932DA" w:rsidP="008052E6">
      <w:pPr>
        <w:pStyle w:val="Heading4"/>
      </w:pPr>
      <w:r>
        <w:t xml:space="preserve">OFGSH </w:t>
      </w:r>
      <w:r w:rsidR="000C0476" w:rsidRPr="00C011AF">
        <w:t xml:space="preserve">servicing </w:t>
      </w:r>
    </w:p>
    <w:p w14:paraId="4F864541" w14:textId="5D76992D" w:rsidR="001B7171" w:rsidRPr="00C011AF" w:rsidRDefault="001B7171" w:rsidP="001B7171">
      <w:pPr>
        <w:rPr>
          <w:lang w:eastAsia="en-AU"/>
        </w:rPr>
      </w:pPr>
      <w:r w:rsidRPr="00C011AF">
        <w:t xml:space="preserve">Australian </w:t>
      </w:r>
      <w:r w:rsidR="00493F12">
        <w:t>S</w:t>
      </w:r>
      <w:r w:rsidRPr="00C011AF">
        <w:t xml:space="preserve">tandard AS 4575 outlines the requirements for </w:t>
      </w:r>
      <w:r w:rsidRPr="00C011AF">
        <w:rPr>
          <w:lang w:eastAsia="en-AU"/>
        </w:rPr>
        <w:t xml:space="preserve">servicing Type A gas appliances, including </w:t>
      </w:r>
      <w:r w:rsidR="00F845CB" w:rsidRPr="00C011AF">
        <w:rPr>
          <w:lang w:eastAsia="en-AU"/>
        </w:rPr>
        <w:t>OFGSHs</w:t>
      </w:r>
      <w:r w:rsidRPr="00C011AF">
        <w:rPr>
          <w:lang w:eastAsia="en-AU"/>
        </w:rPr>
        <w:t xml:space="preserve">. Australian </w:t>
      </w:r>
      <w:r w:rsidR="00493F12">
        <w:rPr>
          <w:lang w:eastAsia="en-AU"/>
        </w:rPr>
        <w:t>S</w:t>
      </w:r>
      <w:r w:rsidRPr="00C011AF">
        <w:rPr>
          <w:lang w:eastAsia="en-AU"/>
        </w:rPr>
        <w:t>tandard AS</w:t>
      </w:r>
      <w:r w:rsidR="00EE51A7" w:rsidRPr="00C011AF">
        <w:rPr>
          <w:lang w:eastAsia="en-AU"/>
        </w:rPr>
        <w:t>/NZS</w:t>
      </w:r>
      <w:r w:rsidRPr="00C011AF">
        <w:rPr>
          <w:lang w:eastAsia="en-AU"/>
        </w:rPr>
        <w:t xml:space="preserve"> 5601</w:t>
      </w:r>
      <w:r w:rsidR="00EE51A7" w:rsidRPr="00C011AF">
        <w:rPr>
          <w:lang w:eastAsia="en-AU"/>
        </w:rPr>
        <w:t>.1</w:t>
      </w:r>
      <w:r w:rsidRPr="00C011AF">
        <w:rPr>
          <w:lang w:eastAsia="en-AU"/>
        </w:rPr>
        <w:t xml:space="preserve"> outlines the requirements for the installation of Type A gas appliances, including OFGSHs.</w:t>
      </w:r>
    </w:p>
    <w:p w14:paraId="6D1BBD6E" w14:textId="5DEACE74" w:rsidR="001B7171" w:rsidRPr="00BB56FF" w:rsidRDefault="001B7171" w:rsidP="001B7171">
      <w:pPr>
        <w:rPr>
          <w:lang w:eastAsia="en-AU"/>
        </w:rPr>
      </w:pPr>
      <w:r w:rsidRPr="00C011AF">
        <w:rPr>
          <w:lang w:eastAsia="en-AU"/>
        </w:rPr>
        <w:t>Prior to 2019, only the standard outlining installation procedures</w:t>
      </w:r>
      <w:r w:rsidR="00B67D58" w:rsidRPr="00C011AF">
        <w:rPr>
          <w:lang w:eastAsia="en-AU"/>
        </w:rPr>
        <w:t xml:space="preserve"> </w:t>
      </w:r>
      <w:r w:rsidR="008437FF" w:rsidRPr="00C011AF">
        <w:rPr>
          <w:lang w:eastAsia="en-AU"/>
        </w:rPr>
        <w:t>AS/NZS 5601.1</w:t>
      </w:r>
      <w:r w:rsidRPr="00C011AF">
        <w:rPr>
          <w:lang w:eastAsia="en-AU"/>
        </w:rPr>
        <w:t xml:space="preserve"> included protocols to test for a negative pressure environment. </w:t>
      </w:r>
    </w:p>
    <w:p w14:paraId="5C3F179A" w14:textId="29DF4CA9" w:rsidR="001B7171" w:rsidRPr="00BB56FF" w:rsidRDefault="001B7171" w:rsidP="001B7171">
      <w:pPr>
        <w:rPr>
          <w:lang w:eastAsia="en-AU"/>
        </w:rPr>
      </w:pPr>
      <w:r w:rsidRPr="00C60102">
        <w:t xml:space="preserve">In line with the recommendations of Coroner Hawkins in August 2018, </w:t>
      </w:r>
      <w:r w:rsidRPr="009F57E8">
        <w:rPr>
          <w:lang w:eastAsia="en-AU"/>
        </w:rPr>
        <w:t>AS 4575</w:t>
      </w:r>
      <w:r w:rsidRPr="00410117">
        <w:rPr>
          <w:lang w:eastAsia="en-AU"/>
        </w:rPr>
        <w:t xml:space="preserve"> was revised in 2019 to </w:t>
      </w:r>
      <w:r w:rsidRPr="00096B3A">
        <w:rPr>
          <w:lang w:eastAsia="en-AU"/>
        </w:rPr>
        <w:t xml:space="preserve">include </w:t>
      </w:r>
      <w:r w:rsidR="005A3AEE" w:rsidRPr="00096B3A">
        <w:rPr>
          <w:lang w:eastAsia="en-AU"/>
        </w:rPr>
        <w:t>protocols</w:t>
      </w:r>
      <w:r w:rsidR="005E5CBE" w:rsidRPr="00096B3A">
        <w:rPr>
          <w:lang w:eastAsia="en-AU"/>
        </w:rPr>
        <w:t xml:space="preserve"> to test for a negative pressure environment.</w:t>
      </w:r>
    </w:p>
    <w:p w14:paraId="0ACFCA02" w14:textId="768CA5CA" w:rsidR="00BC7272" w:rsidRPr="00AC12E6" w:rsidRDefault="00D6641C" w:rsidP="00D6641C">
      <w:pPr>
        <w:pStyle w:val="BodyText"/>
      </w:pPr>
      <w:r w:rsidRPr="00096B3A">
        <w:t>Th</w:t>
      </w:r>
      <w:r w:rsidR="00493F12">
        <w:t>e</w:t>
      </w:r>
      <w:r w:rsidR="0095617F" w:rsidRPr="00096B3A">
        <w:t xml:space="preserve"> revised AS</w:t>
      </w:r>
      <w:r w:rsidR="00FB5506" w:rsidRPr="00096B3A">
        <w:t xml:space="preserve"> </w:t>
      </w:r>
      <w:r w:rsidR="0095617F" w:rsidRPr="00096B3A">
        <w:t>4575</w:t>
      </w:r>
      <w:r w:rsidRPr="00096B3A">
        <w:t xml:space="preserve"> was published</w:t>
      </w:r>
      <w:r w:rsidRPr="00BB56FF">
        <w:t xml:space="preserve"> on 9 August 2019. </w:t>
      </w:r>
      <w:r w:rsidR="00446E06" w:rsidRPr="00096B3A">
        <w:t>The Victorian Government is</w:t>
      </w:r>
      <w:r w:rsidRPr="00096B3A">
        <w:t xml:space="preserve"> </w:t>
      </w:r>
      <w:r w:rsidR="00417E05" w:rsidRPr="00096B3A">
        <w:t xml:space="preserve">currently </w:t>
      </w:r>
      <w:r w:rsidRPr="00096B3A">
        <w:t>considering mandating the requirements of the Standard in Victorian regulations.</w:t>
      </w:r>
      <w:r w:rsidR="00BC6288" w:rsidRPr="00BB56FF">
        <w:t xml:space="preserve"> While some stakeholders recommended that mandating this standard should be considered as</w:t>
      </w:r>
      <w:r w:rsidR="00BC6288" w:rsidRPr="00C60102">
        <w:t xml:space="preserve"> part of this RIS process, it is out of scope of this RIS, as the standard applies to all </w:t>
      </w:r>
      <w:r w:rsidR="00765830" w:rsidRPr="009F57E8">
        <w:t>Type A gas appliances</w:t>
      </w:r>
      <w:r w:rsidR="005A3C9F" w:rsidRPr="00410117">
        <w:t xml:space="preserve"> (including domestic gas heaters, hot water services and stoves)</w:t>
      </w:r>
      <w:r w:rsidR="00765830" w:rsidRPr="00410117">
        <w:t>, not just OFGSH</w:t>
      </w:r>
      <w:r w:rsidR="006B1095" w:rsidRPr="00387E9A">
        <w:t>s</w:t>
      </w:r>
      <w:r w:rsidR="00765830" w:rsidRPr="00FD4E71">
        <w:t>.</w:t>
      </w:r>
    </w:p>
    <w:p w14:paraId="14E5B2F7" w14:textId="52789F39" w:rsidR="00A72275" w:rsidRPr="001D0E48" w:rsidRDefault="00A72275" w:rsidP="001364F0">
      <w:pPr>
        <w:pStyle w:val="Heading4"/>
      </w:pPr>
      <w:r w:rsidRPr="00F31FBC">
        <w:lastRenderedPageBreak/>
        <w:t>Electrical installations</w:t>
      </w:r>
    </w:p>
    <w:p w14:paraId="0F6D74E1" w14:textId="04EE750D" w:rsidR="000C0476" w:rsidRPr="003D3B59" w:rsidRDefault="000A1D31" w:rsidP="001B7171">
      <w:r w:rsidRPr="00C011AF">
        <w:t xml:space="preserve">Australian Standards </w:t>
      </w:r>
      <w:r w:rsidR="000C0476" w:rsidRPr="00096B3A">
        <w:t xml:space="preserve">AS/NZS 3000 </w:t>
      </w:r>
      <w:r w:rsidR="000C0476" w:rsidRPr="00096B3A">
        <w:rPr>
          <w:i/>
        </w:rPr>
        <w:t>Electrical installations</w:t>
      </w:r>
      <w:r w:rsidR="000C0476" w:rsidRPr="00096B3A">
        <w:t xml:space="preserve"> (known as the Wiring Rules) </w:t>
      </w:r>
      <w:r w:rsidR="00C15EAA" w:rsidRPr="00096B3A">
        <w:t xml:space="preserve">amendment 1 was published on 31 January 2020 </w:t>
      </w:r>
      <w:r w:rsidR="000C0476" w:rsidRPr="00096B3A">
        <w:t>and AS/NZS 60335</w:t>
      </w:r>
      <w:r w:rsidR="00955D2D" w:rsidRPr="00096B3A">
        <w:t>.2.31</w:t>
      </w:r>
      <w:r w:rsidR="00206A8F" w:rsidRPr="00096B3A">
        <w:t xml:space="preserve"> amendment 4</w:t>
      </w:r>
      <w:r w:rsidR="00A31833" w:rsidRPr="00096B3A">
        <w:t xml:space="preserve"> </w:t>
      </w:r>
      <w:r w:rsidR="00A31833" w:rsidRPr="00096B3A">
        <w:rPr>
          <w:i/>
        </w:rPr>
        <w:t>Household and similar electrical appliances</w:t>
      </w:r>
      <w:r w:rsidR="007C530D" w:rsidRPr="00096B3A">
        <w:rPr>
          <w:i/>
        </w:rPr>
        <w:t xml:space="preserve">-Particular requirements for range hoods and other cooking fume extractors </w:t>
      </w:r>
      <w:r w:rsidR="007C530D" w:rsidRPr="00096B3A">
        <w:t>was published on 26 June 2020</w:t>
      </w:r>
      <w:r w:rsidR="00050383" w:rsidRPr="00096B3A">
        <w:t xml:space="preserve">. The amended standards </w:t>
      </w:r>
      <w:r w:rsidR="0018283A" w:rsidRPr="00096B3A">
        <w:t xml:space="preserve">alert </w:t>
      </w:r>
      <w:r w:rsidR="00862AD0" w:rsidRPr="00096B3A">
        <w:t>electricians</w:t>
      </w:r>
      <w:r w:rsidR="0018283A" w:rsidRPr="00BB56FF">
        <w:t xml:space="preserve"> about the risk that </w:t>
      </w:r>
      <w:r w:rsidR="00531AD5" w:rsidRPr="00C60102">
        <w:t>installation of exhaust fans and rangehoods</w:t>
      </w:r>
      <w:r w:rsidR="009217BD" w:rsidRPr="009F57E8">
        <w:t xml:space="preserve"> </w:t>
      </w:r>
      <w:r w:rsidR="00531AD5" w:rsidRPr="00410117">
        <w:t>may</w:t>
      </w:r>
      <w:r w:rsidR="000C0476" w:rsidRPr="00410117">
        <w:t xml:space="preserve"> pose to the safe operation of OFGSH</w:t>
      </w:r>
      <w:r w:rsidR="000C0476" w:rsidRPr="00387E9A">
        <w:t>s</w:t>
      </w:r>
      <w:r w:rsidR="009217BD" w:rsidRPr="00FD4E71">
        <w:t>, due</w:t>
      </w:r>
      <w:r w:rsidR="009217BD">
        <w:t xml:space="preserve"> to the potential for them to create a negative pressure environment in the home</w:t>
      </w:r>
      <w:r w:rsidR="000C0476">
        <w:t>.</w:t>
      </w:r>
    </w:p>
    <w:p w14:paraId="7B79457C" w14:textId="59346E0D" w:rsidR="001B7171" w:rsidRPr="00FB5506" w:rsidRDefault="00A970F2" w:rsidP="00FB5506">
      <w:pPr>
        <w:pStyle w:val="Heading3"/>
      </w:pPr>
      <w:r>
        <w:t>Ga</w:t>
      </w:r>
      <w:r w:rsidR="004A69D3">
        <w:t>s</w:t>
      </w:r>
      <w:r>
        <w:t>fitter</w:t>
      </w:r>
      <w:r w:rsidRPr="00FB5506">
        <w:t xml:space="preserve"> </w:t>
      </w:r>
      <w:r w:rsidR="001B7171" w:rsidRPr="00FB5506">
        <w:t>training</w:t>
      </w:r>
    </w:p>
    <w:p w14:paraId="2ED9C1E8" w14:textId="6652EF23" w:rsidR="00982988" w:rsidRDefault="00982988" w:rsidP="001B7171">
      <w:r>
        <w:t xml:space="preserve">Following the death of Ms Sofianopoulos, the VBA introduced </w:t>
      </w:r>
      <w:r w:rsidR="00F1468F">
        <w:t xml:space="preserve">a </w:t>
      </w:r>
      <w:r>
        <w:t>mandatory training module and examination on carbon monoxide</w:t>
      </w:r>
      <w:r w:rsidR="00F1468F">
        <w:t xml:space="preserve"> for all Victorian gasfitters</w:t>
      </w:r>
      <w:r>
        <w:t xml:space="preserve">. If a gasfitter </w:t>
      </w:r>
      <w:r w:rsidR="00654877">
        <w:t>\</w:t>
      </w:r>
      <w:r>
        <w:t xml:space="preserve"> fails to complete the training module and its associated examination, the VBA will </w:t>
      </w:r>
      <w:r w:rsidR="00F31552">
        <w:t xml:space="preserve">not </w:t>
      </w:r>
      <w:r w:rsidR="00C334AD">
        <w:t>renew</w:t>
      </w:r>
      <w:r w:rsidR="00F31552">
        <w:t xml:space="preserve"> </w:t>
      </w:r>
      <w:r>
        <w:t>the gasfitter’s licence.</w:t>
      </w:r>
    </w:p>
    <w:p w14:paraId="766B9E61" w14:textId="65F82EE0" w:rsidR="001B7171" w:rsidRPr="00410117" w:rsidRDefault="0030501F" w:rsidP="001B7171">
      <w:r>
        <w:t>I</w:t>
      </w:r>
      <w:r w:rsidR="00A0211A">
        <w:t>n</w:t>
      </w:r>
      <w:r>
        <w:t xml:space="preserve"> May 2019 </w:t>
      </w:r>
      <w:r w:rsidR="001B7171">
        <w:t xml:space="preserve">ESV launched </w:t>
      </w:r>
      <w:r w:rsidR="00A970F2">
        <w:t>a</w:t>
      </w:r>
      <w:r w:rsidR="001B7171">
        <w:t xml:space="preserve"> </w:t>
      </w:r>
      <w:r w:rsidR="00493F12">
        <w:t>CO</w:t>
      </w:r>
      <w:r w:rsidR="001B7171">
        <w:t xml:space="preserve"> Awareness Program for plumbers and gasfitters, in partnership with the VBA and Master Plumbers. The training courses aim to provide Victorian </w:t>
      </w:r>
      <w:r w:rsidR="001B7171" w:rsidRPr="00BB56FF">
        <w:t>plumber</w:t>
      </w:r>
      <w:r w:rsidR="001B7171" w:rsidRPr="00C60102">
        <w:t xml:space="preserve">s with the skills and knowledge to use </w:t>
      </w:r>
      <w:r w:rsidR="00D321AF" w:rsidRPr="009F57E8">
        <w:t>CO</w:t>
      </w:r>
      <w:r w:rsidR="001B7171" w:rsidRPr="00410117">
        <w:t xml:space="preserve"> testing equipment and complete the practical procedures necessary to test gas appliances for CO emissions. This training was not mandatory.</w:t>
      </w:r>
    </w:p>
    <w:p w14:paraId="00029930" w14:textId="2D0DA5EF" w:rsidR="00934527" w:rsidRPr="00C60102" w:rsidRDefault="0030501F" w:rsidP="00934527">
      <w:r>
        <w:t>The 2018 Coronial Inquest</w:t>
      </w:r>
      <w:r w:rsidR="00934527" w:rsidRPr="00F31FBC">
        <w:t xml:space="preserve"> made </w:t>
      </w:r>
      <w:r w:rsidR="00934527" w:rsidRPr="001D0E48">
        <w:t>a recommendation that DELWP conduct a RIS to consider the implementation of a system of mandatory continuous professional development (CPD) training for Type A Gas Appliance plumbers and fitters</w:t>
      </w:r>
      <w:r w:rsidR="00934527" w:rsidRPr="00C011AF">
        <w:t xml:space="preserve"> as a condition of being registered or licenced. </w:t>
      </w:r>
      <w:r w:rsidR="00934527" w:rsidRPr="00096B3A">
        <w:t xml:space="preserve">The Victorian Government response committed to implementing a CPD scheme for all plumbers and </w:t>
      </w:r>
      <w:r w:rsidR="000F1018">
        <w:t>gas</w:t>
      </w:r>
      <w:r w:rsidR="00934527" w:rsidRPr="00096B3A">
        <w:t>fitters.</w:t>
      </w:r>
      <w:r w:rsidR="00934527" w:rsidRPr="00BB56FF">
        <w:t xml:space="preserve"> </w:t>
      </w:r>
    </w:p>
    <w:p w14:paraId="7EBB6B00" w14:textId="7FA38EFF" w:rsidR="00934527" w:rsidRDefault="00934527" w:rsidP="00934527">
      <w:r w:rsidRPr="00096B3A">
        <w:t>This process is underway and DELWP is developing a CPD framework for registered and licensed plumbers (including gasfitters)</w:t>
      </w:r>
      <w:r w:rsidR="000F1018">
        <w:t xml:space="preserve"> to</w:t>
      </w:r>
      <w:r w:rsidRPr="00096B3A">
        <w:t xml:space="preserve"> ensure that practitioners maintain and develop their knowledge and skills throughout their professional careers. Training in </w:t>
      </w:r>
      <w:r w:rsidR="00B16BC3">
        <w:t>CO</w:t>
      </w:r>
      <w:r w:rsidRPr="00096B3A">
        <w:t xml:space="preserve"> safety is being considered as a mandatory course for all gasfitters due to the seriousness of potential consequences associated with the use of outdated equipment or techniques in this area. </w:t>
      </w:r>
      <w:r w:rsidR="0030501F">
        <w:t>The RIS for this CPD framework is expected to be released for consultation in mid-2021 with regulations to be made by the end of 2021.</w:t>
      </w:r>
    </w:p>
    <w:p w14:paraId="0750389B" w14:textId="77777777" w:rsidR="003C3C79" w:rsidRDefault="003C3C79" w:rsidP="001B7171"/>
    <w:bookmarkEnd w:id="136"/>
    <w:bookmarkEnd w:id="137"/>
    <w:p w14:paraId="3225E062" w14:textId="18B5C42D" w:rsidR="00404623" w:rsidRDefault="00404623" w:rsidP="000A60EF">
      <w:pPr>
        <w:spacing w:after="0"/>
      </w:pPr>
    </w:p>
    <w:p w14:paraId="2A922258" w14:textId="50508462" w:rsidR="0078520B" w:rsidRPr="00D7409C" w:rsidRDefault="00913531">
      <w:pPr>
        <w:pStyle w:val="Heading1"/>
      </w:pPr>
      <w:bookmarkStart w:id="153" w:name="_Toc51238880"/>
      <w:bookmarkStart w:id="154" w:name="_Toc44058042"/>
      <w:bookmarkStart w:id="155" w:name="_Toc44058043"/>
      <w:bookmarkStart w:id="156" w:name="_Toc44058044"/>
      <w:bookmarkStart w:id="157" w:name="_Toc44058045"/>
      <w:bookmarkStart w:id="158" w:name="_Toc44058046"/>
      <w:bookmarkStart w:id="159" w:name="_Toc44058047"/>
      <w:bookmarkStart w:id="160" w:name="_Toc44058048"/>
      <w:bookmarkStart w:id="161" w:name="_Toc9366985"/>
      <w:bookmarkStart w:id="162" w:name="_Toc10111303"/>
      <w:bookmarkStart w:id="163" w:name="_Toc17892128"/>
      <w:bookmarkStart w:id="164" w:name="_Ref23417753"/>
      <w:bookmarkEnd w:id="153"/>
      <w:bookmarkEnd w:id="154"/>
      <w:bookmarkEnd w:id="155"/>
      <w:bookmarkEnd w:id="156"/>
      <w:bookmarkEnd w:id="157"/>
      <w:bookmarkEnd w:id="158"/>
      <w:bookmarkEnd w:id="159"/>
      <w:bookmarkEnd w:id="160"/>
      <w:r>
        <w:lastRenderedPageBreak/>
        <w:t xml:space="preserve"> </w:t>
      </w:r>
      <w:bookmarkStart w:id="165" w:name="_Toc59612286"/>
      <w:r w:rsidRPr="00D7409C">
        <w:t>P</w:t>
      </w:r>
      <w:r w:rsidR="00FD766A" w:rsidRPr="00D7409C">
        <w:t>roblem analysis</w:t>
      </w:r>
      <w:bookmarkEnd w:id="161"/>
      <w:bookmarkEnd w:id="162"/>
      <w:bookmarkEnd w:id="163"/>
      <w:bookmarkEnd w:id="164"/>
      <w:bookmarkEnd w:id="165"/>
    </w:p>
    <w:p w14:paraId="2A922259" w14:textId="4837E4D1" w:rsidR="0063508B" w:rsidRPr="00D7409C" w:rsidRDefault="0063508B" w:rsidP="00C07963">
      <w:pPr>
        <w:pStyle w:val="Sectionintro"/>
      </w:pPr>
      <w:r w:rsidRPr="00D7409C">
        <w:t xml:space="preserve">This chapter outlines the nature </w:t>
      </w:r>
      <w:r w:rsidR="00CF7F4E" w:rsidRPr="00D7409C">
        <w:t xml:space="preserve">and </w:t>
      </w:r>
      <w:r w:rsidRPr="00D7409C">
        <w:t>extent of the problem</w:t>
      </w:r>
    </w:p>
    <w:p w14:paraId="0A61C71C" w14:textId="77777777" w:rsidR="006400F7" w:rsidRPr="00FF5BFF" w:rsidRDefault="006400F7" w:rsidP="00FF5BFF">
      <w:pPr>
        <w:pStyle w:val="Heading3"/>
        <w:numPr>
          <w:ilvl w:val="1"/>
          <w:numId w:val="172"/>
        </w:numPr>
        <w:rPr>
          <w:color w:val="62B5E5" w:themeColor="accent3"/>
        </w:rPr>
      </w:pPr>
      <w:r w:rsidRPr="00FF5BFF">
        <w:rPr>
          <w:color w:val="62B5E5" w:themeColor="accent3"/>
        </w:rPr>
        <w:t>Effect of CO exposure on human health</w:t>
      </w:r>
    </w:p>
    <w:p w14:paraId="64203ECF" w14:textId="5E99843E" w:rsidR="006400F7" w:rsidRPr="00D7409C" w:rsidRDefault="006400F7" w:rsidP="006400F7">
      <w:r w:rsidRPr="00D7409C">
        <w:t xml:space="preserve">CO is an invisible, odourless and tasteless by-product of combustion (the process of burning </w:t>
      </w:r>
      <w:r w:rsidR="002F330A" w:rsidRPr="00D7409C">
        <w:t>fuel such as wood, coal or gas).</w:t>
      </w:r>
      <w:r w:rsidRPr="00D7409C" w:rsidDel="00F3326F">
        <w:t xml:space="preserve"> </w:t>
      </w:r>
      <w:r w:rsidRPr="00D7409C">
        <w:t xml:space="preserve">Exposure to </w:t>
      </w:r>
      <w:r w:rsidR="00A749CD" w:rsidRPr="00D7409C">
        <w:t>high</w:t>
      </w:r>
      <w:r w:rsidRPr="00D7409C">
        <w:t xml:space="preserve"> concentrations of CO can lead to a range of adverse health outcomes and in extreme cases, can even cause death. </w:t>
      </w:r>
    </w:p>
    <w:p w14:paraId="44166989" w14:textId="77A0EF32" w:rsidR="006400F7" w:rsidRPr="00D7409C" w:rsidRDefault="006400F7" w:rsidP="006400F7">
      <w:pPr>
        <w:pStyle w:val="BodyText"/>
      </w:pPr>
      <w:r w:rsidRPr="00D7409C">
        <w:t xml:space="preserve">When inhaled, CO binds strongly to </w:t>
      </w:r>
      <w:r w:rsidR="002C0D5F" w:rsidRPr="00D7409C">
        <w:t xml:space="preserve">haemoglobin in </w:t>
      </w:r>
      <w:r w:rsidRPr="00D7409C">
        <w:t xml:space="preserve">red blood cells and displaces oxygen from the blood. This process reduces the amount of oxygen available for body tissues and organs to properly function, particularly the heart, brain and muscles. If exposure </w:t>
      </w:r>
      <w:r w:rsidR="00BF3EB2">
        <w:t>leads</w:t>
      </w:r>
      <w:r w:rsidRPr="00D7409C">
        <w:t xml:space="preserve"> to a high concentration of CO in the blood stream, the exposed individual can experience a range of adverse health effects.</w:t>
      </w:r>
      <w:r w:rsidR="00734583">
        <w:t xml:space="preserve"> </w:t>
      </w:r>
      <w:r w:rsidR="00B430B9">
        <w:t xml:space="preserve">High blood concentrations of CO may occur </w:t>
      </w:r>
      <w:r w:rsidR="001F5082">
        <w:t>if some</w:t>
      </w:r>
      <w:r w:rsidR="003419B8">
        <w:t>one</w:t>
      </w:r>
      <w:r w:rsidR="001F5082">
        <w:t xml:space="preserve"> is exposed to very high CO levels for a short time period, or</w:t>
      </w:r>
      <w:r w:rsidR="003419B8">
        <w:t xml:space="preserve"> they are exposed to medium to high CO levels over an extended period</w:t>
      </w:r>
      <w:r w:rsidR="00950A36">
        <w:t xml:space="preserve"> in </w:t>
      </w:r>
      <w:r w:rsidR="000C7D9B">
        <w:t xml:space="preserve">areas </w:t>
      </w:r>
      <w:r w:rsidR="00950A36">
        <w:t>where CO cannot disperse.</w:t>
      </w:r>
    </w:p>
    <w:p w14:paraId="2ADB7A8C" w14:textId="7405564F" w:rsidR="006400F7" w:rsidRPr="00D7409C" w:rsidRDefault="006400F7" w:rsidP="006400F7">
      <w:pPr>
        <w:pStyle w:val="BodyText"/>
      </w:pPr>
      <w:r w:rsidRPr="00D7409C">
        <w:t xml:space="preserve">The effect of CO exposure on human health depends on the quantity and duration of </w:t>
      </w:r>
      <w:r w:rsidR="002C0D5F" w:rsidRPr="00D7409C">
        <w:t>exposure</w:t>
      </w:r>
      <w:r w:rsidRPr="00D7409C">
        <w:t>, as well as the health of the exposed individual. Low level exposure can cause fatigue, headaches, nausea, vertigo, malaise and flu-like symptoms. In more serious cases, symptoms can advance to feelings of confusion, respiratory failure, convulsions, long-term neuropsychological and cardiovascular issues, and even death.</w:t>
      </w:r>
      <w:r w:rsidRPr="00D7409C">
        <w:rPr>
          <w:rStyle w:val="FootnoteReference"/>
        </w:rPr>
        <w:footnoteReference w:id="54"/>
      </w:r>
      <w:r w:rsidRPr="00D7409C">
        <w:t xml:space="preserve"> </w:t>
      </w:r>
      <w:r w:rsidRPr="00D7409C">
        <w:rPr>
          <w:rFonts w:asciiTheme="majorHAnsi" w:hAnsiTheme="majorHAnsi"/>
        </w:rPr>
        <w:t xml:space="preserve">People who survive CO poisoning may also experience long-term </w:t>
      </w:r>
      <w:r w:rsidR="00624C61">
        <w:rPr>
          <w:rFonts w:asciiTheme="majorHAnsi" w:hAnsiTheme="majorHAnsi"/>
        </w:rPr>
        <w:t xml:space="preserve">reductions in quality of life including as a result of </w:t>
      </w:r>
      <w:r w:rsidRPr="00D7409C">
        <w:rPr>
          <w:rFonts w:asciiTheme="majorHAnsi" w:hAnsiTheme="majorHAnsi"/>
        </w:rPr>
        <w:t>neurological damage.</w:t>
      </w:r>
      <w:r w:rsidR="001364F0" w:rsidRPr="00D7409C">
        <w:rPr>
          <w:rFonts w:asciiTheme="majorHAnsi" w:hAnsiTheme="majorHAnsi"/>
        </w:rPr>
        <w:t xml:space="preserve"> A US study suggests up to 50</w:t>
      </w:r>
      <w:r w:rsidR="001A645C">
        <w:rPr>
          <w:rFonts w:asciiTheme="majorHAnsi" w:hAnsiTheme="majorHAnsi"/>
        </w:rPr>
        <w:t xml:space="preserve"> per cent</w:t>
      </w:r>
      <w:r w:rsidR="001364F0" w:rsidRPr="00D7409C">
        <w:rPr>
          <w:rFonts w:asciiTheme="majorHAnsi" w:hAnsiTheme="majorHAnsi"/>
        </w:rPr>
        <w:t xml:space="preserve"> of people experience neurological impacts from CO poisoning</w:t>
      </w:r>
      <w:r w:rsidR="00512583" w:rsidRPr="00D7409C">
        <w:rPr>
          <w:rStyle w:val="FootnoteReference"/>
          <w:rFonts w:asciiTheme="majorHAnsi" w:hAnsiTheme="majorHAnsi"/>
        </w:rPr>
        <w:footnoteReference w:id="55"/>
      </w:r>
      <w:r w:rsidR="00512583">
        <w:rPr>
          <w:rFonts w:asciiTheme="majorHAnsi" w:hAnsiTheme="majorHAnsi"/>
        </w:rPr>
        <w:t xml:space="preserve"> and hearing loss </w:t>
      </w:r>
      <w:r w:rsidR="0070754E">
        <w:rPr>
          <w:rFonts w:asciiTheme="majorHAnsi" w:hAnsiTheme="majorHAnsi"/>
        </w:rPr>
        <w:t>can also be an</w:t>
      </w:r>
      <w:r w:rsidR="009874C0">
        <w:rPr>
          <w:rFonts w:asciiTheme="majorHAnsi" w:hAnsiTheme="majorHAnsi"/>
        </w:rPr>
        <w:t xml:space="preserve"> outcome</w:t>
      </w:r>
      <w:r w:rsidR="001364F0" w:rsidRPr="00D7409C">
        <w:rPr>
          <w:rFonts w:asciiTheme="majorHAnsi" w:hAnsiTheme="majorHAnsi"/>
        </w:rPr>
        <w:t>.</w:t>
      </w:r>
    </w:p>
    <w:p w14:paraId="40F9152A" w14:textId="7FED4B66" w:rsidR="006400F7" w:rsidRPr="00D7409C" w:rsidRDefault="006400F7" w:rsidP="006400F7">
      <w:pPr>
        <w:pStyle w:val="BodyText"/>
      </w:pPr>
      <w:r w:rsidRPr="00D7409C">
        <w:t xml:space="preserve">CO poisoning may also impact health indirectly, though this is difficult to quantify. For example, injuries in the home may be more likely to occur when people suffer from symptoms such as tiredness, confusion and loss of balance. Ongoing symptoms may also affect mental health. </w:t>
      </w:r>
    </w:p>
    <w:p w14:paraId="2EADD0F6" w14:textId="61852321" w:rsidR="006400F7" w:rsidRPr="00D7409C" w:rsidRDefault="006400F7" w:rsidP="006400F7">
      <w:r w:rsidRPr="00D7409C">
        <w:t xml:space="preserve">While all people are susceptible to CO poisoning, certain groups are more likely to suffer from the adverse effects associated with CO exposure. Children, </w:t>
      </w:r>
      <w:r w:rsidR="003236FD">
        <w:t>people over 65 years</w:t>
      </w:r>
      <w:r w:rsidRPr="00D7409C">
        <w:t>, pregnant women, and people with pre-existing conditions (such as asthma</w:t>
      </w:r>
      <w:r w:rsidR="007741E6">
        <w:t xml:space="preserve">, heart </w:t>
      </w:r>
      <w:r w:rsidR="003D41A3">
        <w:t xml:space="preserve">or respiratory </w:t>
      </w:r>
      <w:r w:rsidR="007741E6">
        <w:t>conditions</w:t>
      </w:r>
      <w:r w:rsidR="00BA16C6">
        <w:t>,</w:t>
      </w:r>
      <w:r w:rsidR="007741E6">
        <w:t xml:space="preserve"> or anaemia</w:t>
      </w:r>
      <w:r w:rsidR="00BA16C6">
        <w:t>)</w:t>
      </w:r>
      <w:r w:rsidRPr="00D7409C">
        <w:t xml:space="preserve"> are </w:t>
      </w:r>
      <w:r w:rsidR="00F15F7E">
        <w:t>more</w:t>
      </w:r>
      <w:r w:rsidRPr="00D7409C">
        <w:t xml:space="preserve"> likely to experience serious health impacts from CO exposure. </w:t>
      </w:r>
    </w:p>
    <w:p w14:paraId="7C02E6B6" w14:textId="245C984F" w:rsidR="006A7451" w:rsidRPr="00D7409C" w:rsidRDefault="008E493D" w:rsidP="006400F7">
      <w:r w:rsidRPr="00D7409C">
        <w:t>Case</w:t>
      </w:r>
      <w:r w:rsidR="006A7451" w:rsidRPr="00D7409C">
        <w:t xml:space="preserve"> studies detailing fatal and non-fatal episodes of CO exposure are provided in this chapter.</w:t>
      </w:r>
    </w:p>
    <w:p w14:paraId="249B051D" w14:textId="48D129B1" w:rsidR="00BE3E9A" w:rsidRPr="00FF5BFF" w:rsidRDefault="00BE3E9A" w:rsidP="00FF5BFF">
      <w:pPr>
        <w:pStyle w:val="Heading3"/>
        <w:numPr>
          <w:ilvl w:val="1"/>
          <w:numId w:val="172"/>
        </w:numPr>
        <w:rPr>
          <w:color w:val="62B5E5" w:themeColor="accent3"/>
        </w:rPr>
      </w:pPr>
      <w:r w:rsidRPr="00FF5BFF">
        <w:rPr>
          <w:color w:val="62B5E5" w:themeColor="accent3"/>
        </w:rPr>
        <w:t xml:space="preserve">Risk of </w:t>
      </w:r>
      <w:r w:rsidR="00E5344A" w:rsidRPr="00FF5BFF">
        <w:rPr>
          <w:color w:val="62B5E5" w:themeColor="accent3"/>
        </w:rPr>
        <w:t>CO poisoning from OFGSH</w:t>
      </w:r>
      <w:r w:rsidR="003343B0" w:rsidRPr="00FF5BFF">
        <w:rPr>
          <w:color w:val="62B5E5" w:themeColor="accent3"/>
        </w:rPr>
        <w:t>s</w:t>
      </w:r>
    </w:p>
    <w:p w14:paraId="5337D83A" w14:textId="4EB379F8" w:rsidR="00387EF0" w:rsidRPr="00D7409C" w:rsidRDefault="00387EF0" w:rsidP="00387EF0">
      <w:r w:rsidRPr="00D7409C">
        <w:t xml:space="preserve">While any combustion appliance (such as coal, wood or gas burning appliance) can produce CO, </w:t>
      </w:r>
      <w:r w:rsidR="000932DA">
        <w:t xml:space="preserve">OFGSHs </w:t>
      </w:r>
      <w:r w:rsidRPr="00D7409C">
        <w:t>have a design that poses a risk to users.</w:t>
      </w:r>
      <w:r w:rsidR="006C0720">
        <w:rPr>
          <w:rStyle w:val="FootnoteReference"/>
        </w:rPr>
        <w:footnoteReference w:id="56"/>
      </w:r>
      <w:r w:rsidRPr="00D7409C">
        <w:t xml:space="preserve"> </w:t>
      </w:r>
    </w:p>
    <w:p w14:paraId="206F1DBC" w14:textId="77777777" w:rsidR="00387EF0" w:rsidRPr="00D7409C" w:rsidRDefault="00387EF0" w:rsidP="00387EF0">
      <w:r w:rsidRPr="00D7409C">
        <w:t xml:space="preserve">OFGSHs draw in air for combustion from inside the room in which the heater is installed through primary air openings in the heater. This air is then used to fuel combustion and the resulting combustion by-products are expelled outdoors through the flue. The flue is designed to ensure that CO and other toxic fumes are not inhaled by humans. </w:t>
      </w:r>
    </w:p>
    <w:p w14:paraId="5E9D927A" w14:textId="0D4F45D4" w:rsidR="0077616C" w:rsidRPr="00D7409C" w:rsidRDefault="00387EF0" w:rsidP="00AC12E6">
      <w:r w:rsidRPr="00D7409C">
        <w:lastRenderedPageBreak/>
        <w:t>However, certain circumstances can cause combustion by-products to be released into the room either through the primary air openings or draught diverter openings</w:t>
      </w:r>
      <w:r w:rsidR="002F42EF" w:rsidRPr="00D7409C">
        <w:t xml:space="preserve">, </w:t>
      </w:r>
      <w:r w:rsidR="0077616C" w:rsidRPr="00D7409C">
        <w:t>pos</w:t>
      </w:r>
      <w:r w:rsidR="00151E34" w:rsidRPr="00D7409C">
        <w:t>ing</w:t>
      </w:r>
      <w:r w:rsidR="0077616C" w:rsidRPr="00D7409C">
        <w:t xml:space="preserve"> a risk to human health</w:t>
      </w:r>
      <w:r w:rsidR="005F2378" w:rsidRPr="00D7409C">
        <w:t>.</w:t>
      </w:r>
      <w:r w:rsidR="00A23CFF" w:rsidRPr="00D7409C">
        <w:t xml:space="preserve"> </w:t>
      </w:r>
      <w:r w:rsidR="00151E34" w:rsidRPr="00D7409C">
        <w:t xml:space="preserve">For this to happen, </w:t>
      </w:r>
      <w:r w:rsidR="0077616C" w:rsidRPr="00D7409C">
        <w:t>two events need to occur simultaneously:</w:t>
      </w:r>
    </w:p>
    <w:p w14:paraId="5E093E24" w14:textId="77777777" w:rsidR="0077616C" w:rsidRPr="00D7409C" w:rsidRDefault="0077616C" w:rsidP="00E74AA1">
      <w:pPr>
        <w:pStyle w:val="ListParagraph"/>
        <w:numPr>
          <w:ilvl w:val="0"/>
          <w:numId w:val="25"/>
        </w:numPr>
      </w:pPr>
      <w:r w:rsidRPr="00D7409C">
        <w:t>A high concentration of CO needs to be produced through incomplete combustion</w:t>
      </w:r>
    </w:p>
    <w:p w14:paraId="23A1D388" w14:textId="248677DB" w:rsidR="0077616C" w:rsidRPr="00D7409C" w:rsidRDefault="0077616C" w:rsidP="00E74AA1">
      <w:pPr>
        <w:pStyle w:val="ListParagraph"/>
        <w:numPr>
          <w:ilvl w:val="0"/>
          <w:numId w:val="25"/>
        </w:numPr>
      </w:pPr>
      <w:r w:rsidRPr="00D7409C">
        <w:t xml:space="preserve">CO then needs to </w:t>
      </w:r>
      <w:r w:rsidR="003343B0" w:rsidRPr="00D7409C">
        <w:t>spill</w:t>
      </w:r>
      <w:r w:rsidRPr="00D7409C">
        <w:t xml:space="preserve"> into the room in which the heater is located (“CO spillage”).</w:t>
      </w:r>
    </w:p>
    <w:p w14:paraId="123CC3D4" w14:textId="77777777" w:rsidR="0077616C" w:rsidRPr="00D7409C" w:rsidRDefault="0077616C" w:rsidP="005024F8">
      <w:pPr>
        <w:pStyle w:val="Heading3"/>
      </w:pPr>
      <w:r w:rsidRPr="00D7409C">
        <w:t>Incomplete combustion</w:t>
      </w:r>
    </w:p>
    <w:p w14:paraId="40315111" w14:textId="1812EAD5" w:rsidR="0077616C" w:rsidRPr="00D7409C" w:rsidRDefault="0077616C" w:rsidP="0077616C">
      <w:r w:rsidRPr="00D7409C">
        <w:t>Incomplete combustion is the process that occurs when a flame is deprived of</w:t>
      </w:r>
      <w:r w:rsidR="003343B0" w:rsidRPr="00D7409C">
        <w:t xml:space="preserve"> suff</w:t>
      </w:r>
      <w:r w:rsidR="007F35F2" w:rsidRPr="00D7409C">
        <w:t>icient</w:t>
      </w:r>
      <w:r w:rsidRPr="00D7409C">
        <w:t xml:space="preserve"> oxygen. When </w:t>
      </w:r>
      <w:r w:rsidR="00DD1971" w:rsidRPr="00D7409C">
        <w:t xml:space="preserve">fuel (such as coal, wood or gas) </w:t>
      </w:r>
      <w:r w:rsidRPr="00D7409C">
        <w:t xml:space="preserve">is burnt in an abundance of oxygen, only a small concentration of CO is produced. However, when oxygen is limited during combustion, the ratio of </w:t>
      </w:r>
      <w:r w:rsidR="00DD1971" w:rsidRPr="00D7409C">
        <w:t xml:space="preserve">fuel </w:t>
      </w:r>
      <w:r w:rsidRPr="00D7409C">
        <w:t xml:space="preserve">to oxygen is </w:t>
      </w:r>
      <w:r w:rsidR="001C0F9C" w:rsidRPr="00D7409C">
        <w:t xml:space="preserve">increased </w:t>
      </w:r>
      <w:r w:rsidRPr="00D7409C">
        <w:t xml:space="preserve">and high concentrations of CO can be produced. </w:t>
      </w:r>
    </w:p>
    <w:p w14:paraId="3EFFC3BB" w14:textId="77777777" w:rsidR="0077616C" w:rsidRPr="00D7409C" w:rsidRDefault="0077616C" w:rsidP="0077616C">
      <w:r w:rsidRPr="00D7409C">
        <w:t>There are several reasons why incomplete combustion might occur in OFGSHs, including:</w:t>
      </w:r>
    </w:p>
    <w:p w14:paraId="1BE98218" w14:textId="0EB4B4C0" w:rsidR="008B269D" w:rsidRPr="00D7409C" w:rsidRDefault="008B269D" w:rsidP="00E74AA1">
      <w:pPr>
        <w:pStyle w:val="ListParagraph"/>
        <w:numPr>
          <w:ilvl w:val="0"/>
          <w:numId w:val="22"/>
        </w:numPr>
      </w:pPr>
      <w:r w:rsidRPr="00D7409C">
        <w:t xml:space="preserve">Dirt, dust, lint or other items blocking the </w:t>
      </w:r>
      <w:r w:rsidR="0077192C" w:rsidRPr="00D7409C">
        <w:t xml:space="preserve">primary and secondary </w:t>
      </w:r>
      <w:r w:rsidRPr="00D7409C">
        <w:t xml:space="preserve">air </w:t>
      </w:r>
      <w:r w:rsidR="00C20DBA" w:rsidRPr="00D7409C">
        <w:t>openings</w:t>
      </w:r>
      <w:r w:rsidR="00F973A5" w:rsidRPr="00D7409C">
        <w:t xml:space="preserve"> and burner por</w:t>
      </w:r>
      <w:r w:rsidR="00942187" w:rsidRPr="00D7409C">
        <w:t>ts</w:t>
      </w:r>
      <w:r w:rsidRPr="00D7409C">
        <w:t xml:space="preserve"> </w:t>
      </w:r>
    </w:p>
    <w:p w14:paraId="7504AC81" w14:textId="4586DB94" w:rsidR="0077616C" w:rsidRPr="00D7409C" w:rsidRDefault="003044E0" w:rsidP="00E74AA1">
      <w:pPr>
        <w:pStyle w:val="ListParagraph"/>
        <w:numPr>
          <w:ilvl w:val="0"/>
          <w:numId w:val="22"/>
        </w:numPr>
      </w:pPr>
      <w:r w:rsidRPr="00D7409C">
        <w:t>Partial or full blockages of flues and flue terminals (e.g. bi</w:t>
      </w:r>
      <w:r w:rsidR="00443B8E" w:rsidRPr="00D7409C">
        <w:t>rd nests, vermin, etc.)</w:t>
      </w:r>
    </w:p>
    <w:p w14:paraId="0EE3C8A5" w14:textId="77777777" w:rsidR="004A09C7" w:rsidRPr="00D7409C" w:rsidRDefault="004A09C7" w:rsidP="004A09C7">
      <w:pPr>
        <w:pStyle w:val="ListParagraph"/>
        <w:numPr>
          <w:ilvl w:val="0"/>
          <w:numId w:val="22"/>
        </w:numPr>
      </w:pPr>
      <w:r w:rsidRPr="00D7409C">
        <w:t>Poorly designed draught diverter resulting in outdoor weather conditions, strong winds or negative pressure inside the home impacting on flame stability</w:t>
      </w:r>
    </w:p>
    <w:p w14:paraId="53952BF8" w14:textId="77777777" w:rsidR="004A09C7" w:rsidRPr="00D7409C" w:rsidRDefault="004A09C7" w:rsidP="004A09C7">
      <w:pPr>
        <w:pStyle w:val="ListParagraph"/>
        <w:numPr>
          <w:ilvl w:val="0"/>
          <w:numId w:val="22"/>
        </w:numPr>
      </w:pPr>
      <w:r w:rsidRPr="00D7409C">
        <w:t>Build-up of carbon deposits (soot) in the flue and combustion chamber reducing the ability of combustion products to be discharged into the outside atmosphere</w:t>
      </w:r>
    </w:p>
    <w:p w14:paraId="776D718E" w14:textId="1E9EF539" w:rsidR="0077616C" w:rsidRPr="00D7409C" w:rsidRDefault="004A09C7" w:rsidP="000276F0">
      <w:pPr>
        <w:pStyle w:val="ListParagraph"/>
        <w:numPr>
          <w:ilvl w:val="0"/>
          <w:numId w:val="22"/>
        </w:numPr>
      </w:pPr>
      <w:r w:rsidRPr="00D7409C">
        <w:t>Incorrect burner operating pressure</w:t>
      </w:r>
      <w:r w:rsidR="00722D20" w:rsidRPr="00D7409C">
        <w:t>.</w:t>
      </w:r>
    </w:p>
    <w:p w14:paraId="3CAA58AF" w14:textId="2A99BB04" w:rsidR="0077616C" w:rsidRPr="00D7409C" w:rsidRDefault="0077616C" w:rsidP="0077616C">
      <w:r w:rsidRPr="00D7409C">
        <w:t>Under normal circumstances, incomplete combustion</w:t>
      </w:r>
      <w:r w:rsidR="005229DF" w:rsidRPr="00D7409C">
        <w:t xml:space="preserve"> alone</w:t>
      </w:r>
      <w:r w:rsidRPr="00D7409C">
        <w:t xml:space="preserve"> in an </w:t>
      </w:r>
      <w:r w:rsidR="000932DA">
        <w:t xml:space="preserve">OFGSH </w:t>
      </w:r>
      <w:r w:rsidRPr="00D7409C">
        <w:t>is not sufficient to endanger human life</w:t>
      </w:r>
      <w:r w:rsidR="005229DF" w:rsidRPr="00D7409C">
        <w:t xml:space="preserve"> if there is sufficient ventilation to prevent adverse (reverse) flow </w:t>
      </w:r>
      <w:r w:rsidR="000266BC" w:rsidRPr="00D7409C">
        <w:t xml:space="preserve">of combustion products </w:t>
      </w:r>
      <w:r w:rsidR="00646875">
        <w:t xml:space="preserve">from the flue back </w:t>
      </w:r>
      <w:r w:rsidR="000266BC" w:rsidRPr="00D7409C">
        <w:t xml:space="preserve">into </w:t>
      </w:r>
      <w:r w:rsidR="00F438A2">
        <w:t>the</w:t>
      </w:r>
      <w:r w:rsidR="000266BC" w:rsidRPr="00D7409C">
        <w:t xml:space="preserve"> room</w:t>
      </w:r>
      <w:r w:rsidRPr="00D7409C">
        <w:t xml:space="preserve">. </w:t>
      </w:r>
      <w:r w:rsidR="00040AB0" w:rsidRPr="00D7409C">
        <w:t>The h</w:t>
      </w:r>
      <w:r w:rsidRPr="00D7409C">
        <w:t xml:space="preserve">igh concentrations of CO should simply be </w:t>
      </w:r>
      <w:r w:rsidR="00E83D34" w:rsidRPr="00D7409C">
        <w:t xml:space="preserve">discharged </w:t>
      </w:r>
      <w:r w:rsidRPr="00D7409C">
        <w:t>through the flue</w:t>
      </w:r>
      <w:r w:rsidR="00E83D34" w:rsidRPr="00D7409C">
        <w:t xml:space="preserve"> to the outside atmosphere</w:t>
      </w:r>
      <w:r w:rsidRPr="00D7409C">
        <w:t xml:space="preserve">. Human health </w:t>
      </w:r>
      <w:r w:rsidR="00F438A2">
        <w:t>and safety</w:t>
      </w:r>
      <w:r w:rsidRPr="00D7409C">
        <w:t xml:space="preserve"> is only at risk when</w:t>
      </w:r>
      <w:r w:rsidR="00E71C11">
        <w:t xml:space="preserve"> negative pressure caused by</w:t>
      </w:r>
      <w:r w:rsidRPr="00D7409C">
        <w:t xml:space="preserve"> </w:t>
      </w:r>
      <w:r w:rsidR="00F27C7A" w:rsidRPr="00D7409C">
        <w:t>a lack of ventilation or flue blockage</w:t>
      </w:r>
      <w:r w:rsidRPr="00D7409C">
        <w:t xml:space="preserve"> </w:t>
      </w:r>
      <w:r w:rsidR="000C2425">
        <w:t xml:space="preserve">(for example due to a lack of maintenance) </w:t>
      </w:r>
      <w:r w:rsidRPr="00D7409C">
        <w:t>prevents the CO from travelling up the flue, and instead causes the gas to spill into the room where the heater is located.</w:t>
      </w:r>
      <w:r w:rsidR="0019652D">
        <w:t xml:space="preserve"> </w:t>
      </w:r>
    </w:p>
    <w:p w14:paraId="6E191467" w14:textId="77777777" w:rsidR="0077616C" w:rsidRPr="00D7409C" w:rsidRDefault="0077616C" w:rsidP="005024F8">
      <w:pPr>
        <w:pStyle w:val="Heading3"/>
      </w:pPr>
      <w:r w:rsidRPr="00D7409C">
        <w:t>CO spillage</w:t>
      </w:r>
    </w:p>
    <w:p w14:paraId="5330A3A9" w14:textId="6E86737B" w:rsidR="0077616C" w:rsidRPr="00D7409C" w:rsidRDefault="0077616C" w:rsidP="0077616C">
      <w:bookmarkStart w:id="166" w:name="_Ref25063235"/>
      <w:bookmarkStart w:id="167" w:name="_Ref25063230"/>
      <w:r w:rsidRPr="00D7409C">
        <w:t xml:space="preserve">Unlike </w:t>
      </w:r>
      <w:r w:rsidR="006735AF" w:rsidRPr="00D7409C">
        <w:t xml:space="preserve">many other heating </w:t>
      </w:r>
      <w:r w:rsidRPr="00D7409C">
        <w:t xml:space="preserve">appliances, OFGSHs interact with the immediate environment to function. This means that, unlike other appliances, the safety of an </w:t>
      </w:r>
      <w:r w:rsidR="000932DA">
        <w:t xml:space="preserve">OFGSH </w:t>
      </w:r>
      <w:r w:rsidRPr="00D7409C">
        <w:t>depends on the environmental conditions it operate</w:t>
      </w:r>
      <w:r w:rsidR="00260F66">
        <w:t>s</w:t>
      </w:r>
      <w:r w:rsidRPr="00D7409C">
        <w:t xml:space="preserve"> in. This can be illustrated by comparing an </w:t>
      </w:r>
      <w:r w:rsidR="000932DA">
        <w:t xml:space="preserve">OFGSH </w:t>
      </w:r>
      <w:r w:rsidRPr="00D7409C">
        <w:t xml:space="preserve">to a room-sealed gas heater. All else being equal, a well-maintained room-sealed gas heater should operate safely regardless of whether it is installed in one dwelling or another. This relationship does not hold for an </w:t>
      </w:r>
      <w:r w:rsidR="000932DA">
        <w:t>OFGSH.</w:t>
      </w:r>
      <w:r w:rsidRPr="00D7409C">
        <w:t xml:space="preserve"> As soon as the ventilation of the environment </w:t>
      </w:r>
      <w:r w:rsidR="00F63EF3" w:rsidRPr="00D7409C">
        <w:t>becomes inadequate</w:t>
      </w:r>
      <w:r w:rsidRPr="00D7409C">
        <w:t xml:space="preserve">, the ability of an </w:t>
      </w:r>
      <w:r w:rsidR="000932DA">
        <w:t xml:space="preserve">OFGSH </w:t>
      </w:r>
      <w:r w:rsidRPr="00D7409C">
        <w:t>to operate safely is affected.</w:t>
      </w:r>
    </w:p>
    <w:p w14:paraId="79EFD193" w14:textId="77388AFC" w:rsidR="0077616C" w:rsidRPr="00D7409C" w:rsidRDefault="0077616C" w:rsidP="004A1994">
      <w:r w:rsidRPr="00D7409C">
        <w:t>Several factors could prevent CO and other combustion by-products from escaping through the flue, such as</w:t>
      </w:r>
      <w:r w:rsidR="00627CC1" w:rsidRPr="00D7409C">
        <w:t xml:space="preserve"> a</w:t>
      </w:r>
      <w:r w:rsidRPr="00D7409C">
        <w:t xml:space="preserve"> negative pressure environment</w:t>
      </w:r>
      <w:r w:rsidR="00627CC1" w:rsidRPr="00D7409C">
        <w:t>, a</w:t>
      </w:r>
      <w:r w:rsidRPr="00D7409C">
        <w:t>n incorrectly installed or damaged flue</w:t>
      </w:r>
      <w:r w:rsidR="00627CC1" w:rsidRPr="00D7409C">
        <w:t xml:space="preserve">, a </w:t>
      </w:r>
      <w:r w:rsidRPr="00D7409C">
        <w:t>poorly maintained flue</w:t>
      </w:r>
      <w:r w:rsidR="00627CC1" w:rsidRPr="00D7409C">
        <w:t>, a</w:t>
      </w:r>
      <w:r w:rsidRPr="00D7409C">
        <w:t>ny flue blockages</w:t>
      </w:r>
      <w:r w:rsidR="00627CC1" w:rsidRPr="00D7409C">
        <w:t>, or a</w:t>
      </w:r>
      <w:r w:rsidRPr="00D7409C">
        <w:t>ny prolonged periods of volatile outdoor weather and strong winds.</w:t>
      </w:r>
      <w:r w:rsidR="006014D3">
        <w:t xml:space="preserve"> The older the OFGSH </w:t>
      </w:r>
      <w:r w:rsidR="00F102C9">
        <w:t>the more likely it is to</w:t>
      </w:r>
      <w:r w:rsidR="006014D3">
        <w:t xml:space="preserve"> creat</w:t>
      </w:r>
      <w:r w:rsidR="00F102C9">
        <w:t>e</w:t>
      </w:r>
      <w:r w:rsidR="006014D3">
        <w:t xml:space="preserve"> conditions that endanger human life</w:t>
      </w:r>
      <w:r w:rsidR="004137D3">
        <w:t xml:space="preserve"> if not regularly serviced</w:t>
      </w:r>
      <w:r w:rsidR="006014D3">
        <w:t>.</w:t>
      </w:r>
    </w:p>
    <w:p w14:paraId="7C2CFA45" w14:textId="0BCD0C5D" w:rsidR="00D93E47" w:rsidRPr="00D7409C" w:rsidRDefault="0077616C" w:rsidP="0077616C">
      <w:r w:rsidRPr="00D7409C">
        <w:t xml:space="preserve">Of these factors, negative pressure is frequently responsible for drawing CO into homes </w:t>
      </w:r>
      <w:r w:rsidR="00C16D33">
        <w:t xml:space="preserve">instead of </w:t>
      </w:r>
      <w:r w:rsidR="004471DB">
        <w:t xml:space="preserve">discharging </w:t>
      </w:r>
      <w:r w:rsidR="00C16D33">
        <w:t>to the outdoor environment via the flue</w:t>
      </w:r>
      <w:r w:rsidRPr="00D7409C">
        <w:t xml:space="preserve">. Negative pressure arises when the indoor atmospheric pressure is lower than the outside atmospheric pressure. This can cause combustion products (including </w:t>
      </w:r>
      <w:r w:rsidR="00A1055C">
        <w:t xml:space="preserve">hazardous levels of </w:t>
      </w:r>
      <w:r w:rsidRPr="00D7409C">
        <w:t xml:space="preserve">CO) to be drawn into the home, rather than </w:t>
      </w:r>
      <w:r w:rsidR="009B5949" w:rsidRPr="00D7409C">
        <w:t xml:space="preserve">discharged </w:t>
      </w:r>
      <w:r w:rsidRPr="00D7409C">
        <w:t xml:space="preserve">through the flue as intended. </w:t>
      </w:r>
    </w:p>
    <w:p w14:paraId="130DC956" w14:textId="01BCB661" w:rsidR="0091152A" w:rsidRPr="00D7409C" w:rsidRDefault="0077616C" w:rsidP="004A1994">
      <w:bookmarkStart w:id="168" w:name="_Ref23166979"/>
      <w:bookmarkEnd w:id="166"/>
      <w:bookmarkEnd w:id="167"/>
      <w:r w:rsidRPr="00D7409C">
        <w:t xml:space="preserve">There are a number of ways that negative pressure environments </w:t>
      </w:r>
      <w:r w:rsidR="009E628D" w:rsidRPr="00D7409C">
        <w:t>occur</w:t>
      </w:r>
      <w:r w:rsidRPr="00D7409C">
        <w:t>. The use of powerful exhaust fans in contemporary kitchens and bathrooms is one example. Operating exhaust fans can lower the indoor atmospheric pressure and cause combustion products to spill into the room. With increased energy efficiency at the forefront of modern architecture, modern building designs are becoming increasingly airtight. Many older buildings are also being modified to reduce existing ventilation and improv</w:t>
      </w:r>
      <w:r w:rsidR="005707EF" w:rsidRPr="00D7409C">
        <w:t>e</w:t>
      </w:r>
      <w:r w:rsidRPr="00D7409C">
        <w:t xml:space="preserve"> window sealing</w:t>
      </w:r>
      <w:r w:rsidR="00132D40">
        <w:t xml:space="preserve"> and </w:t>
      </w:r>
      <w:r w:rsidR="004471DB">
        <w:t xml:space="preserve">reduce </w:t>
      </w:r>
      <w:r w:rsidR="00132D40">
        <w:t>draughts around doors</w:t>
      </w:r>
      <w:r w:rsidRPr="00D7409C">
        <w:t xml:space="preserve">. </w:t>
      </w:r>
      <w:r w:rsidR="00CB023E" w:rsidRPr="00D7409C">
        <w:t>The impact</w:t>
      </w:r>
      <w:r w:rsidR="00E34601" w:rsidRPr="00D7409C">
        <w:t xml:space="preserve"> </w:t>
      </w:r>
      <w:r w:rsidR="00CF321F" w:rsidRPr="00D7409C">
        <w:t>of</w:t>
      </w:r>
      <w:r w:rsidR="00E34601" w:rsidRPr="00D7409C">
        <w:t xml:space="preserve"> energy efficiency </w:t>
      </w:r>
      <w:r w:rsidR="00CF321F" w:rsidRPr="00D7409C">
        <w:t>on ventilation and then the risk of CO poisoning is</w:t>
      </w:r>
      <w:r w:rsidR="00E34601" w:rsidRPr="00D7409C">
        <w:t xml:space="preserve"> discussed in section </w:t>
      </w:r>
      <w:r w:rsidR="00F54140" w:rsidRPr="00D7409C">
        <w:t>2</w:t>
      </w:r>
      <w:r w:rsidR="00E34601" w:rsidRPr="00D7409C">
        <w:t>.</w:t>
      </w:r>
      <w:r w:rsidR="006213C0">
        <w:t>3</w:t>
      </w:r>
      <w:r w:rsidR="00E34601" w:rsidRPr="00D7409C">
        <w:t xml:space="preserve">.1. </w:t>
      </w:r>
    </w:p>
    <w:p w14:paraId="174C8811" w14:textId="2BB608FC" w:rsidR="00754AFB" w:rsidRPr="00D7409C" w:rsidRDefault="0077616C" w:rsidP="00754AFB">
      <w:r w:rsidRPr="00D7409C">
        <w:lastRenderedPageBreak/>
        <w:t xml:space="preserve">Under normal circumstances, operating an </w:t>
      </w:r>
      <w:r w:rsidR="000932DA">
        <w:t xml:space="preserve">OFGSH </w:t>
      </w:r>
      <w:r w:rsidRPr="00D7409C">
        <w:t xml:space="preserve">in a negative pressure environment is not </w:t>
      </w:r>
      <w:r w:rsidR="00073F3D" w:rsidRPr="00D7409C">
        <w:t xml:space="preserve">necessarily </w:t>
      </w:r>
      <w:r w:rsidRPr="00D7409C">
        <w:t>sufficient to endanger human life. If combustion</w:t>
      </w:r>
      <w:r w:rsidR="00626B59" w:rsidRPr="00D7409C">
        <w:t xml:space="preserve"> is clean</w:t>
      </w:r>
      <w:r w:rsidR="00C518BB" w:rsidRPr="00D7409C">
        <w:t xml:space="preserve"> with little CO </w:t>
      </w:r>
      <w:r w:rsidR="00387E66" w:rsidRPr="00D7409C">
        <w:t>produced,</w:t>
      </w:r>
      <w:r w:rsidR="0088208D" w:rsidRPr="00D7409C">
        <w:t xml:space="preserve"> then </w:t>
      </w:r>
      <w:r w:rsidRPr="00D7409C">
        <w:t xml:space="preserve">the concentration of CO that is </w:t>
      </w:r>
      <w:r w:rsidR="0088208D" w:rsidRPr="00D7409C">
        <w:t xml:space="preserve">spilled </w:t>
      </w:r>
      <w:r w:rsidRPr="00D7409C">
        <w:t xml:space="preserve">into the room would be low and therefore not considered life threating. However, should incomplete combustion occur in an </w:t>
      </w:r>
      <w:r w:rsidR="000932DA">
        <w:t xml:space="preserve">OFGSH </w:t>
      </w:r>
      <w:r w:rsidRPr="00D7409C">
        <w:t xml:space="preserve">being operated in a negative pressure environment, high concentrations of CO </w:t>
      </w:r>
      <w:r w:rsidR="005F5809" w:rsidRPr="00D7409C">
        <w:t>c</w:t>
      </w:r>
      <w:r w:rsidRPr="00D7409C">
        <w:t xml:space="preserve">ould </w:t>
      </w:r>
      <w:r w:rsidR="00797D97" w:rsidRPr="00D7409C">
        <w:t xml:space="preserve">spill </w:t>
      </w:r>
      <w:r w:rsidRPr="00D7409C">
        <w:t>into the room and pose a serious threat to human health and life.</w:t>
      </w:r>
    </w:p>
    <w:p w14:paraId="41872045" w14:textId="4F909E96" w:rsidR="00936D9B" w:rsidRPr="00D7409C" w:rsidRDefault="00936D9B" w:rsidP="00936D9B">
      <w:r w:rsidRPr="00D7409C">
        <w:t>In June 2018, audits conducted by the VBA and ESV reviewed a sample of 105 homes that had been built or renovated since 2005. They found that more than half of the homes presented a significant risk of negative pressure.</w:t>
      </w:r>
      <w:r w:rsidRPr="00D7409C">
        <w:rPr>
          <w:rStyle w:val="FootnoteReference"/>
        </w:rPr>
        <w:footnoteReference w:id="57"/>
      </w:r>
      <w:r w:rsidRPr="00D7409C">
        <w:t xml:space="preserve"> </w:t>
      </w:r>
    </w:p>
    <w:p w14:paraId="3C983675" w14:textId="5C7BD230" w:rsidR="00E5710F" w:rsidRPr="00D7409C" w:rsidDel="00A23867" w:rsidRDefault="00E5710F" w:rsidP="00E5710F">
      <w:r w:rsidRPr="00D7409C">
        <w:t>The following case study demonstrates the role that inadequate ventilation and negative pressure played in the death of Sonia Sofianopoulos.</w:t>
      </w:r>
    </w:p>
    <w:p w14:paraId="366DE991" w14:textId="77777777" w:rsidR="00E5710F" w:rsidRPr="00D7409C" w:rsidRDefault="00E5710F" w:rsidP="00E5710F">
      <w:r w:rsidRPr="00D7409C">
        <w:rPr>
          <w:noProof/>
          <w:lang w:eastAsia="en-AU"/>
        </w:rPr>
        <mc:AlternateContent>
          <mc:Choice Requires="wps">
            <w:drawing>
              <wp:inline distT="0" distB="0" distL="0" distR="0" wp14:anchorId="4E7E0B35" wp14:editId="6084A237">
                <wp:extent cx="5731510" cy="3731941"/>
                <wp:effectExtent l="0" t="0" r="21590" b="20955"/>
                <wp:docPr id="7" name="Rectangle 7"/>
                <wp:cNvGraphicFramePr/>
                <a:graphic xmlns:a="http://schemas.openxmlformats.org/drawingml/2006/main">
                  <a:graphicData uri="http://schemas.microsoft.com/office/word/2010/wordprocessingShape">
                    <wps:wsp>
                      <wps:cNvSpPr/>
                      <wps:spPr bwMode="gray">
                        <a:xfrm>
                          <a:off x="0" y="0"/>
                          <a:ext cx="5731510" cy="3731941"/>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2F2E5D8B" w14:textId="77777777" w:rsidR="0082085F" w:rsidRPr="00BC3A9D" w:rsidRDefault="0082085F" w:rsidP="00E5710F">
                            <w:pPr>
                              <w:rPr>
                                <w:b/>
                              </w:rPr>
                            </w:pPr>
                            <w:r>
                              <w:rPr>
                                <w:b/>
                              </w:rPr>
                              <w:t>Case study: Sonia Sofianopoulos</w:t>
                            </w:r>
                          </w:p>
                          <w:p w14:paraId="20C762A8" w14:textId="16ACEF14" w:rsidR="0082085F" w:rsidRPr="009F57E8" w:rsidRDefault="0082085F" w:rsidP="00E5710F">
                            <w:r>
                              <w:t xml:space="preserve">In the Victorian Coroner’s report following an inquest into the death of Sonia Sofianopoulos, who was killed by CO poisoning in July 2017, it was determined that a </w:t>
                            </w:r>
                            <w:r w:rsidRPr="00BB56FF">
                              <w:t xml:space="preserve">combination of events had resulted in Ms Sofianopoulos’ death. The combination of the draught diverter of the heater, under low velocity down draught, induced by a </w:t>
                            </w:r>
                            <w:r w:rsidRPr="00C60102">
                              <w:t>negative pressure environment in the room, caused the heater to produce poor combustion, resulting in high levels of carbon monoxide in the flue products which were introduced into the room air by the down draught.</w:t>
                            </w:r>
                          </w:p>
                          <w:p w14:paraId="1C20939C" w14:textId="77777777" w:rsidR="0082085F" w:rsidRPr="00410117" w:rsidRDefault="0082085F" w:rsidP="00E5710F">
                            <w:pPr>
                              <w:rPr>
                                <w:b/>
                              </w:rPr>
                            </w:pPr>
                            <w:r w:rsidRPr="00410117">
                              <w:rPr>
                                <w:b/>
                              </w:rPr>
                              <w:t>Inadequate adventitious ventilation</w:t>
                            </w:r>
                          </w:p>
                          <w:p w14:paraId="28CB9393" w14:textId="77777777" w:rsidR="0082085F" w:rsidRPr="009F7691" w:rsidDel="00D57913" w:rsidRDefault="0082085F" w:rsidP="00E5710F">
                            <w:r w:rsidRPr="00410117">
                              <w:t>A gas</w:t>
                            </w:r>
                            <w:r w:rsidRPr="00387E9A">
                              <w:t xml:space="preserve"> certification expert noted that “</w:t>
                            </w:r>
                            <w:r w:rsidRPr="00FD4E71">
                              <w:rPr>
                                <w:i/>
                              </w:rPr>
                              <w:t>the unit must have been sealed tight, and had very little room for natural ventilation, also known as adventitious ventilation</w:t>
                            </w:r>
                            <w:r w:rsidRPr="009F7691">
                              <w:t>.” Consistent with this, a representative from ESV stated that “</w:t>
                            </w:r>
                            <w:r w:rsidRPr="009F7691">
                              <w:rPr>
                                <w:i/>
                              </w:rPr>
                              <w:t>due to the design of the heater, under a negative pressure environment, it would be probable that CO would enter into a house where there is a lack of ventilation</w:t>
                            </w:r>
                            <w:r w:rsidRPr="009F7691">
                              <w:t>.” A consultant engineer noted that “</w:t>
                            </w:r>
                            <w:r w:rsidRPr="009F7691">
                              <w:rPr>
                                <w:i/>
                              </w:rPr>
                              <w:t>if there had have [sic] been effective ventilation in the unit, the death would have been prevented</w:t>
                            </w:r>
                            <w:r w:rsidRPr="009F7691">
                              <w:t>”.</w:t>
                            </w:r>
                          </w:p>
                          <w:p w14:paraId="24E94851" w14:textId="77777777" w:rsidR="0082085F" w:rsidRPr="009F7691" w:rsidRDefault="0082085F" w:rsidP="00E5710F">
                            <w:pPr>
                              <w:rPr>
                                <w:b/>
                              </w:rPr>
                            </w:pPr>
                            <w:r w:rsidRPr="009F7691">
                              <w:rPr>
                                <w:b/>
                              </w:rPr>
                              <w:t>Negative pressure environment</w:t>
                            </w:r>
                          </w:p>
                          <w:p w14:paraId="24882411" w14:textId="77777777" w:rsidR="0082085F" w:rsidRDefault="0082085F" w:rsidP="00E5710F">
                            <w:r w:rsidRPr="009F7691">
                              <w:t>ESV asserted that the CO spillage was not caused by the heater, but by a negative pressure environment. ESV stated that “</w:t>
                            </w:r>
                            <w:r w:rsidRPr="009F7691">
                              <w:rPr>
                                <w:i/>
                              </w:rPr>
                              <w:t>in all likelihood it was the effect of the two exhaust fans being operated in conjunction with each other</w:t>
                            </w:r>
                            <w:r w:rsidRPr="009F7691">
                              <w:t>”, with issues with the weather ruled out by experts. These exhaust fans had been installed as part of modifications to the unit in 2008.</w:t>
                            </w:r>
                          </w:p>
                          <w:p w14:paraId="1C3A12B0" w14:textId="77777777" w:rsidR="0082085F" w:rsidRDefault="0082085F" w:rsidP="00E5710F"/>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inline>
            </w:drawing>
          </mc:Choice>
          <mc:Fallback>
            <w:pict>
              <v:rect w14:anchorId="4E7E0B35" id="Rectangle 7" o:spid="_x0000_s1029" style="width:451.3pt;height:293.85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" fillcolor="white [3201]" strokecolor="#62b5e5 [3206]" strokeweight="2pt">
                <v:textbox inset="7pt,7pt,7pt,7pt">
                  <w:txbxContent>
                    <w:p w14:paraId="2F2E5D8B" w14:textId="77777777" w:rsidR="0082085F" w:rsidRPr="00BC3A9D" w:rsidRDefault="0082085F" w:rsidP="00E5710F">
                      <w:pPr>
                        <w:rPr>
                          <w:b/>
                        </w:rPr>
                      </w:pPr>
                      <w:r>
                        <w:rPr>
                          <w:b/>
                        </w:rPr>
                        <w:t>Case study: Sonia Sofianopoulos</w:t>
                      </w:r>
                    </w:p>
                    <w:p w14:paraId="20C762A8" w14:textId="16ACEF14" w:rsidR="0082085F" w:rsidRPr="009F57E8" w:rsidRDefault="0082085F" w:rsidP="00E5710F">
                      <w:r>
                        <w:t xml:space="preserve">In the Victorian Coroner’s report following an inquest into the death of Sonia Sofianopoulos, who was killed by CO poisoning in July 2017, it was determined that a </w:t>
                      </w:r>
                      <w:r w:rsidRPr="00BB56FF">
                        <w:t xml:space="preserve">combination of events had resulted in Ms Sofianopoulos’ death. The combination of the draught diverter of the heater, under low velocity down draught, induced by a </w:t>
                      </w:r>
                      <w:r w:rsidRPr="00C60102">
                        <w:t>negative pressure environment in the room, caused the heater to produce poor combustion, resulting in high levels of carbon monoxide in the flue products which were introduced into the room air by the down draught.</w:t>
                      </w:r>
                    </w:p>
                    <w:p w14:paraId="1C20939C" w14:textId="77777777" w:rsidR="0082085F" w:rsidRPr="00410117" w:rsidRDefault="0082085F" w:rsidP="00E5710F">
                      <w:pPr>
                        <w:rPr>
                          <w:b/>
                        </w:rPr>
                      </w:pPr>
                      <w:r w:rsidRPr="00410117">
                        <w:rPr>
                          <w:b/>
                        </w:rPr>
                        <w:t>Inadequate adventitious ventilation</w:t>
                      </w:r>
                    </w:p>
                    <w:p w14:paraId="28CB9393" w14:textId="77777777" w:rsidR="0082085F" w:rsidRPr="009F7691" w:rsidDel="00D57913" w:rsidRDefault="0082085F" w:rsidP="00E5710F">
                      <w:r w:rsidRPr="00410117">
                        <w:t>A gas</w:t>
                      </w:r>
                      <w:r w:rsidRPr="00387E9A">
                        <w:t xml:space="preserve"> certification expert noted that “</w:t>
                      </w:r>
                      <w:r w:rsidRPr="00FD4E71">
                        <w:rPr>
                          <w:i/>
                        </w:rPr>
                        <w:t>the unit must have been sealed tight, and had very little room for natural ventilation, also known as adventitious ventilation</w:t>
                      </w:r>
                      <w:r w:rsidRPr="009F7691">
                        <w:t>.” Consistent with this, a representative from ESV stated that “</w:t>
                      </w:r>
                      <w:r w:rsidRPr="009F7691">
                        <w:rPr>
                          <w:i/>
                        </w:rPr>
                        <w:t>due to the design of the heater, under a negative pressure environment, it would be probable that CO would enter into a house where there is a lack of ventilation</w:t>
                      </w:r>
                      <w:r w:rsidRPr="009F7691">
                        <w:t>.” A consultant engineer noted that “</w:t>
                      </w:r>
                      <w:r w:rsidRPr="009F7691">
                        <w:rPr>
                          <w:i/>
                        </w:rPr>
                        <w:t>if there had have [sic] been effective ventilation in the unit, the death would have been prevented</w:t>
                      </w:r>
                      <w:r w:rsidRPr="009F7691">
                        <w:t>”.</w:t>
                      </w:r>
                    </w:p>
                    <w:p w14:paraId="24E94851" w14:textId="77777777" w:rsidR="0082085F" w:rsidRPr="009F7691" w:rsidRDefault="0082085F" w:rsidP="00E5710F">
                      <w:pPr>
                        <w:rPr>
                          <w:b/>
                        </w:rPr>
                      </w:pPr>
                      <w:r w:rsidRPr="009F7691">
                        <w:rPr>
                          <w:b/>
                        </w:rPr>
                        <w:t>Negative pressure environment</w:t>
                      </w:r>
                    </w:p>
                    <w:p w14:paraId="24882411" w14:textId="77777777" w:rsidR="0082085F" w:rsidRDefault="0082085F" w:rsidP="00E5710F">
                      <w:r w:rsidRPr="009F7691">
                        <w:t>ESV asserted that the CO spillage was not caused by the heater, but by a negative pressure environment. ESV stated that “</w:t>
                      </w:r>
                      <w:r w:rsidRPr="009F7691">
                        <w:rPr>
                          <w:i/>
                        </w:rPr>
                        <w:t>in all likelihood it was the effect of the two exhaust fans being operated in conjunction with each other</w:t>
                      </w:r>
                      <w:r w:rsidRPr="009F7691">
                        <w:t>”, with issues with the weather ruled out by experts. These exhaust fans had been installed as part of modifications to the unit in 2008.</w:t>
                      </w:r>
                    </w:p>
                    <w:p w14:paraId="1C3A12B0" w14:textId="77777777" w:rsidR="0082085F" w:rsidRDefault="0082085F" w:rsidP="00E5710F"/>
                  </w:txbxContent>
                </v:textbox>
                <w10:anchorlock/>
              </v:rect>
            </w:pict>
          </mc:Fallback>
        </mc:AlternateContent>
      </w:r>
    </w:p>
    <w:p w14:paraId="31A628F5" w14:textId="02493996" w:rsidR="00717C79" w:rsidRPr="00D342D2" w:rsidRDefault="00E5710F">
      <w:pPr>
        <w:pStyle w:val="Source"/>
        <w:rPr>
          <w:szCs w:val="14"/>
        </w:rPr>
      </w:pPr>
      <w:r w:rsidRPr="00A0348F">
        <w:rPr>
          <w:szCs w:val="16"/>
        </w:rPr>
        <w:t xml:space="preserve">Source: </w:t>
      </w:r>
      <w:r w:rsidRPr="00D342D2">
        <w:rPr>
          <w:szCs w:val="16"/>
        </w:rPr>
        <w:t>Coroners Court of Victoria. (2018</w:t>
      </w:r>
      <w:r w:rsidRPr="00C05212">
        <w:rPr>
          <w:i/>
          <w:iCs w:val="0"/>
          <w:szCs w:val="16"/>
        </w:rPr>
        <w:t>). Inquest into the death of Sonia Sofianopoulos</w:t>
      </w:r>
      <w:r w:rsidRPr="00A0348F">
        <w:rPr>
          <w:szCs w:val="16"/>
        </w:rPr>
        <w:t xml:space="preserve"> (File No. COR 2017</w:t>
      </w:r>
      <w:r w:rsidR="0082138F">
        <w:rPr>
          <w:szCs w:val="16"/>
        </w:rPr>
        <w:t>/</w:t>
      </w:r>
      <w:r w:rsidRPr="00A0348F">
        <w:rPr>
          <w:szCs w:val="16"/>
        </w:rPr>
        <w:t xml:space="preserve">3566). </w:t>
      </w:r>
    </w:p>
    <w:p w14:paraId="2ECBFF93" w14:textId="77777777" w:rsidR="00EA6099" w:rsidRPr="00D342D2" w:rsidRDefault="00EA6099" w:rsidP="000276F0">
      <w:pPr>
        <w:pStyle w:val="FootnoteText"/>
        <w:rPr>
          <w:szCs w:val="16"/>
        </w:rPr>
      </w:pPr>
    </w:p>
    <w:p w14:paraId="1925E5EC" w14:textId="1C52EB0C" w:rsidR="008B55C2" w:rsidRPr="00510976" w:rsidRDefault="00474B85" w:rsidP="008B55C2">
      <w:pPr>
        <w:spacing w:after="0" w:line="240" w:lineRule="auto"/>
      </w:pPr>
      <w:r w:rsidRPr="00D7409C">
        <w:t xml:space="preserve">As discussed in </w:t>
      </w:r>
      <w:r w:rsidR="00707C49" w:rsidRPr="00D7409C">
        <w:t>section 1.</w:t>
      </w:r>
      <w:r w:rsidR="006213C0">
        <w:t>3</w:t>
      </w:r>
      <w:r w:rsidRPr="00D7409C">
        <w:t>, OFGSHs are certified against Australian Standards in order to ensure the safety and performance of these appliances</w:t>
      </w:r>
      <w:r w:rsidR="00F45159" w:rsidRPr="00D7409C">
        <w:t>.</w:t>
      </w:r>
      <w:r w:rsidRPr="00D7409C">
        <w:rPr>
          <w:rStyle w:val="FootnoteReference"/>
        </w:rPr>
        <w:footnoteReference w:id="58"/>
      </w:r>
      <w:r w:rsidRPr="00D7409C">
        <w:t xml:space="preserve"> </w:t>
      </w:r>
      <w:r w:rsidR="008A23C3" w:rsidRPr="00D7409C">
        <w:t>I</w:t>
      </w:r>
      <w:r w:rsidRPr="00D7409C">
        <w:t xml:space="preserve">ncidents such as the death of </w:t>
      </w:r>
      <w:r w:rsidR="0087340B">
        <w:t xml:space="preserve">Sonia </w:t>
      </w:r>
      <w:r w:rsidRPr="00D7409C">
        <w:t xml:space="preserve">Sofianopoulos have resulted in some manufactures expressing </w:t>
      </w:r>
      <w:r w:rsidR="008B37BA" w:rsidRPr="00D7409C">
        <w:t>a view</w:t>
      </w:r>
      <w:r w:rsidRPr="00D7409C">
        <w:t xml:space="preserve"> “</w:t>
      </w:r>
      <w:r w:rsidRPr="00D7409C">
        <w:rPr>
          <w:i/>
        </w:rPr>
        <w:t xml:space="preserve">that it </w:t>
      </w:r>
      <w:r w:rsidRPr="00D7409C">
        <w:t xml:space="preserve">[is] </w:t>
      </w:r>
      <w:r w:rsidRPr="00D7409C">
        <w:rPr>
          <w:i/>
        </w:rPr>
        <w:t xml:space="preserve">the environment and not the heater itself that </w:t>
      </w:r>
      <w:r w:rsidRPr="00D7409C">
        <w:t>[is]</w:t>
      </w:r>
      <w:r w:rsidRPr="00D7409C">
        <w:rPr>
          <w:i/>
        </w:rPr>
        <w:t xml:space="preserve"> at fault.</w:t>
      </w:r>
      <w:r w:rsidRPr="00C05212">
        <w:rPr>
          <w:iCs/>
        </w:rPr>
        <w:t>”</w:t>
      </w:r>
      <w:r w:rsidRPr="00D7409C">
        <w:rPr>
          <w:rStyle w:val="FootnoteReference"/>
        </w:rPr>
        <w:footnoteReference w:id="59"/>
      </w:r>
      <w:r w:rsidRPr="00D7409C">
        <w:rPr>
          <w:i/>
        </w:rPr>
        <w:t xml:space="preserve"> </w:t>
      </w:r>
      <w:r w:rsidR="00797D97" w:rsidRPr="00D7409C">
        <w:t>C</w:t>
      </w:r>
      <w:r w:rsidRPr="00D7409C">
        <w:t xml:space="preserve">ertification bodies are tasked with assessing the design of an </w:t>
      </w:r>
      <w:r w:rsidR="000932DA">
        <w:t xml:space="preserve">OFGSH </w:t>
      </w:r>
      <w:r w:rsidRPr="00D7409C">
        <w:t xml:space="preserve">against the requirements </w:t>
      </w:r>
      <w:r w:rsidR="001B3520" w:rsidRPr="00D7409C">
        <w:t xml:space="preserve">prescribed </w:t>
      </w:r>
      <w:r w:rsidRPr="00D7409C">
        <w:t>in the Australian Standards. These products are tested in a laboratory setting under a range of simulated conditions. Once the appliance meets the requirements of the standard, it is issued a product certification.</w:t>
      </w:r>
      <w:r w:rsidRPr="00D7409C">
        <w:rPr>
          <w:rStyle w:val="FootnoteReference"/>
        </w:rPr>
        <w:footnoteReference w:id="60"/>
      </w:r>
      <w:r w:rsidRPr="00D7409C">
        <w:t xml:space="preserve"> </w:t>
      </w:r>
      <w:r w:rsidR="00BC3BFD" w:rsidRPr="00D7409C">
        <w:t xml:space="preserve">Ongoing certification is subject to successful periodic product inspections against a design freeze. </w:t>
      </w:r>
      <w:r w:rsidRPr="00D7409C">
        <w:t>According to consultations, certification bodies are not responsible for</w:t>
      </w:r>
      <w:r w:rsidR="00E2519C" w:rsidRPr="00D7409C">
        <w:t xml:space="preserve"> ensuring</w:t>
      </w:r>
      <w:r w:rsidRPr="00D7409C">
        <w:t xml:space="preserve"> testing</w:t>
      </w:r>
      <w:r w:rsidR="00E2519C" w:rsidRPr="00D7409C">
        <w:t xml:space="preserve"> of</w:t>
      </w:r>
      <w:r w:rsidRPr="00D7409C">
        <w:t xml:space="preserve"> these appliances</w:t>
      </w:r>
      <w:r w:rsidR="00C762EA" w:rsidRPr="00D7409C">
        <w:t xml:space="preserve"> occurs</w:t>
      </w:r>
      <w:r w:rsidRPr="00D7409C">
        <w:t xml:space="preserve"> under all conditions that could practically eventuate in a building.</w:t>
      </w:r>
      <w:r w:rsidR="00726F73">
        <w:t xml:space="preserve"> </w:t>
      </w:r>
      <w:r w:rsidR="00CE0D79" w:rsidRPr="00510976">
        <w:t xml:space="preserve">OFGSHs require both sufficient air to operate correctly and that extraction fans cannot have an adverse effect on the operation of the appliance. Whilst this can be confirmed at point of installation it cannot be controlled in the case of changing conditions (i.e. if ventilation is sealed </w:t>
      </w:r>
      <w:r w:rsidR="00534503" w:rsidRPr="00510976">
        <w:t xml:space="preserve">or </w:t>
      </w:r>
      <w:r w:rsidR="008C747F">
        <w:t>the use of</w:t>
      </w:r>
      <w:r w:rsidR="00534503" w:rsidRPr="00510976">
        <w:t xml:space="preserve"> extraction</w:t>
      </w:r>
      <w:r w:rsidR="00CE0D79" w:rsidRPr="00510976">
        <w:t xml:space="preserve"> </w:t>
      </w:r>
      <w:r w:rsidR="00CE0D79" w:rsidRPr="00510976">
        <w:lastRenderedPageBreak/>
        <w:t>fans</w:t>
      </w:r>
      <w:r w:rsidR="000E5DEC">
        <w:t>). The</w:t>
      </w:r>
      <w:r w:rsidR="003074AB">
        <w:t xml:space="preserve"> </w:t>
      </w:r>
      <w:r w:rsidR="00CE0D79">
        <w:t xml:space="preserve">preferred fast-tracked Australian Standards approach </w:t>
      </w:r>
      <w:r w:rsidR="00CE0D79" w:rsidRPr="00510976">
        <w:t>is designed to shut the appliance down if these conditions present themselves</w:t>
      </w:r>
      <w:r w:rsidR="008B55C2" w:rsidRPr="00510976">
        <w:t>.</w:t>
      </w:r>
    </w:p>
    <w:p w14:paraId="586BAAA7" w14:textId="77777777" w:rsidR="00F65FBA" w:rsidRPr="00510976" w:rsidRDefault="00F65FBA" w:rsidP="008B55C2">
      <w:pPr>
        <w:spacing w:after="0" w:line="240" w:lineRule="auto"/>
      </w:pPr>
    </w:p>
    <w:p w14:paraId="781B9E1F" w14:textId="01AEDB5A" w:rsidR="003D75B7" w:rsidRPr="00D7409C" w:rsidRDefault="008A23C3" w:rsidP="0077616C">
      <w:r w:rsidRPr="00D7409C">
        <w:t>P</w:t>
      </w:r>
      <w:r w:rsidR="004E5DB1" w:rsidRPr="00D7409C">
        <w:t>lumbers</w:t>
      </w:r>
      <w:r w:rsidR="00D26D47" w:rsidRPr="00D7409C">
        <w:t xml:space="preserve"> </w:t>
      </w:r>
      <w:r w:rsidR="00D02D4B" w:rsidRPr="00D7409C">
        <w:t>are required to install OFGSH</w:t>
      </w:r>
      <w:r w:rsidR="008B37BA" w:rsidRPr="00D7409C">
        <w:t>s</w:t>
      </w:r>
      <w:r w:rsidR="00D02D4B" w:rsidRPr="00D7409C">
        <w:t xml:space="preserve"> safely – which means that </w:t>
      </w:r>
      <w:r w:rsidR="00A96806">
        <w:t>OFG</w:t>
      </w:r>
      <w:r w:rsidR="00434537">
        <w:t>S</w:t>
      </w:r>
      <w:r w:rsidR="00A96806">
        <w:t>Hs</w:t>
      </w:r>
      <w:r w:rsidR="00D02D4B" w:rsidRPr="00D7409C">
        <w:t xml:space="preserve"> must be installed with sufficient ventilation and tested for negative pressure. </w:t>
      </w:r>
      <w:r w:rsidR="008F37A6" w:rsidRPr="00D7409C">
        <w:t>However</w:t>
      </w:r>
      <w:r w:rsidR="00B8007D">
        <w:t>,</w:t>
      </w:r>
      <w:r w:rsidR="008F37A6" w:rsidRPr="00D7409C">
        <w:t xml:space="preserve"> there is a risk that</w:t>
      </w:r>
      <w:r w:rsidR="00D02D4B" w:rsidRPr="00D7409C">
        <w:t xml:space="preserve"> the installed environment will </w:t>
      </w:r>
      <w:r w:rsidR="008F37A6" w:rsidRPr="00D7409C">
        <w:t xml:space="preserve">not </w:t>
      </w:r>
      <w:r w:rsidR="00D02D4B" w:rsidRPr="00D7409C">
        <w:t>remain the same through</w:t>
      </w:r>
      <w:r w:rsidR="008F37A6" w:rsidRPr="00D7409C">
        <w:t>out</w:t>
      </w:r>
      <w:r w:rsidR="00D02D4B" w:rsidRPr="00D7409C">
        <w:t xml:space="preserve"> </w:t>
      </w:r>
      <w:r w:rsidR="008F37A6" w:rsidRPr="00D7409C">
        <w:t xml:space="preserve">the life of a </w:t>
      </w:r>
      <w:r w:rsidR="00D02D4B" w:rsidRPr="00D7409C">
        <w:t>heater</w:t>
      </w:r>
      <w:r w:rsidR="008F37A6" w:rsidRPr="00D7409C">
        <w:t>. C</w:t>
      </w:r>
      <w:r w:rsidR="00D02D4B" w:rsidRPr="00D7409C">
        <w:t xml:space="preserve">onsumers or tradespeople may not be aware </w:t>
      </w:r>
      <w:r w:rsidR="006C1406" w:rsidRPr="00D7409C">
        <w:t>of the</w:t>
      </w:r>
      <w:r w:rsidR="00D02D4B" w:rsidRPr="00D7409C">
        <w:t xml:space="preserve"> risks of negative pressure when undertaking energy efficiency improvements such as weather sealing door</w:t>
      </w:r>
      <w:r w:rsidR="007E7758">
        <w:t>s</w:t>
      </w:r>
      <w:r w:rsidR="00D02D4B" w:rsidRPr="00D7409C">
        <w:t xml:space="preserve"> and windows or installing more powerful extraction fans. </w:t>
      </w:r>
      <w:r w:rsidR="003D75B7" w:rsidRPr="00D7409C">
        <w:t xml:space="preserve">While some tradespeople may be aware of how their work might affect the safe operation of OFGSHs, it is equally likely that many might not be. Either way, there is currently no formal obligation that requires tradespeople to prove their work does not affect the safe operation of any gas appliance. It is however noted that in January 2020 the </w:t>
      </w:r>
      <w:r w:rsidR="002C3568">
        <w:t>standard</w:t>
      </w:r>
      <w:r w:rsidR="003D75B7" w:rsidRPr="00D7409C">
        <w:t xml:space="preserve"> AS/NZS 3000 for wiring had been amended to include a warning about the possible adverse effects of an air extract system in the presence of combustion appliances. Australia’s regulatory system differs from the system in the UK, where it is illegal for a tradesperson to alter a dwelling in such a way that compromises the safety of a gas heater.</w:t>
      </w:r>
    </w:p>
    <w:bookmarkEnd w:id="168"/>
    <w:p w14:paraId="20684A91" w14:textId="1E2D4EF0" w:rsidR="00866DF4" w:rsidRPr="00D7409C" w:rsidRDefault="00866DF4" w:rsidP="00470A75">
      <w:pPr>
        <w:pStyle w:val="Heading3"/>
      </w:pPr>
      <w:r w:rsidRPr="00D7409C">
        <w:t xml:space="preserve">Variation between </w:t>
      </w:r>
      <w:r w:rsidR="000932DA">
        <w:t xml:space="preserve">OFGSH </w:t>
      </w:r>
      <w:r w:rsidRPr="00D7409C">
        <w:t>models</w:t>
      </w:r>
    </w:p>
    <w:p w14:paraId="69D2499B" w14:textId="0B94474B" w:rsidR="00805C80" w:rsidRPr="00D7409C" w:rsidRDefault="00805C80" w:rsidP="00805C80">
      <w:r w:rsidRPr="00D7409C">
        <w:t xml:space="preserve">There is some variation between </w:t>
      </w:r>
      <w:r w:rsidR="000932DA">
        <w:t xml:space="preserve">OFGSH </w:t>
      </w:r>
      <w:r w:rsidRPr="00D7409C">
        <w:t>models</w:t>
      </w:r>
      <w:r w:rsidR="00965495" w:rsidRPr="00D7409C">
        <w:t xml:space="preserve"> that impacts the risk of CO poisoning</w:t>
      </w:r>
      <w:r w:rsidRPr="00D7409C">
        <w:t xml:space="preserve">. For example, some OFGSHs have a draught diverter (a component installed in </w:t>
      </w:r>
      <w:r w:rsidR="000932DA">
        <w:t xml:space="preserve">OFGSHs </w:t>
      </w:r>
      <w:r w:rsidRPr="00D7409C">
        <w:t>designed to prevent downdraught interfering with combustion performance) and some do not, however both varieties are susceptible to negative pressure and can spill CO under certain conditions.</w:t>
      </w:r>
    </w:p>
    <w:p w14:paraId="2122E197" w14:textId="7DCA1EE8" w:rsidR="00805C80" w:rsidRPr="00D7409C" w:rsidRDefault="00805C80" w:rsidP="00805C80">
      <w:r w:rsidRPr="00D7409C">
        <w:t xml:space="preserve">Some </w:t>
      </w:r>
      <w:r w:rsidR="000932DA">
        <w:t xml:space="preserve">OFGSHs </w:t>
      </w:r>
      <w:r w:rsidRPr="00D7409C">
        <w:t>are fan assisted (include a combustion fan that either forces or induces air and combustion products up the flue), reducing the likelihood of CO spillage under negative pressure. However, if the combustion fan fails or slows down due to wear and tear while the heater is operating and there is no interlock to shut down the appliance, then the same risks are present as with natural draught OFGSHs</w:t>
      </w:r>
      <w:r w:rsidRPr="00D7409C">
        <w:rPr>
          <w:rStyle w:val="FootnoteReference"/>
        </w:rPr>
        <w:footnoteReference w:id="61"/>
      </w:r>
      <w:r w:rsidRPr="00D7409C">
        <w:t>. This is especially the case where the negative pressure generated by exhaust fans and rangehoods is greater than the pressure generated by the appliance combustion fan.</w:t>
      </w:r>
      <w:r w:rsidR="003138CA">
        <w:t xml:space="preserve"> </w:t>
      </w:r>
      <w:r w:rsidR="008F413E">
        <w:t>Whereas, s</w:t>
      </w:r>
      <w:r w:rsidR="000C46D6" w:rsidRPr="00924252">
        <w:t xml:space="preserve">ome OFGSHs are fan-assisted and have an interlock </w:t>
      </w:r>
      <w:r w:rsidR="004F66B7" w:rsidRPr="00924252">
        <w:t>device</w:t>
      </w:r>
      <w:r w:rsidR="004F66B7">
        <w:t xml:space="preserve"> and</w:t>
      </w:r>
      <w:r w:rsidR="00286308">
        <w:t xml:space="preserve"> will </w:t>
      </w:r>
      <w:r w:rsidR="00D468BF" w:rsidRPr="00924252">
        <w:t xml:space="preserve">shut down </w:t>
      </w:r>
      <w:r w:rsidR="008F413E">
        <w:t>under negative pressure</w:t>
      </w:r>
      <w:r w:rsidR="00D76901">
        <w:t xml:space="preserve"> </w:t>
      </w:r>
      <w:r w:rsidR="00841122">
        <w:t>or blocked flue</w:t>
      </w:r>
      <w:r w:rsidR="00D76901">
        <w:t xml:space="preserve"> </w:t>
      </w:r>
      <w:r w:rsidR="00286308">
        <w:t>conditions.</w:t>
      </w:r>
      <w:r w:rsidR="00D76901" w:rsidRPr="000276F0">
        <w:t xml:space="preserve"> </w:t>
      </w:r>
    </w:p>
    <w:p w14:paraId="5235105B" w14:textId="04C15437" w:rsidR="00805C80" w:rsidRPr="00D7409C" w:rsidRDefault="002729CC" w:rsidP="00D7409C">
      <w:pPr>
        <w:pStyle w:val="Heading4"/>
      </w:pPr>
      <w:r w:rsidRPr="00D7409C">
        <w:t>Other</w:t>
      </w:r>
      <w:r w:rsidR="00805C80" w:rsidRPr="00D7409C">
        <w:t xml:space="preserve"> installed gas space heaters</w:t>
      </w:r>
      <w:r w:rsidR="00805C80" w:rsidRPr="00D7409C" w:rsidDel="00A36AE7">
        <w:t xml:space="preserve"> </w:t>
      </w:r>
      <w:r w:rsidRPr="00D7409C">
        <w:t>not</w:t>
      </w:r>
      <w:r w:rsidR="00D6587A" w:rsidRPr="00D7409C">
        <w:t xml:space="preserve"> in scope of this RIS</w:t>
      </w:r>
    </w:p>
    <w:p w14:paraId="58C15D3B" w14:textId="1A8F82E4" w:rsidR="00805C80" w:rsidRPr="00D7409C" w:rsidRDefault="00805C80" w:rsidP="00805C80">
      <w:pPr>
        <w:rPr>
          <w:rStyle w:val="CommentReference"/>
        </w:rPr>
      </w:pPr>
      <w:r w:rsidRPr="00D7409C">
        <w:t>Broadly speaking, installed gas space heaters are differentiated based upon the presence or absence of a flue and the type of flue</w:t>
      </w:r>
      <w:r w:rsidRPr="00D7409C">
        <w:rPr>
          <w:rStyle w:val="FootnoteReference"/>
        </w:rPr>
        <w:footnoteReference w:id="62"/>
      </w:r>
      <w:r w:rsidRPr="00D7409C">
        <w:t xml:space="preserve"> system </w:t>
      </w:r>
      <w:r w:rsidR="00130277" w:rsidRPr="00D7409C">
        <w:t>(</w:t>
      </w:r>
      <w:r w:rsidRPr="00D7409C">
        <w:t>if any</w:t>
      </w:r>
      <w:r w:rsidR="00130277" w:rsidRPr="00D7409C">
        <w:t>)</w:t>
      </w:r>
      <w:r w:rsidRPr="00D7409C">
        <w:t xml:space="preserve"> and their ability to heat a space or their thermal efficiency. </w:t>
      </w:r>
    </w:p>
    <w:p w14:paraId="0D228909" w14:textId="4F306F1A" w:rsidR="00805C80" w:rsidRPr="00D7409C" w:rsidRDefault="00805C80" w:rsidP="00805C80">
      <w:r w:rsidRPr="00D7409C">
        <w:rPr>
          <w:b/>
        </w:rPr>
        <w:t xml:space="preserve">Flueless (or unflued) </w:t>
      </w:r>
      <w:r w:rsidR="00AB1692">
        <w:rPr>
          <w:b/>
        </w:rPr>
        <w:t xml:space="preserve">space </w:t>
      </w:r>
      <w:r w:rsidRPr="00D7409C">
        <w:rPr>
          <w:b/>
        </w:rPr>
        <w:t xml:space="preserve">heaters </w:t>
      </w:r>
      <w:r w:rsidRPr="00D7409C">
        <w:t xml:space="preserve">draw in air from inside the room through primary air openings in the heater. This air is then mixed with gas and the mixture is ignited for combustion to occur. The resulting combustion products are released back into the room through a flueway in the heater. These heaters have no mechanism to expel combustion products outdoors. In 2008, the Victorian government </w:t>
      </w:r>
      <w:r w:rsidR="00CC6841">
        <w:t>restricted</w:t>
      </w:r>
      <w:r w:rsidRPr="00D7409C">
        <w:t xml:space="preserve"> new installations of these appliances in buildings where they were not previously installed (like for like replacement of flueless heaters </w:t>
      </w:r>
      <w:r w:rsidR="00560F9E">
        <w:t>operating</w:t>
      </w:r>
      <w:r w:rsidR="00B53A71">
        <w:t xml:space="preserve"> on LPG </w:t>
      </w:r>
      <w:r w:rsidRPr="00D7409C">
        <w:t>is still permitted in Victoria</w:t>
      </w:r>
      <w:r w:rsidR="00B2276B">
        <w:t xml:space="preserve"> as long as specific criteria in the Victorian regulations </w:t>
      </w:r>
      <w:r w:rsidR="007F433A">
        <w:t>are</w:t>
      </w:r>
      <w:r w:rsidR="00B2276B">
        <w:t xml:space="preserve"> met</w:t>
      </w:r>
      <w:r w:rsidRPr="00D7409C">
        <w:t>).</w:t>
      </w:r>
      <w:r w:rsidR="009D7166">
        <w:t xml:space="preserve"> </w:t>
      </w:r>
      <w:r w:rsidR="00D00098">
        <w:t>No</w:t>
      </w:r>
      <w:r w:rsidR="00EC7274">
        <w:t xml:space="preserve">twithstanding this, it is a prescribed requirement that flueless space heaters are not installed in </w:t>
      </w:r>
      <w:r w:rsidR="009D7166">
        <w:t xml:space="preserve">hospitals, </w:t>
      </w:r>
      <w:r w:rsidR="0020525D">
        <w:t>community health centres, day procedure centres, residential care services or supported residential services, schools, TAFE or university and children’s service</w:t>
      </w:r>
      <w:r w:rsidR="007F433A">
        <w:t>s</w:t>
      </w:r>
      <w:r w:rsidR="0020525D">
        <w:t xml:space="preserve"> (kindergarten</w:t>
      </w:r>
      <w:r w:rsidR="007F433A">
        <w:t>s</w:t>
      </w:r>
      <w:r w:rsidR="0020525D">
        <w:t>, childcare</w:t>
      </w:r>
      <w:r w:rsidRPr="00D7409C">
        <w:t>).</w:t>
      </w:r>
    </w:p>
    <w:p w14:paraId="00EFE7A1" w14:textId="183933CA" w:rsidR="00805C80" w:rsidRPr="00D7409C" w:rsidRDefault="00805C80" w:rsidP="00805C80">
      <w:r w:rsidRPr="00D7409C">
        <w:rPr>
          <w:b/>
        </w:rPr>
        <w:t>Room sealed (</w:t>
      </w:r>
      <w:r w:rsidR="00047E1F">
        <w:rPr>
          <w:b/>
        </w:rPr>
        <w:t>including</w:t>
      </w:r>
      <w:r w:rsidRPr="00D7409C">
        <w:rPr>
          <w:b/>
        </w:rPr>
        <w:t xml:space="preserve"> balanced flue) </w:t>
      </w:r>
      <w:r w:rsidR="00D97F05">
        <w:rPr>
          <w:b/>
        </w:rPr>
        <w:t xml:space="preserve">space </w:t>
      </w:r>
      <w:r w:rsidRPr="00D7409C">
        <w:rPr>
          <w:b/>
        </w:rPr>
        <w:t xml:space="preserve">heaters </w:t>
      </w:r>
      <w:r w:rsidRPr="00D7409C">
        <w:t xml:space="preserve">draw in air from outside using a sealed air duct. This air is then mixed with gas and ignited for combustion to occur and the resulting combustion products are expelled outdoors through a separate sealed flue. </w:t>
      </w:r>
      <w:r w:rsidR="00030F73">
        <w:t>Where</w:t>
      </w:r>
      <w:r w:rsidRPr="00D7409C">
        <w:t xml:space="preserve"> the air duct and flue terminate at a common terminal </w:t>
      </w:r>
      <w:r w:rsidR="00030F73">
        <w:t xml:space="preserve">this is </w:t>
      </w:r>
      <w:r w:rsidRPr="00D7409C">
        <w:t>known as a balanced flue terminal. Room sealed gas space heaters essentially function independent of the room they are located in</w:t>
      </w:r>
      <w:r w:rsidRPr="00D7409C">
        <w:rPr>
          <w:i/>
        </w:rPr>
        <w:t>.</w:t>
      </w:r>
      <w:r w:rsidRPr="00D7409C">
        <w:t xml:space="preserve"> The key difference between OFGSHs and room sealed space heaters </w:t>
      </w:r>
      <w:r w:rsidR="007E0AB4">
        <w:t>is</w:t>
      </w:r>
      <w:r w:rsidR="007E0AB4" w:rsidRPr="00D7409C">
        <w:t xml:space="preserve"> </w:t>
      </w:r>
      <w:r w:rsidRPr="00D7409C">
        <w:t>where they draw air from</w:t>
      </w:r>
      <w:r w:rsidR="0014626B" w:rsidRPr="00D7409C">
        <w:t xml:space="preserve"> (see </w:t>
      </w:r>
      <w:r w:rsidR="00103FCD">
        <w:fldChar w:fldCharType="begin"/>
      </w:r>
      <w:r w:rsidR="00103FCD">
        <w:instrText xml:space="preserve"> REF _Ref56456344 \h </w:instrText>
      </w:r>
      <w:r w:rsidR="00103FCD">
        <w:fldChar w:fldCharType="separate"/>
      </w:r>
      <w:r w:rsidR="00CD0679" w:rsidRPr="00D7409C">
        <w:t xml:space="preserve">Figure </w:t>
      </w:r>
      <w:r w:rsidR="00CD0679">
        <w:rPr>
          <w:noProof/>
        </w:rPr>
        <w:t>2</w:t>
      </w:r>
      <w:r w:rsidR="00CD0679" w:rsidRPr="00D7409C">
        <w:noBreakHyphen/>
      </w:r>
      <w:r w:rsidR="00CD0679">
        <w:rPr>
          <w:noProof/>
        </w:rPr>
        <w:t>1</w:t>
      </w:r>
      <w:r w:rsidR="00103FCD">
        <w:fldChar w:fldCharType="end"/>
      </w:r>
      <w:r w:rsidR="00AF33BF" w:rsidRPr="00D7409C">
        <w:t>)</w:t>
      </w:r>
      <w:r w:rsidRPr="00D7409C">
        <w:t xml:space="preserve">. In an OFGSH, the air openings interact with the room and its ability to function correctly is subject to </w:t>
      </w:r>
      <w:r w:rsidRPr="00D7409C">
        <w:lastRenderedPageBreak/>
        <w:t>environmental</w:t>
      </w:r>
      <w:r w:rsidRPr="00D7409C">
        <w:rPr>
          <w:rStyle w:val="FootnoteReference"/>
        </w:rPr>
        <w:t xml:space="preserve"> </w:t>
      </w:r>
      <w:r w:rsidRPr="00D7409C">
        <w:t xml:space="preserve">conditions within the building. By contrast, a room sealed space heater operates independently of a building’s environment and poses a negligible risk of releasing combustion products indoors. Like OFGSHs, these heaters must conform to the space heating standard (AS/NZS5263.1.3 - Gas appliances – Gas space heating appliances). </w:t>
      </w:r>
    </w:p>
    <w:p w14:paraId="0E95B84C" w14:textId="597C5083" w:rsidR="00805C80" w:rsidRPr="00D7409C" w:rsidRDefault="00805C80" w:rsidP="00805C80">
      <w:r w:rsidRPr="00D7409C">
        <w:t xml:space="preserve">There are a number of other open flued appliances that are not fixed heaters that are out of scope of the </w:t>
      </w:r>
      <w:r w:rsidR="000E5DEC">
        <w:t>RIS</w:t>
      </w:r>
      <w:r w:rsidRPr="00D7409C">
        <w:t xml:space="preserve"> (such as ducted heaters and water heaters). These appliances have not been the subject of Coroner’s reports and are different to </w:t>
      </w:r>
      <w:r w:rsidR="000932DA">
        <w:t>OFGSHs.</w:t>
      </w:r>
      <w:r w:rsidRPr="00D7409C">
        <w:t xml:space="preserve"> The Government Response committed to consider the phase out of </w:t>
      </w:r>
      <w:r w:rsidR="000932DA">
        <w:t xml:space="preserve">OFGSHs </w:t>
      </w:r>
      <w:r w:rsidRPr="00D7409C">
        <w:t xml:space="preserve">only. </w:t>
      </w:r>
    </w:p>
    <w:p w14:paraId="20CC06EA" w14:textId="07C874EF" w:rsidR="00996ECB" w:rsidRPr="00D7409C" w:rsidRDefault="00805C80" w:rsidP="00996ECB">
      <w:pPr>
        <w:rPr>
          <w:bCs/>
        </w:rPr>
      </w:pPr>
      <w:r w:rsidRPr="00D7409C">
        <w:t xml:space="preserve">The primary function of </w:t>
      </w:r>
      <w:r w:rsidRPr="00D7409C">
        <w:rPr>
          <w:b/>
        </w:rPr>
        <w:t>decorative effect gas appliances</w:t>
      </w:r>
      <w:r w:rsidRPr="00D7409C">
        <w:t xml:space="preserve"> is their aesthetic effect. Unlike space heaters, decorative effect appliances are not designed to heat the living space in which they are installed. These appliances therefore do not have an energy efficiency rating and are generally inefficient at providing heat into the living space. In contrast, OFGSHs are required to meet</w:t>
      </w:r>
      <w:r w:rsidRPr="00D7409C">
        <w:rPr>
          <w:bCs/>
        </w:rPr>
        <w:t xml:space="preserve"> minimum energy efficiency standards and</w:t>
      </w:r>
      <w:r w:rsidRPr="00D7409C">
        <w:t xml:space="preserve"> will have an energy efficiency rating. While some decorative effect appliances do draw air </w:t>
      </w:r>
      <w:r w:rsidRPr="00D7409C">
        <w:rPr>
          <w:bCs/>
        </w:rPr>
        <w:t xml:space="preserve">for combustion </w:t>
      </w:r>
      <w:r w:rsidRPr="00D7409C">
        <w:t>from the living space (as OFGSHs do)</w:t>
      </w:r>
      <w:r w:rsidR="00C60BC2" w:rsidRPr="00D7409C">
        <w:t>,</w:t>
      </w:r>
      <w:r w:rsidRPr="00D7409C">
        <w:t xml:space="preserve"> due to the inefficiency of decorative effect appliances</w:t>
      </w:r>
      <w:r w:rsidR="005476E5" w:rsidRPr="00D7409C">
        <w:t xml:space="preserve"> the</w:t>
      </w:r>
      <w:r w:rsidRPr="00D7409C">
        <w:t xml:space="preserve"> flue gasses are hotter and less susceptible to negative pressure.</w:t>
      </w:r>
      <w:r w:rsidRPr="00D7409C">
        <w:rPr>
          <w:rStyle w:val="FootnoteReference"/>
        </w:rPr>
        <w:footnoteReference w:id="63"/>
      </w:r>
      <w:r w:rsidRPr="00D7409C">
        <w:t xml:space="preserve"> </w:t>
      </w:r>
      <w:r w:rsidRPr="00D7409C">
        <w:rPr>
          <w:bCs/>
        </w:rPr>
        <w:t>Decorative effect appliances are therefore not in scope of this RIS</w:t>
      </w:r>
      <w:r w:rsidR="004A1994" w:rsidRPr="00D7409C">
        <w:rPr>
          <w:bCs/>
        </w:rPr>
        <w:t xml:space="preserve"> except for any open flued Type 2 decorative effect appliances that meet the thermal efficiency requirements for OFGSHs which </w:t>
      </w:r>
      <w:r w:rsidR="00C00024" w:rsidRPr="00D7409C">
        <w:rPr>
          <w:bCs/>
        </w:rPr>
        <w:t>is</w:t>
      </w:r>
      <w:r w:rsidR="004A1994" w:rsidRPr="00D7409C">
        <w:rPr>
          <w:bCs/>
        </w:rPr>
        <w:t xml:space="preserve"> discussed further below</w:t>
      </w:r>
      <w:r w:rsidRPr="00D7409C">
        <w:rPr>
          <w:bCs/>
        </w:rPr>
        <w:t xml:space="preserve">. </w:t>
      </w:r>
    </w:p>
    <w:p w14:paraId="0DD4F145" w14:textId="4E10A19D" w:rsidR="009F2748" w:rsidRPr="00D7409C" w:rsidRDefault="009F2748" w:rsidP="009F2748">
      <w:pPr>
        <w:pStyle w:val="Caption"/>
      </w:pPr>
      <w:bookmarkStart w:id="169" w:name="_Ref56456344"/>
      <w:r w:rsidRPr="00D7409C">
        <w:t xml:space="preserve">Figure </w:t>
      </w:r>
      <w:r w:rsidRPr="00D7409C">
        <w:fldChar w:fldCharType="begin"/>
      </w:r>
      <w:r w:rsidRPr="00D7409C">
        <w:instrText xml:space="preserve"> STYLEREF 1 \s </w:instrText>
      </w:r>
      <w:r w:rsidRPr="00D7409C">
        <w:fldChar w:fldCharType="separate"/>
      </w:r>
      <w:r w:rsidR="00CD0679">
        <w:rPr>
          <w:noProof/>
        </w:rPr>
        <w:t>2</w:t>
      </w:r>
      <w:r w:rsidRPr="00D7409C">
        <w:fldChar w:fldCharType="end"/>
      </w:r>
      <w:r w:rsidRPr="00D7409C">
        <w:noBreakHyphen/>
      </w:r>
      <w:r w:rsidRPr="00D7409C">
        <w:fldChar w:fldCharType="begin"/>
      </w:r>
      <w:r w:rsidRPr="00D7409C">
        <w:instrText xml:space="preserve"> SEQ Figure \* ARABIC \s 1 </w:instrText>
      </w:r>
      <w:r w:rsidRPr="00D7409C">
        <w:fldChar w:fldCharType="separate"/>
      </w:r>
      <w:r w:rsidR="00CD0679">
        <w:rPr>
          <w:noProof/>
        </w:rPr>
        <w:t>1</w:t>
      </w:r>
      <w:r w:rsidRPr="00D7409C">
        <w:fldChar w:fldCharType="end"/>
      </w:r>
      <w:bookmarkEnd w:id="169"/>
      <w:r w:rsidRPr="00D7409C">
        <w:t xml:space="preserve"> OFGSHs vs. room sealed heaters</w:t>
      </w:r>
    </w:p>
    <w:p w14:paraId="3D3897B1" w14:textId="77777777" w:rsidR="009F2748" w:rsidRPr="00D7409C" w:rsidRDefault="009F2748" w:rsidP="009F2748">
      <w:pPr>
        <w:jc w:val="center"/>
      </w:pPr>
      <w:r w:rsidRPr="00D7409C">
        <w:rPr>
          <w:noProof/>
          <w:lang w:eastAsia="en-AU"/>
        </w:rPr>
        <w:drawing>
          <wp:inline distT="0" distB="0" distL="0" distR="0" wp14:anchorId="5366FBCA" wp14:editId="6EEB94D0">
            <wp:extent cx="3740727" cy="3724659"/>
            <wp:effectExtent l="0" t="0" r="0" b="0"/>
            <wp:docPr id="5" name="Picture 5" descr="Diagram of open flued gas space heaters vs room sealed heat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bc.net.au/cm/lb/9795598/data/gas-heater-warning-from-energy-safe-victoria-data.jpg"/>
                    <pic:cNvPicPr>
                      <a:picLocks noChangeAspect="1" noChangeArrowheads="1"/>
                    </pic:cNvPicPr>
                  </pic:nvPicPr>
                  <pic:blipFill rotWithShape="1">
                    <a:blip r:embed="rId34">
                      <a:extLst>
                        <a:ext uri="{28A0092B-C50C-407E-A947-70E740481C1C}">
                          <a14:useLocalDpi xmlns:a14="http://schemas.microsoft.com/office/drawing/2010/main" val="0"/>
                        </a:ext>
                      </a:extLst>
                    </a:blip>
                    <a:srcRect b="7730"/>
                    <a:stretch/>
                  </pic:blipFill>
                  <pic:spPr bwMode="auto">
                    <a:xfrm>
                      <a:off x="0" y="0"/>
                      <a:ext cx="3761480" cy="3745323"/>
                    </a:xfrm>
                    <a:prstGeom prst="rect">
                      <a:avLst/>
                    </a:prstGeom>
                    <a:noFill/>
                    <a:ln>
                      <a:noFill/>
                    </a:ln>
                    <a:extLst>
                      <a:ext uri="{53640926-AAD7-44D8-BBD7-CCE9431645EC}">
                        <a14:shadowObscured xmlns:a14="http://schemas.microsoft.com/office/drawing/2010/main"/>
                      </a:ext>
                    </a:extLst>
                  </pic:spPr>
                </pic:pic>
              </a:graphicData>
            </a:graphic>
          </wp:inline>
        </w:drawing>
      </w:r>
    </w:p>
    <w:p w14:paraId="3F2040E9" w14:textId="77777777" w:rsidR="009F2748" w:rsidRPr="00D7409C" w:rsidRDefault="009F2748" w:rsidP="009F2748">
      <w:pPr>
        <w:pStyle w:val="Source"/>
      </w:pPr>
      <w:r w:rsidRPr="00D7409C">
        <w:rPr>
          <w:szCs w:val="14"/>
        </w:rPr>
        <w:t xml:space="preserve">Source: Energy Safe Victoria. (2019). </w:t>
      </w:r>
      <w:hyperlink r:id="rId35" w:history="1">
        <w:r w:rsidRPr="00D7409C">
          <w:rPr>
            <w:szCs w:val="14"/>
          </w:rPr>
          <w:t>FAQs – Open-flued gas heaters</w:t>
        </w:r>
      </w:hyperlink>
    </w:p>
    <w:p w14:paraId="67D3680F" w14:textId="6019F200" w:rsidR="00805C80" w:rsidRPr="00D7409C" w:rsidRDefault="00805C80" w:rsidP="00D7409C">
      <w:pPr>
        <w:pStyle w:val="Heading4"/>
      </w:pPr>
      <w:r w:rsidRPr="00D7409C">
        <w:lastRenderedPageBreak/>
        <w:t>Definition of OFGSH</w:t>
      </w:r>
    </w:p>
    <w:p w14:paraId="344BE8B5" w14:textId="075126AB" w:rsidR="00805C80" w:rsidRPr="00D7409C" w:rsidRDefault="00E754EB" w:rsidP="00805C80">
      <w:pPr>
        <w:spacing w:after="0" w:line="259" w:lineRule="auto"/>
      </w:pPr>
      <w:r>
        <w:t xml:space="preserve">As </w:t>
      </w:r>
      <w:r w:rsidR="009D4ADC">
        <w:t>noted,</w:t>
      </w:r>
      <w:r>
        <w:t xml:space="preserve"> t</w:t>
      </w:r>
      <w:r w:rsidR="00805C80" w:rsidRPr="00D7409C">
        <w:t xml:space="preserve">he Australian Standards currently do not have a definition for “open flued gas space heater”. A definition is required to ensure the scope of this RIS analysis is clear. The following definition </w:t>
      </w:r>
      <w:r w:rsidR="00F06F40">
        <w:t>has been developed for th</w:t>
      </w:r>
      <w:r w:rsidR="00B535B5">
        <w:t>e purposes of this</w:t>
      </w:r>
      <w:r w:rsidR="00F06F40">
        <w:t xml:space="preserve"> RIS</w:t>
      </w:r>
      <w:r w:rsidR="002A2736">
        <w:rPr>
          <w:rStyle w:val="FootnoteReference"/>
        </w:rPr>
        <w:footnoteReference w:id="64"/>
      </w:r>
      <w:r w:rsidR="00A035B0">
        <w:t>:</w:t>
      </w:r>
      <w:r w:rsidR="000853B7">
        <w:t xml:space="preserve"> </w:t>
      </w:r>
    </w:p>
    <w:p w14:paraId="5F2B38C0" w14:textId="77777777" w:rsidR="00805C80" w:rsidRPr="00D7409C" w:rsidRDefault="00805C80" w:rsidP="00805C80">
      <w:pPr>
        <w:spacing w:after="0" w:line="259" w:lineRule="auto"/>
      </w:pPr>
    </w:p>
    <w:p w14:paraId="182D0527" w14:textId="77777777" w:rsidR="00805C80" w:rsidRPr="00D7409C" w:rsidRDefault="00805C80" w:rsidP="00805C80">
      <w:pPr>
        <w:spacing w:line="259" w:lineRule="auto"/>
      </w:pPr>
      <w:r w:rsidRPr="00D7409C">
        <w:rPr>
          <w:b/>
          <w:i/>
        </w:rPr>
        <w:t>Open-flued gas space heater</w:t>
      </w:r>
      <w:r w:rsidRPr="00D7409C">
        <w:t xml:space="preserve"> means an appliance—</w:t>
      </w:r>
    </w:p>
    <w:p w14:paraId="122B761F" w14:textId="25D6BE07" w:rsidR="00805C80" w:rsidRPr="00D7409C" w:rsidRDefault="00805C80" w:rsidP="00BE7B34">
      <w:pPr>
        <w:pStyle w:val="ListParagraph"/>
        <w:numPr>
          <w:ilvl w:val="0"/>
          <w:numId w:val="126"/>
        </w:numPr>
        <w:spacing w:after="0" w:line="259" w:lineRule="auto"/>
        <w:ind w:left="714" w:hanging="357"/>
        <w:contextualSpacing w:val="0"/>
      </w:pPr>
      <w:r w:rsidRPr="00D7409C">
        <w:t>that has the primary function of heating an indoor room or space in which it is installed (through either radiant or convective heat or a combination of both) demonstrated through conformance with the applicable thermal efficiency requirements of AS/NZS5263.1.3; and</w:t>
      </w:r>
    </w:p>
    <w:p w14:paraId="285F4BA5" w14:textId="77777777" w:rsidR="00805C80" w:rsidRPr="00D7409C" w:rsidRDefault="00805C80" w:rsidP="00BE7B34">
      <w:pPr>
        <w:pStyle w:val="ListParagraph"/>
        <w:numPr>
          <w:ilvl w:val="0"/>
          <w:numId w:val="126"/>
        </w:numPr>
        <w:spacing w:after="0" w:line="259" w:lineRule="auto"/>
        <w:ind w:left="714" w:hanging="357"/>
        <w:contextualSpacing w:val="0"/>
      </w:pPr>
      <w:r w:rsidRPr="00D7409C">
        <w:t>that is designed to be connected to a flue system including chimneys; and</w:t>
      </w:r>
    </w:p>
    <w:p w14:paraId="6AE5BE3F" w14:textId="77777777" w:rsidR="00805C80" w:rsidRPr="00D7409C" w:rsidRDefault="00805C80" w:rsidP="00BE7B34">
      <w:pPr>
        <w:pStyle w:val="ListParagraph"/>
        <w:numPr>
          <w:ilvl w:val="0"/>
          <w:numId w:val="126"/>
        </w:numPr>
        <w:spacing w:after="0" w:line="259" w:lineRule="auto"/>
        <w:ind w:left="714" w:hanging="357"/>
        <w:contextualSpacing w:val="0"/>
      </w:pPr>
      <w:r w:rsidRPr="00D7409C">
        <w:t>where the combustion air is drawn from the room or space in which it is installed.</w:t>
      </w:r>
    </w:p>
    <w:p w14:paraId="0AC077C4" w14:textId="2680B25A" w:rsidR="00805C80" w:rsidRPr="000276F0" w:rsidRDefault="00805C80" w:rsidP="000276F0">
      <w:pPr>
        <w:pStyle w:val="ESVBody"/>
        <w:spacing w:before="120"/>
        <w:rPr>
          <w:rFonts w:asciiTheme="majorHAnsi" w:hAnsiTheme="majorHAnsi"/>
          <w:sz w:val="18"/>
          <w:szCs w:val="18"/>
        </w:rPr>
      </w:pPr>
      <w:r w:rsidRPr="000276F0">
        <w:rPr>
          <w:rFonts w:asciiTheme="majorHAnsi" w:hAnsiTheme="majorHAnsi"/>
          <w:sz w:val="18"/>
          <w:szCs w:val="18"/>
        </w:rPr>
        <w:t>Furthermore, that fan assisted OFGS</w:t>
      </w:r>
      <w:r w:rsidR="00634CB3">
        <w:rPr>
          <w:rFonts w:asciiTheme="majorHAnsi" w:hAnsiTheme="majorHAnsi"/>
          <w:sz w:val="18"/>
          <w:szCs w:val="18"/>
        </w:rPr>
        <w:t>H</w:t>
      </w:r>
      <w:r w:rsidRPr="000276F0">
        <w:rPr>
          <w:rFonts w:asciiTheme="majorHAnsi" w:hAnsiTheme="majorHAnsi"/>
          <w:sz w:val="18"/>
          <w:szCs w:val="18"/>
        </w:rPr>
        <w:t>s with all the following attributes should be exempt from the scope of the definition and not subject to the RIS.</w:t>
      </w:r>
    </w:p>
    <w:p w14:paraId="14BF5DDE" w14:textId="77777777" w:rsidR="00805C80" w:rsidRPr="000276F0" w:rsidRDefault="00805C80" w:rsidP="00BE7B34">
      <w:pPr>
        <w:pStyle w:val="ESVBody"/>
        <w:numPr>
          <w:ilvl w:val="0"/>
          <w:numId w:val="158"/>
        </w:numPr>
        <w:spacing w:after="0"/>
        <w:ind w:hanging="357"/>
        <w:rPr>
          <w:rFonts w:asciiTheme="majorHAnsi" w:hAnsiTheme="majorHAnsi"/>
          <w:sz w:val="18"/>
          <w:szCs w:val="18"/>
        </w:rPr>
      </w:pPr>
      <w:r w:rsidRPr="000276F0">
        <w:rPr>
          <w:rFonts w:asciiTheme="majorHAnsi" w:hAnsiTheme="majorHAnsi"/>
          <w:sz w:val="18"/>
          <w:szCs w:val="18"/>
        </w:rPr>
        <w:t>The burner shall only operate while the combustion fan is functioning; and</w:t>
      </w:r>
    </w:p>
    <w:p w14:paraId="0C80C1F4" w14:textId="77777777" w:rsidR="00805C80" w:rsidRPr="000276F0" w:rsidRDefault="00805C80" w:rsidP="00BE7B34">
      <w:pPr>
        <w:pStyle w:val="ESVBody"/>
        <w:numPr>
          <w:ilvl w:val="0"/>
          <w:numId w:val="158"/>
        </w:numPr>
        <w:spacing w:after="0"/>
        <w:ind w:hanging="357"/>
        <w:rPr>
          <w:rFonts w:asciiTheme="majorHAnsi" w:hAnsiTheme="majorHAnsi"/>
          <w:sz w:val="18"/>
          <w:szCs w:val="18"/>
        </w:rPr>
      </w:pPr>
      <w:r w:rsidRPr="000276F0">
        <w:rPr>
          <w:rFonts w:asciiTheme="majorHAnsi" w:hAnsiTheme="majorHAnsi"/>
          <w:sz w:val="18"/>
          <w:szCs w:val="18"/>
        </w:rPr>
        <w:t>The appliance incorporates a fail-safe interlock that will:</w:t>
      </w:r>
    </w:p>
    <w:p w14:paraId="429D58E0" w14:textId="77777777" w:rsidR="00805C80" w:rsidRPr="000276F0" w:rsidRDefault="00805C80" w:rsidP="00BE7B34">
      <w:pPr>
        <w:pStyle w:val="ESVBody"/>
        <w:numPr>
          <w:ilvl w:val="0"/>
          <w:numId w:val="159"/>
        </w:numPr>
        <w:spacing w:after="0"/>
        <w:ind w:hanging="357"/>
        <w:rPr>
          <w:rFonts w:asciiTheme="majorHAnsi" w:hAnsiTheme="majorHAnsi"/>
          <w:sz w:val="18"/>
          <w:szCs w:val="18"/>
        </w:rPr>
      </w:pPr>
      <w:r w:rsidRPr="000276F0">
        <w:rPr>
          <w:rFonts w:asciiTheme="majorHAnsi" w:hAnsiTheme="majorHAnsi"/>
          <w:sz w:val="18"/>
          <w:szCs w:val="18"/>
        </w:rPr>
        <w:t>shut down the appliance before the appliance has been operating for 15 minutes under either negative pressure or blocked flue conditions or both.</w:t>
      </w:r>
    </w:p>
    <w:p w14:paraId="29675BCC" w14:textId="77777777" w:rsidR="00805C80" w:rsidRPr="000276F0" w:rsidRDefault="00805C80" w:rsidP="00BE7B34">
      <w:pPr>
        <w:pStyle w:val="ESVBody"/>
        <w:numPr>
          <w:ilvl w:val="0"/>
          <w:numId w:val="159"/>
        </w:numPr>
        <w:spacing w:after="0"/>
        <w:ind w:hanging="357"/>
        <w:rPr>
          <w:rFonts w:asciiTheme="majorHAnsi" w:hAnsiTheme="majorHAnsi"/>
          <w:sz w:val="18"/>
          <w:szCs w:val="18"/>
        </w:rPr>
      </w:pPr>
      <w:r w:rsidRPr="000276F0">
        <w:rPr>
          <w:rFonts w:asciiTheme="majorHAnsi" w:hAnsiTheme="majorHAnsi"/>
          <w:sz w:val="18"/>
          <w:szCs w:val="18"/>
        </w:rPr>
        <w:t>in the event of a shut-down, not allow the appliance to automatically reset and any manual reset shall only be accessed by the use of a tool; and</w:t>
      </w:r>
    </w:p>
    <w:p w14:paraId="7D397374" w14:textId="77777777" w:rsidR="00805C80" w:rsidRPr="000276F0" w:rsidRDefault="00805C80" w:rsidP="00BE7B34">
      <w:pPr>
        <w:pStyle w:val="ESVBody"/>
        <w:numPr>
          <w:ilvl w:val="0"/>
          <w:numId w:val="158"/>
        </w:numPr>
        <w:spacing w:after="0"/>
        <w:ind w:hanging="357"/>
        <w:rPr>
          <w:rFonts w:asciiTheme="majorHAnsi" w:hAnsiTheme="majorHAnsi"/>
          <w:sz w:val="18"/>
          <w:szCs w:val="18"/>
        </w:rPr>
      </w:pPr>
      <w:r w:rsidRPr="000276F0">
        <w:rPr>
          <w:rFonts w:asciiTheme="majorHAnsi" w:hAnsiTheme="majorHAnsi"/>
          <w:sz w:val="18"/>
          <w:szCs w:val="18"/>
        </w:rPr>
        <w:t>The CO/CO</w:t>
      </w:r>
      <w:r w:rsidRPr="000276F0">
        <w:rPr>
          <w:rFonts w:asciiTheme="majorHAnsi" w:hAnsiTheme="majorHAnsi"/>
          <w:sz w:val="18"/>
          <w:szCs w:val="18"/>
          <w:vertAlign w:val="subscript"/>
        </w:rPr>
        <w:t>2</w:t>
      </w:r>
      <w:r w:rsidRPr="000276F0">
        <w:rPr>
          <w:rFonts w:asciiTheme="majorHAnsi" w:hAnsiTheme="majorHAnsi"/>
          <w:sz w:val="18"/>
          <w:szCs w:val="18"/>
        </w:rPr>
        <w:t xml:space="preserve"> ratio of carbon monoxide to carbon dioxide in the combustion products does not exceed 0.02 after 10 minutes of operation under any operating condition; and</w:t>
      </w:r>
    </w:p>
    <w:p w14:paraId="200F1AE2" w14:textId="20A0995F" w:rsidR="00805C80" w:rsidRPr="00D7409C" w:rsidRDefault="00805C80" w:rsidP="00BE7B34">
      <w:pPr>
        <w:pStyle w:val="ESVBody"/>
        <w:numPr>
          <w:ilvl w:val="0"/>
          <w:numId w:val="158"/>
        </w:numPr>
        <w:spacing w:after="0"/>
        <w:ind w:hanging="357"/>
        <w:rPr>
          <w:rFonts w:asciiTheme="minorHAnsi" w:hAnsiTheme="minorHAnsi"/>
          <w:sz w:val="18"/>
          <w:szCs w:val="18"/>
        </w:rPr>
      </w:pPr>
      <w:r w:rsidRPr="000276F0">
        <w:rPr>
          <w:rFonts w:asciiTheme="majorHAnsi" w:hAnsiTheme="majorHAnsi"/>
          <w:sz w:val="18"/>
          <w:szCs w:val="18"/>
        </w:rPr>
        <w:t xml:space="preserve">When testing for operation of the fail-safe interlock under negative pressure conditions the CO concentration in the test room or extraction system does not exceed </w:t>
      </w:r>
      <w:r w:rsidR="002C0332" w:rsidRPr="000276F0">
        <w:rPr>
          <w:rFonts w:asciiTheme="majorHAnsi" w:hAnsiTheme="majorHAnsi"/>
          <w:sz w:val="18"/>
          <w:szCs w:val="18"/>
        </w:rPr>
        <w:t>150ppm</w:t>
      </w:r>
      <w:r w:rsidR="00A61D76" w:rsidRPr="000276F0">
        <w:rPr>
          <w:rFonts w:asciiTheme="majorHAnsi" w:hAnsiTheme="majorHAnsi"/>
          <w:sz w:val="18"/>
          <w:szCs w:val="18"/>
        </w:rPr>
        <w:t>.</w:t>
      </w:r>
    </w:p>
    <w:p w14:paraId="7E871FBF" w14:textId="77777777" w:rsidR="00805C80" w:rsidRPr="00D7409C" w:rsidRDefault="00805C80" w:rsidP="00805C80">
      <w:pPr>
        <w:spacing w:after="0" w:line="259" w:lineRule="auto"/>
      </w:pPr>
    </w:p>
    <w:p w14:paraId="20D9E5D0" w14:textId="02CAABF7" w:rsidR="00805C80" w:rsidRPr="00D7409C" w:rsidRDefault="00805C80" w:rsidP="00805C80">
      <w:pPr>
        <w:spacing w:after="0" w:line="259" w:lineRule="auto"/>
      </w:pPr>
      <w:r w:rsidRPr="00D7409C">
        <w:t xml:space="preserve">This definition would mean that all OFGSHs are in scope </w:t>
      </w:r>
      <w:r w:rsidR="00D9320C">
        <w:t>for this RIS</w:t>
      </w:r>
      <w:r w:rsidRPr="00D7409C">
        <w:t xml:space="preserve">, except for fan-assisted OFGSHs that meet the requirements </w:t>
      </w:r>
      <w:r w:rsidR="002264D1">
        <w:t xml:space="preserve">of </w:t>
      </w:r>
      <w:r w:rsidRPr="00D7409C">
        <w:t>the above definition. While Type 2 decorative effect appliances are similar to OFGSHs, they are certified under a different standard</w:t>
      </w:r>
      <w:r w:rsidR="00220949">
        <w:t>, AS/NZS5263.1.</w:t>
      </w:r>
      <w:r w:rsidR="00530583">
        <w:t xml:space="preserve">8, </w:t>
      </w:r>
      <w:r w:rsidR="00530583" w:rsidRPr="00D7409C">
        <w:t>and</w:t>
      </w:r>
      <w:r w:rsidRPr="00D7409C">
        <w:t xml:space="preserve"> are less likely than OFGSHs to spill combustion products in a negative pressure environment. This is because decorative effect appliances are inefficient, so combustion products emitted from the appliance are significantly hotter than combustion products from the more efficient OFGSHs. The buoyancy effect of the hotter combustion products is more likely to overcome negative pressure in a building; in </w:t>
      </w:r>
      <w:r w:rsidR="00530583" w:rsidRPr="00D7409C">
        <w:t>addition,</w:t>
      </w:r>
      <w:r w:rsidRPr="00D7409C">
        <w:t xml:space="preserve"> unlike OFGSHs, decorative effect appliances are less likely to be left operating unattended overnight as they are primarily </w:t>
      </w:r>
      <w:r w:rsidR="00CE50A4">
        <w:t xml:space="preserve">used </w:t>
      </w:r>
      <w:r w:rsidRPr="00D7409C">
        <w:t>for aesthetic purposes.</w:t>
      </w:r>
      <w:r w:rsidR="00CE50A4">
        <w:t xml:space="preserve"> </w:t>
      </w:r>
      <w:r w:rsidR="001C7010">
        <w:t>Also,</w:t>
      </w:r>
      <w:r w:rsidR="00CE50A4">
        <w:t xml:space="preserve"> unlike OFGSHs</w:t>
      </w:r>
      <w:r w:rsidR="00F0649F">
        <w:t>,</w:t>
      </w:r>
      <w:r w:rsidR="00CE50A4">
        <w:t xml:space="preserve"> decorative effect appliances are required to be installed with permanent ventilation equivalent to the </w:t>
      </w:r>
      <w:r w:rsidR="00687E9D">
        <w:t>cross-sectional</w:t>
      </w:r>
      <w:r w:rsidR="00CE50A4">
        <w:t xml:space="preserve"> area of the flue cowl in accordance with AS/NZS5601.1</w:t>
      </w:r>
      <w:r w:rsidR="0082772D">
        <w:t>.</w:t>
      </w:r>
    </w:p>
    <w:p w14:paraId="6252271D" w14:textId="77777777" w:rsidR="00805C80" w:rsidRPr="00D7409C" w:rsidRDefault="00805C80" w:rsidP="00805C80">
      <w:pPr>
        <w:spacing w:after="0" w:line="259" w:lineRule="auto"/>
      </w:pPr>
    </w:p>
    <w:p w14:paraId="04B3797A" w14:textId="18BC5218" w:rsidR="00805C80" w:rsidRPr="00D7409C" w:rsidRDefault="00805C80" w:rsidP="00805C80">
      <w:pPr>
        <w:spacing w:after="120" w:line="259" w:lineRule="auto"/>
      </w:pPr>
      <w:r w:rsidRPr="00D7409C">
        <w:t xml:space="preserve">While OFGSHs must have an energy efficiency rating and therefore </w:t>
      </w:r>
      <w:r w:rsidR="008E1FD9" w:rsidRPr="00D7409C">
        <w:t>be</w:t>
      </w:r>
      <w:r w:rsidRPr="00D7409C">
        <w:t xml:space="preserve"> tested for energy efficiency, decorative effect appliances are not required to have an energy efficiency rating and therefore are not </w:t>
      </w:r>
      <w:r w:rsidR="00664D09">
        <w:t xml:space="preserve">typically </w:t>
      </w:r>
      <w:r w:rsidRPr="00D7409C">
        <w:t xml:space="preserve">tested for energy efficiency. Therefore, it may be possible that some open flued Type 2 decorative effect appliances are as efficient as OFGSHs, and therefore pose the same safety risks due to a lower buoyancy effect in the flue. Therefore, it is proposed that </w:t>
      </w:r>
      <w:bookmarkStart w:id="170" w:name="_Hlk56078454"/>
      <w:r w:rsidRPr="00D7409C">
        <w:t xml:space="preserve">any open flued Type 2 decorative effect appliances that meet the thermal efficiency requirements for OFGSHs </w:t>
      </w:r>
      <w:bookmarkEnd w:id="170"/>
      <w:r w:rsidRPr="00D7409C">
        <w:t>would be classified as OFGSHs and are in scope</w:t>
      </w:r>
      <w:r w:rsidR="009A1295">
        <w:t>.</w:t>
      </w:r>
    </w:p>
    <w:p w14:paraId="4DE70160" w14:textId="34DE7097" w:rsidR="007E6EB8" w:rsidRPr="00FF5BFF" w:rsidRDefault="008E7CAA" w:rsidP="00FF5BFF">
      <w:pPr>
        <w:pStyle w:val="Heading3"/>
        <w:numPr>
          <w:ilvl w:val="1"/>
          <w:numId w:val="172"/>
        </w:numPr>
        <w:rPr>
          <w:color w:val="62B5E5" w:themeColor="accent3"/>
        </w:rPr>
      </w:pPr>
      <w:r w:rsidRPr="00FF5BFF">
        <w:rPr>
          <w:color w:val="62B5E5" w:themeColor="accent3"/>
        </w:rPr>
        <w:t>Key drivers of the risk of CO poisoning</w:t>
      </w:r>
      <w:r w:rsidR="005E536A" w:rsidRPr="00FF5BFF">
        <w:rPr>
          <w:color w:val="62B5E5" w:themeColor="accent3"/>
        </w:rPr>
        <w:t xml:space="preserve"> </w:t>
      </w:r>
    </w:p>
    <w:p w14:paraId="31C452C7" w14:textId="0BA6337F" w:rsidR="00D9127B" w:rsidRPr="00D7409C" w:rsidRDefault="005E536A" w:rsidP="0086051E">
      <w:r w:rsidRPr="00D7409C">
        <w:t>Key</w:t>
      </w:r>
      <w:r w:rsidR="00F26883" w:rsidRPr="00D7409C">
        <w:t xml:space="preserve"> </w:t>
      </w:r>
      <w:r w:rsidR="00D9127B" w:rsidRPr="00D7409C">
        <w:t>drive</w:t>
      </w:r>
      <w:r w:rsidR="00F26883" w:rsidRPr="00D7409C">
        <w:t>rs</w:t>
      </w:r>
      <w:r w:rsidR="00887C2E" w:rsidRPr="00D7409C">
        <w:t xml:space="preserve"> of</w:t>
      </w:r>
      <w:r w:rsidR="00D9127B" w:rsidRPr="00D7409C">
        <w:t xml:space="preserve"> the</w:t>
      </w:r>
      <w:r w:rsidRPr="00D7409C">
        <w:t xml:space="preserve"> CO poisoning</w:t>
      </w:r>
      <w:r w:rsidR="00D9127B" w:rsidRPr="00D7409C">
        <w:t xml:space="preserve"> risk</w:t>
      </w:r>
      <w:r w:rsidR="00E04426" w:rsidRPr="00D7409C">
        <w:t>s</w:t>
      </w:r>
      <w:r w:rsidR="00D9127B" w:rsidRPr="00D7409C">
        <w:t xml:space="preserve"> associated with OFGSHs</w:t>
      </w:r>
      <w:r w:rsidR="00F0705A" w:rsidRPr="00D7409C">
        <w:t xml:space="preserve"> includ</w:t>
      </w:r>
      <w:r w:rsidR="00E04426" w:rsidRPr="00D7409C">
        <w:t>e</w:t>
      </w:r>
      <w:r w:rsidR="00887C2E" w:rsidRPr="00D7409C">
        <w:t xml:space="preserve"> </w:t>
      </w:r>
      <w:r w:rsidR="004628EC" w:rsidRPr="00D7409C">
        <w:t>reduced ventilation in buildings,</w:t>
      </w:r>
      <w:r w:rsidR="00B913D7" w:rsidRPr="00D7409C">
        <w:t xml:space="preserve"> increased energy efficiency</w:t>
      </w:r>
      <w:r w:rsidR="002B0524" w:rsidRPr="00D7409C">
        <w:t xml:space="preserve"> of homes</w:t>
      </w:r>
      <w:r w:rsidR="002628A2" w:rsidRPr="00D7409C">
        <w:t>,</w:t>
      </w:r>
      <w:r w:rsidR="00C37ED5" w:rsidRPr="00D7409C">
        <w:t xml:space="preserve"> and the</w:t>
      </w:r>
      <w:r w:rsidR="004628EC" w:rsidRPr="00D7409C">
        <w:t xml:space="preserve"> </w:t>
      </w:r>
      <w:r w:rsidR="001C7047" w:rsidRPr="00D7409C">
        <w:t>insufficient servicing and maintenance of heaters</w:t>
      </w:r>
      <w:r w:rsidR="002628A2" w:rsidRPr="00D7409C">
        <w:t>.</w:t>
      </w:r>
      <w:r w:rsidR="000E45B9">
        <w:t xml:space="preserve"> These are each discussed below, noting that additional factors</w:t>
      </w:r>
      <w:r w:rsidR="00A40B2C">
        <w:t xml:space="preserve"> – such as leaving an O</w:t>
      </w:r>
      <w:r w:rsidR="009A1295">
        <w:t>F</w:t>
      </w:r>
      <w:r w:rsidR="00A40B2C">
        <w:t>GSH running overnight – can also increase risks.</w:t>
      </w:r>
      <w:r w:rsidR="00480D69" w:rsidRPr="00D7409C">
        <w:t xml:space="preserve"> </w:t>
      </w:r>
    </w:p>
    <w:p w14:paraId="44193C13" w14:textId="4EFE70C5" w:rsidR="00FD4E71" w:rsidRPr="00D7409C" w:rsidRDefault="00AB089B" w:rsidP="00FD4E71">
      <w:pPr>
        <w:pStyle w:val="Heading3"/>
      </w:pPr>
      <w:r w:rsidRPr="00D7409C">
        <w:lastRenderedPageBreak/>
        <w:t>Reduced ventilation in buildings</w:t>
      </w:r>
    </w:p>
    <w:p w14:paraId="1DDF9542" w14:textId="77777777" w:rsidR="00D94544" w:rsidRPr="00D7409C" w:rsidRDefault="00D94544" w:rsidP="00D94544">
      <w:r w:rsidRPr="00D7409C">
        <w:t>To improve the energy efficiency of a home and decrease the heat loss, homes are becoming airtight through actions such as sealing doors, windows and vents. However, by reducing the ventilation, this can reduce the amount of air available for combustion and compromise the combustion efficiency of the burner, resulting in the production of higher levels of CO.</w:t>
      </w:r>
    </w:p>
    <w:p w14:paraId="256DC15F" w14:textId="77777777" w:rsidR="00D94544" w:rsidRPr="00FD4E71" w:rsidRDefault="00D94544" w:rsidP="00D94544">
      <w:r w:rsidRPr="00D7409C">
        <w:t xml:space="preserve">Reduced ventilation often occurs alongside the installation of extraction fans in bathrooms and other areas to remove moisture-rich air. Combining the use of powerful extraction fans </w:t>
      </w:r>
      <w:r w:rsidR="00591E0E">
        <w:t xml:space="preserve">(e.g. kitchen rangehoods) </w:t>
      </w:r>
      <w:r w:rsidRPr="00D7409C">
        <w:t>with improved weather sealing can establish a negative pressure environment, where combustion products, such as CO, are drawn into the home.</w:t>
      </w:r>
    </w:p>
    <w:p w14:paraId="0BA1BCA8" w14:textId="7B365AE4" w:rsidR="00BE0459" w:rsidRPr="00D7409C" w:rsidRDefault="00E83118" w:rsidP="00082354">
      <w:r w:rsidRPr="00D7409C">
        <w:t>Energy</w:t>
      </w:r>
      <w:r w:rsidR="00082354" w:rsidRPr="00D7409C">
        <w:t xml:space="preserve"> efficiency provisions that discourage uncontrolled ventilation have been introduced into the Building Code of Australia as a mechanism to reduce household energy consumption.</w:t>
      </w:r>
      <w:r w:rsidR="007905E3" w:rsidRPr="00D7409C">
        <w:rPr>
          <w:rStyle w:val="FootnoteReference"/>
        </w:rPr>
        <w:footnoteReference w:id="65"/>
      </w:r>
      <w:r w:rsidR="00082354" w:rsidRPr="00D7409C">
        <w:t xml:space="preserve"> Specific building requirements and incentive schemes </w:t>
      </w:r>
      <w:r w:rsidR="00D9500F" w:rsidRPr="00D7409C">
        <w:t xml:space="preserve">have been </w:t>
      </w:r>
      <w:r w:rsidR="00082354" w:rsidRPr="00D7409C">
        <w:t>implemented by the Victorian and Australian Governments</w:t>
      </w:r>
      <w:r w:rsidR="00D9500F" w:rsidRPr="00D7409C">
        <w:t>.</w:t>
      </w:r>
    </w:p>
    <w:p w14:paraId="108D0A20" w14:textId="10789F62" w:rsidR="00082354" w:rsidRPr="00D7409C" w:rsidRDefault="00082354" w:rsidP="00BB56FF">
      <w:pPr>
        <w:pStyle w:val="ListParagraph"/>
        <w:numPr>
          <w:ilvl w:val="0"/>
          <w:numId w:val="19"/>
        </w:numPr>
      </w:pPr>
      <w:r w:rsidRPr="00D7409C">
        <w:rPr>
          <w:b/>
        </w:rPr>
        <w:t>The National Construction Code (NCC)</w:t>
      </w:r>
      <w:r w:rsidRPr="00D7409C">
        <w:t xml:space="preserve">: The NCC specifies minimum energy efficiency performance requirements for new buildings. The NCC </w:t>
      </w:r>
      <w:r w:rsidR="00C1543A">
        <w:t>was</w:t>
      </w:r>
      <w:r w:rsidR="00C1543A" w:rsidRPr="00D7409C">
        <w:t xml:space="preserve"> </w:t>
      </w:r>
      <w:r w:rsidRPr="00D7409C">
        <w:t>an initiative of the</w:t>
      </w:r>
      <w:r w:rsidR="00C1543A">
        <w:t xml:space="preserve"> (former)</w:t>
      </w:r>
      <w:r w:rsidRPr="00D7409C">
        <w:t xml:space="preserve"> Council of Australian Governments </w:t>
      </w:r>
      <w:r w:rsidR="0059715D">
        <w:t xml:space="preserve">(COAG) </w:t>
      </w:r>
      <w:r w:rsidRPr="00D7409C">
        <w:t>developed to incorporate all on-site building and plumbing requirements into a single code. The NCC sets the minimum requirements for the design, construction and performance of buildings throughout Australia.</w:t>
      </w:r>
      <w:r w:rsidRPr="00D7409C">
        <w:rPr>
          <w:rStyle w:val="FootnoteReference"/>
        </w:rPr>
        <w:footnoteReference w:id="66"/>
      </w:r>
      <w:r w:rsidRPr="00D7409C">
        <w:t xml:space="preserve"> The Building Code of Australia Housing Provision Part 3.12.3 (b) (ii) makes allowances for gas appliances, excluding “a permanent building ventilation opening that is necessary for the safe operation of a gas appliance” for consideration of a building meeting minimum energy efficiency standards. The Australian Building Code Board argue the energy efficient requirements in the BCA, if followed correctly, provides no barriers to developing buildings with the conditions necessary for the safe operation of gas appliances. The options available to meet the minimum energy efficiency requirements in the NCC are:</w:t>
      </w:r>
    </w:p>
    <w:p w14:paraId="0DCA2081" w14:textId="77777777" w:rsidR="00082354" w:rsidRPr="00D7409C" w:rsidRDefault="00082354" w:rsidP="00082354">
      <w:pPr>
        <w:pStyle w:val="ListParagraph"/>
        <w:numPr>
          <w:ilvl w:val="1"/>
          <w:numId w:val="19"/>
        </w:numPr>
      </w:pPr>
      <w:r w:rsidRPr="00D7409C">
        <w:t xml:space="preserve">the deemed-to-satisfy Nationwide House Energy Rating Scheme (NatHERS) software; </w:t>
      </w:r>
    </w:p>
    <w:p w14:paraId="1E4DB527" w14:textId="77777777" w:rsidR="00082354" w:rsidRPr="00D7409C" w:rsidRDefault="00082354" w:rsidP="00082354">
      <w:pPr>
        <w:pStyle w:val="ListParagraph"/>
        <w:numPr>
          <w:ilvl w:val="1"/>
          <w:numId w:val="19"/>
        </w:numPr>
      </w:pPr>
      <w:r w:rsidRPr="00D7409C">
        <w:t>the deemed-to-satisfy elemental provisions; and</w:t>
      </w:r>
    </w:p>
    <w:p w14:paraId="262B6D2A" w14:textId="77777777" w:rsidR="00082354" w:rsidRPr="00D7409C" w:rsidRDefault="00082354" w:rsidP="00082354">
      <w:pPr>
        <w:pStyle w:val="ListParagraph"/>
        <w:numPr>
          <w:ilvl w:val="1"/>
          <w:numId w:val="19"/>
        </w:numPr>
      </w:pPr>
      <w:r w:rsidRPr="00D7409C">
        <w:t>the performance solutions.</w:t>
      </w:r>
    </w:p>
    <w:p w14:paraId="6B07AF7C" w14:textId="606E30E8" w:rsidR="00082354" w:rsidRPr="00D7409C" w:rsidRDefault="00082354" w:rsidP="00082354">
      <w:pPr>
        <w:pStyle w:val="ListParagraph"/>
        <w:numPr>
          <w:ilvl w:val="0"/>
          <w:numId w:val="19"/>
        </w:numPr>
      </w:pPr>
      <w:r w:rsidRPr="00D7409C">
        <w:rPr>
          <w:b/>
        </w:rPr>
        <w:t>NatHERS</w:t>
      </w:r>
      <w:r w:rsidRPr="00D7409C">
        <w:t>: Since 2013, new Victorian apartments that follow the NatHERS pathway of compliance must achieve an average NatHERS 6-star rating collectively for all sole-occupancy units and not less than a 5-star rating for each individual sole-occupancy unit. New detached homes and townhouses must achieve at least a 6-star rating.</w:t>
      </w:r>
      <w:r w:rsidRPr="00D7409C">
        <w:rPr>
          <w:rStyle w:val="FootnoteReference"/>
        </w:rPr>
        <w:footnoteReference w:id="67"/>
      </w:r>
      <w:r w:rsidRPr="00D7409C">
        <w:t xml:space="preserve"> The NatHERS measures a building’s energy efficiency based on its design. The rating depends on the orientation and layout of the building, as well as the materials used in construction. A 6-star rating is the minimum standard in most states and territories.</w:t>
      </w:r>
      <w:r w:rsidRPr="00D7409C">
        <w:rPr>
          <w:rStyle w:val="FootnoteReference"/>
        </w:rPr>
        <w:footnoteReference w:id="68"/>
      </w:r>
      <w:r w:rsidRPr="00D7409C">
        <w:t xml:space="preserve"> Where NatHERS is used to demonstrate compliance with the NCC, homes are still required to meet the deemed-to-satisfy elemental provisions under 3.12.3 of the NCC that deal specifically with building sealing. These provisions require (under some climate and design conditions): dampers and flaps for chimneys; seals for external windows, doors and roof lights; self-closing dampers for exhaust fans; close-fitting construction of ceiling, walls and floors; and self-closing dampers of evaporative coolers.</w:t>
      </w:r>
      <w:r w:rsidR="00165A48" w:rsidRPr="00D7409C">
        <w:t xml:space="preserve"> </w:t>
      </w:r>
      <w:r w:rsidR="00165A48" w:rsidRPr="00D7409C">
        <w:rPr>
          <w:color w:val="000000"/>
        </w:rPr>
        <w:t xml:space="preserve">Since the release of the NCC 2019, compliance with the building envelope sealing provisions of the NCC can also be demonstrated through air tightness testing, by verifying an air permeability of not more </w:t>
      </w:r>
      <w:r w:rsidR="00165A48" w:rsidRPr="00D7409C">
        <w:rPr>
          <w:color w:val="000000"/>
        </w:rPr>
        <w:lastRenderedPageBreak/>
        <w:t>than 10 m3/hr.m2 at 50 Pa reference pressure in accordance with AS/NZS ISO 9972 Method 1.</w:t>
      </w:r>
    </w:p>
    <w:p w14:paraId="36798759" w14:textId="32252295" w:rsidR="00722D20" w:rsidRPr="00D7409C" w:rsidRDefault="00082354" w:rsidP="00722D20">
      <w:pPr>
        <w:pStyle w:val="ListParagraph"/>
        <w:numPr>
          <w:ilvl w:val="0"/>
          <w:numId w:val="19"/>
        </w:numPr>
      </w:pPr>
      <w:r w:rsidRPr="00D7409C">
        <w:rPr>
          <w:b/>
        </w:rPr>
        <w:t>Victorian Energy Upgrades (VEU)</w:t>
      </w:r>
      <w:r w:rsidRPr="00D7409C">
        <w:t>: VEU is a Victorian Government initiative that provides discounted energy saving products and services to households and businesses through accredited providers. Participation is entirely voluntary. The program incentives allow accredited providers to complete energy efficient upgrades at a discounted rate, and free in some circumstances. Eligible upgrade activities include installing LED lights, water efficient shower roses, energy efficient water heaters, undertaking weather sealing (including for doors, windows, vents and chimneys) and heating and cooling appliance upgrades.</w:t>
      </w:r>
      <w:r w:rsidRPr="00D7409C">
        <w:rPr>
          <w:rStyle w:val="FootnoteReference"/>
        </w:rPr>
        <w:footnoteReference w:id="69"/>
      </w:r>
      <w:r w:rsidRPr="00D7409C">
        <w:t xml:space="preserve"> Gas space heaters installed as part of the VEU program are required to </w:t>
      </w:r>
      <w:r w:rsidR="003D5DD6">
        <w:t>be</w:t>
      </w:r>
      <w:r w:rsidRPr="00D7409C">
        <w:t xml:space="preserve"> room sealed</w:t>
      </w:r>
      <w:r w:rsidR="00076F11">
        <w:t>.</w:t>
      </w:r>
      <w:r w:rsidRPr="00D7409C">
        <w:t xml:space="preserve"> </w:t>
      </w:r>
    </w:p>
    <w:p w14:paraId="5002BB4F" w14:textId="77777777" w:rsidR="006869BB" w:rsidRPr="00D7409C" w:rsidRDefault="00082354" w:rsidP="00BB56FF">
      <w:pPr>
        <w:pStyle w:val="ListParagraph"/>
        <w:numPr>
          <w:ilvl w:val="0"/>
          <w:numId w:val="19"/>
        </w:numPr>
      </w:pPr>
      <w:r w:rsidRPr="00D7409C">
        <w:rPr>
          <w:b/>
        </w:rPr>
        <w:t>Victorian Healthy Homes Program</w:t>
      </w:r>
      <w:r w:rsidRPr="00D7409C">
        <w:t>: The Victorian Healthy Homes Program is a Victorian Government home energy efficiency program. It provides free home energy upgrades to up to 1,000 Victorians who live with complex healthcare needs, and have low incomes, in Melbourne's western suburbs and the Goulburn Valley. The upgrades can include the installation of draught proofing, ceiling or sub-floor insulation, high-efficiency heating/cooling appliances and window coverings.</w:t>
      </w:r>
      <w:r w:rsidRPr="00D7409C">
        <w:rPr>
          <w:rStyle w:val="FootnoteReference"/>
        </w:rPr>
        <w:footnoteReference w:id="70"/>
      </w:r>
    </w:p>
    <w:p w14:paraId="25BCE821" w14:textId="30146D34" w:rsidR="00FA5BDC" w:rsidRPr="00D7409C" w:rsidRDefault="005F096F" w:rsidP="004A1994">
      <w:r w:rsidRPr="00D7409C">
        <w:t xml:space="preserve">Research into indoor air quality in Australian dwellings </w:t>
      </w:r>
      <w:r w:rsidR="00BA3770" w:rsidRPr="00D7409C">
        <w:t>show the</w:t>
      </w:r>
      <w:r w:rsidRPr="00D7409C">
        <w:t xml:space="preserve"> trend towards reduced ventilation in new buildings constructed over recent decades.</w:t>
      </w:r>
      <w:r w:rsidRPr="00D7409C">
        <w:rPr>
          <w:rStyle w:val="FootnoteReference"/>
        </w:rPr>
        <w:footnoteReference w:id="71"/>
      </w:r>
      <w:r w:rsidRPr="00D7409C">
        <w:t xml:space="preserve"> </w:t>
      </w:r>
      <w:r w:rsidR="0094456E" w:rsidRPr="00D7409C">
        <w:t xml:space="preserve">For the existing housing stock, draught </w:t>
      </w:r>
      <w:r w:rsidR="002770AD" w:rsidRPr="00D7409C">
        <w:t xml:space="preserve">proofing </w:t>
      </w:r>
      <w:r w:rsidR="00F872F6" w:rsidRPr="00D7409C">
        <w:t>is found to be one of the most cost-effective measures to improve the energy efficiency rating of the home and lower</w:t>
      </w:r>
      <w:r w:rsidR="002770AD" w:rsidRPr="00D7409C">
        <w:t xml:space="preserve"> the cost</w:t>
      </w:r>
      <w:r w:rsidR="00F872F6" w:rsidRPr="00D7409C">
        <w:t xml:space="preserve"> </w:t>
      </w:r>
      <w:r w:rsidR="002770AD" w:rsidRPr="00D7409C">
        <w:t>of heating and cooling</w:t>
      </w:r>
      <w:r w:rsidR="00B45007" w:rsidRPr="00D7409C">
        <w:t>.</w:t>
      </w:r>
      <w:r w:rsidR="00F872F6" w:rsidRPr="00D7409C">
        <w:rPr>
          <w:rStyle w:val="FootnoteReference"/>
        </w:rPr>
        <w:footnoteReference w:id="72"/>
      </w:r>
      <w:r w:rsidR="00F872F6" w:rsidRPr="00D7409C">
        <w:t xml:space="preserve"> Draught </w:t>
      </w:r>
      <w:r w:rsidR="002770AD" w:rsidRPr="00D7409C">
        <w:t>proofing</w:t>
      </w:r>
      <w:r w:rsidR="00F872F6" w:rsidRPr="00D7409C">
        <w:t xml:space="preserve"> was found to reduce heating costs by up to 18 per cent and cooling costs by up to nine per cent. </w:t>
      </w:r>
      <w:r w:rsidRPr="00D7409C">
        <w:t>Further, market research commissioned by ESV in 2018 found that, of respondents with fixed gas space heaters, 32 per cent had recently sealed up air leaks in and around doors and windows, while ten per cent reported they had closed over permanent ventilation holes.</w:t>
      </w:r>
      <w:r w:rsidRPr="00D7409C">
        <w:rPr>
          <w:rStyle w:val="FootnoteReference"/>
        </w:rPr>
        <w:footnoteReference w:id="73"/>
      </w:r>
      <w:r w:rsidRPr="00D7409C">
        <w:t xml:space="preserve"> </w:t>
      </w:r>
      <w:r w:rsidR="0066059D" w:rsidRPr="00DB0D83">
        <w:t xml:space="preserve">Closing permanent ventilation holes </w:t>
      </w:r>
      <w:r w:rsidR="000B336A" w:rsidRPr="00DB0D83">
        <w:t>can increase the likelihood of</w:t>
      </w:r>
      <w:r w:rsidR="005F1B95" w:rsidRPr="00DB0D83">
        <w:t xml:space="preserve"> creat</w:t>
      </w:r>
      <w:r w:rsidR="000B336A" w:rsidRPr="00DB0D83">
        <w:t>ing</w:t>
      </w:r>
      <w:r w:rsidR="005F1B95" w:rsidRPr="00DB0D83">
        <w:t xml:space="preserve"> a negative </w:t>
      </w:r>
      <w:r w:rsidR="001707CA" w:rsidRPr="00DB0D83">
        <w:t>pre</w:t>
      </w:r>
      <w:r w:rsidR="001707CA">
        <w:t>s</w:t>
      </w:r>
      <w:r w:rsidR="001707CA" w:rsidRPr="00DB0D83">
        <w:t>su</w:t>
      </w:r>
      <w:r w:rsidR="001707CA">
        <w:t>r</w:t>
      </w:r>
      <w:r w:rsidR="001707CA" w:rsidRPr="00DB0D83">
        <w:t xml:space="preserve">e </w:t>
      </w:r>
      <w:r w:rsidR="005F1B95" w:rsidRPr="00DB0D83">
        <w:t>environment</w:t>
      </w:r>
      <w:r w:rsidR="004C2155" w:rsidRPr="00DB0D83">
        <w:t xml:space="preserve"> dependent on </w:t>
      </w:r>
      <w:r w:rsidR="005B4014" w:rsidRPr="00DB0D83">
        <w:t xml:space="preserve">the amount and size of openings around </w:t>
      </w:r>
      <w:r w:rsidR="00F2188D" w:rsidRPr="00DB0D83">
        <w:t xml:space="preserve">the windows and doors, relative to the area of the permanent vents. </w:t>
      </w:r>
      <w:r w:rsidR="005F1B95" w:rsidRPr="00DB0D83">
        <w:t xml:space="preserve"> </w:t>
      </w:r>
    </w:p>
    <w:p w14:paraId="1D124AFE" w14:textId="55AC7B4E" w:rsidR="00B06BFB" w:rsidRPr="00D7409C" w:rsidRDefault="008E5C61" w:rsidP="009F2146">
      <w:r w:rsidRPr="00D7409C">
        <w:t xml:space="preserve">The risk is lessened somewhat by changing consumer trends. </w:t>
      </w:r>
      <w:r w:rsidR="00FA5BDC" w:rsidRPr="00D7409C">
        <w:t xml:space="preserve">Increasing awareness by </w:t>
      </w:r>
      <w:r w:rsidRPr="00D7409C">
        <w:t>consumers</w:t>
      </w:r>
      <w:r w:rsidR="00BC3459">
        <w:t>,</w:t>
      </w:r>
      <w:r w:rsidRPr="00D7409C">
        <w:t xml:space="preserve"> </w:t>
      </w:r>
      <w:r w:rsidR="00C97F28">
        <w:t xml:space="preserve">technological change </w:t>
      </w:r>
      <w:r w:rsidR="00BC3459">
        <w:t xml:space="preserve">and </w:t>
      </w:r>
      <w:r w:rsidR="00892782">
        <w:t xml:space="preserve">the availability of cheaper </w:t>
      </w:r>
      <w:r w:rsidR="00ED1543">
        <w:t>alternatives</w:t>
      </w:r>
      <w:r w:rsidR="007E649F">
        <w:t xml:space="preserve"> </w:t>
      </w:r>
      <w:r w:rsidR="00FB7A65" w:rsidRPr="00D7409C">
        <w:t xml:space="preserve">means </w:t>
      </w:r>
      <w:r w:rsidR="00880636" w:rsidRPr="009748EE">
        <w:t>there</w:t>
      </w:r>
      <w:r w:rsidRPr="00D7409C">
        <w:t xml:space="preserve"> is a move</w:t>
      </w:r>
      <w:r w:rsidR="00FB7A65" w:rsidRPr="00D7409C">
        <w:t xml:space="preserve"> away from using older gas heating systems such as OFGSHs. Instead, </w:t>
      </w:r>
      <w:r w:rsidR="00C14676">
        <w:t>consumers</w:t>
      </w:r>
      <w:r w:rsidR="00C14676" w:rsidRPr="00D7409C">
        <w:t xml:space="preserve"> </w:t>
      </w:r>
      <w:r w:rsidR="00FB7A65" w:rsidRPr="00D7409C">
        <w:t xml:space="preserve">are installing more energy efficient appliances, such as efficient room-sealed heaters, ducted gas heaters in roofs and underfloor, and reverse cycle air-conditioners. Therefore, there is a natural attrition of </w:t>
      </w:r>
      <w:r w:rsidR="000932DA">
        <w:t xml:space="preserve">OFGSH </w:t>
      </w:r>
      <w:r w:rsidR="00FB7A65" w:rsidRPr="00D7409C">
        <w:t>installation and use of existing units.</w:t>
      </w:r>
    </w:p>
    <w:p w14:paraId="3D58DD43" w14:textId="55033C9F" w:rsidR="00DA04ED" w:rsidRPr="00D7409C" w:rsidRDefault="000C6FED" w:rsidP="005024F8">
      <w:pPr>
        <w:pStyle w:val="Heading3"/>
      </w:pPr>
      <w:r>
        <w:t>Infrequent</w:t>
      </w:r>
      <w:r w:rsidRPr="00D7409C">
        <w:t xml:space="preserve"> </w:t>
      </w:r>
      <w:r w:rsidR="00DA04ED" w:rsidRPr="00D7409C">
        <w:t xml:space="preserve">servicing and maintenance </w:t>
      </w:r>
    </w:p>
    <w:p w14:paraId="0277ECEF" w14:textId="361D26E6" w:rsidR="00E942CC" w:rsidRPr="00D7409C" w:rsidRDefault="005F096F" w:rsidP="005F096F">
      <w:bookmarkStart w:id="171" w:name="_Ref24706066"/>
      <w:bookmarkStart w:id="172" w:name="_Ref23162359"/>
      <w:r w:rsidRPr="00D7409C">
        <w:t xml:space="preserve">Regular servicing ensures </w:t>
      </w:r>
      <w:r w:rsidR="003D01ED" w:rsidRPr="00D7409C">
        <w:t>gas appliances, including OFGSHs,</w:t>
      </w:r>
      <w:r w:rsidR="00A033AC" w:rsidRPr="00D7409C">
        <w:t xml:space="preserve"> </w:t>
      </w:r>
      <w:r w:rsidR="003D01ED" w:rsidRPr="00D7409C">
        <w:t>are in</w:t>
      </w:r>
      <w:r w:rsidRPr="00D7409C">
        <w:t xml:space="preserve"> good condition and operating safely</w:t>
      </w:r>
      <w:r w:rsidR="00F069DC" w:rsidRPr="00D7409C">
        <w:t>, and is</w:t>
      </w:r>
      <w:r w:rsidRPr="00D7409C">
        <w:t xml:space="preserve"> critical to mitigating the risk of CO exposure.</w:t>
      </w:r>
      <w:r w:rsidRPr="00D7409C">
        <w:rPr>
          <w:rStyle w:val="FootnoteReference"/>
        </w:rPr>
        <w:footnoteReference w:id="74"/>
      </w:r>
      <w:r w:rsidRPr="00D7409C">
        <w:t xml:space="preserve"> </w:t>
      </w:r>
      <w:r w:rsidR="005A4DD7" w:rsidRPr="00D7409C">
        <w:t xml:space="preserve">This is particularly important with older appliances, as the </w:t>
      </w:r>
      <w:r w:rsidRPr="00D7409C">
        <w:t xml:space="preserve">likelihood of </w:t>
      </w:r>
      <w:r w:rsidR="000932DA">
        <w:t xml:space="preserve">OFGSHs </w:t>
      </w:r>
      <w:r w:rsidRPr="00D7409C">
        <w:t xml:space="preserve">malfunctioning increases as </w:t>
      </w:r>
      <w:r w:rsidR="00A033AC" w:rsidRPr="00D7409C">
        <w:t>an</w:t>
      </w:r>
      <w:r w:rsidRPr="00D7409C">
        <w:t xml:space="preserve"> appliance gets older. Market research commissioned by ESV found that 29 per cent of fixed gas space heaters in Victorian homes were at least 15 years old.</w:t>
      </w:r>
      <w:r w:rsidR="005A4DD7" w:rsidRPr="00D7409C">
        <w:rPr>
          <w:rStyle w:val="FootnoteReference"/>
        </w:rPr>
        <w:footnoteReference w:id="75"/>
      </w:r>
    </w:p>
    <w:p w14:paraId="52BFDAFE" w14:textId="0ACBA7B2" w:rsidR="003F0ED3" w:rsidRPr="00D7409C" w:rsidRDefault="00E942CC" w:rsidP="00D06461">
      <w:r w:rsidRPr="00D7409C">
        <w:lastRenderedPageBreak/>
        <w:t xml:space="preserve">ESV and </w:t>
      </w:r>
      <w:r w:rsidR="00143500">
        <w:t xml:space="preserve">the </w:t>
      </w:r>
      <w:r w:rsidRPr="00D7409C">
        <w:t>VBA recommend that all gas heaters should be serviced at least every 2 years by a qualified gasfitter</w:t>
      </w:r>
      <w:r w:rsidRPr="00D7409C">
        <w:rPr>
          <w:rStyle w:val="FootnoteReference"/>
        </w:rPr>
        <w:footnoteReference w:id="76"/>
      </w:r>
      <w:r w:rsidRPr="00D7409C">
        <w:t>, and run ongoing public education campaigns about the importance of regular servicing.</w:t>
      </w:r>
      <w:r w:rsidR="00781F75" w:rsidRPr="00D7409C">
        <w:t xml:space="preserve"> However</w:t>
      </w:r>
      <w:r w:rsidR="00496178" w:rsidRPr="00D7409C">
        <w:t>, ESV</w:t>
      </w:r>
      <w:r w:rsidR="0068540C" w:rsidRPr="00D7409C">
        <w:t>’s</w:t>
      </w:r>
      <w:r w:rsidR="00781F75" w:rsidRPr="00D7409C">
        <w:t xml:space="preserve"> market </w:t>
      </w:r>
      <w:bookmarkStart w:id="173" w:name="_Hlk23167082"/>
      <w:bookmarkEnd w:id="171"/>
      <w:bookmarkEnd w:id="172"/>
      <w:r w:rsidR="0068540C" w:rsidRPr="00D7409C">
        <w:t>research</w:t>
      </w:r>
      <w:bookmarkEnd w:id="173"/>
      <w:r w:rsidR="00D06461" w:rsidRPr="00D7409C">
        <w:t xml:space="preserve"> </w:t>
      </w:r>
      <w:r w:rsidR="005F096F" w:rsidRPr="00D7409C">
        <w:t>evaluat</w:t>
      </w:r>
      <w:r w:rsidR="0068540C" w:rsidRPr="00D7409C">
        <w:t>ing</w:t>
      </w:r>
      <w:r w:rsidR="005F096F" w:rsidRPr="00D7409C">
        <w:t xml:space="preserve"> the effectiveness of its </w:t>
      </w:r>
      <w:r w:rsidR="005F096F" w:rsidRPr="00D7409C">
        <w:rPr>
          <w:i/>
        </w:rPr>
        <w:t xml:space="preserve">Cold Feet </w:t>
      </w:r>
      <w:r w:rsidR="005F096F" w:rsidRPr="00D7409C">
        <w:t>media campaign</w:t>
      </w:r>
      <w:r w:rsidR="004678DA" w:rsidRPr="00D7409C">
        <w:t xml:space="preserve"> (</w:t>
      </w:r>
      <w:r w:rsidR="005E23E4" w:rsidRPr="00D7409C">
        <w:t>discussed in section 2.2.1)</w:t>
      </w:r>
      <w:r w:rsidR="005F096F" w:rsidRPr="00D7409C">
        <w:t xml:space="preserve"> found that while 80 per cent of survey respondents understood the dangers of CO, only 19 per cent had arranged for their gas heater(s) to be serviced in response to the campaign.</w:t>
      </w:r>
      <w:r w:rsidR="005F096F" w:rsidRPr="00D7409C">
        <w:rPr>
          <w:rStyle w:val="FootnoteReference"/>
        </w:rPr>
        <w:footnoteReference w:id="77"/>
      </w:r>
      <w:r w:rsidR="00DA1359" w:rsidRPr="000276F0">
        <w:rPr>
          <w:vertAlign w:val="superscript"/>
        </w:rPr>
        <w:t>,</w:t>
      </w:r>
      <w:r w:rsidR="00A972FD">
        <w:rPr>
          <w:rStyle w:val="FootnoteReference"/>
        </w:rPr>
        <w:footnoteReference w:id="78"/>
      </w:r>
      <w:r w:rsidR="005F096F" w:rsidRPr="00D7409C">
        <w:t xml:space="preserve">  </w:t>
      </w:r>
      <w:r w:rsidR="008D2820" w:rsidRPr="00D7409C">
        <w:t xml:space="preserve">It was also found that </w:t>
      </w:r>
      <w:r w:rsidR="003F0ED3" w:rsidRPr="00D7409C">
        <w:t>of people with ducted gas or fixed gas space heating</w:t>
      </w:r>
      <w:r w:rsidR="00E754EB">
        <w:t>:</w:t>
      </w:r>
      <w:r w:rsidR="003F0ED3" w:rsidRPr="00D7409C">
        <w:rPr>
          <w:vertAlign w:val="superscript"/>
        </w:rPr>
        <w:footnoteReference w:id="79"/>
      </w:r>
    </w:p>
    <w:p w14:paraId="254125A1" w14:textId="77777777" w:rsidR="003F0ED3" w:rsidRPr="00D7409C" w:rsidRDefault="003F0ED3" w:rsidP="003F0ED3">
      <w:pPr>
        <w:pStyle w:val="ListParagraph"/>
        <w:numPr>
          <w:ilvl w:val="0"/>
          <w:numId w:val="51"/>
        </w:numPr>
        <w:rPr>
          <w:rFonts w:eastAsia="Times New Roman"/>
        </w:rPr>
      </w:pPr>
      <w:r w:rsidRPr="00D7409C">
        <w:rPr>
          <w:rFonts w:eastAsia="Times New Roman"/>
        </w:rPr>
        <w:t>At least 80 per cent were aware that CO spillage can be lethal, that gas heaters that are faulty or poorly maintained can leak CO and that CO is a colourless, odourless and tasteless gas</w:t>
      </w:r>
    </w:p>
    <w:p w14:paraId="4F4D65C8" w14:textId="77777777" w:rsidR="003F0ED3" w:rsidRPr="00D7409C" w:rsidRDefault="003F0ED3" w:rsidP="003F0ED3">
      <w:pPr>
        <w:pStyle w:val="ListParagraph"/>
        <w:numPr>
          <w:ilvl w:val="0"/>
          <w:numId w:val="51"/>
        </w:numPr>
        <w:rPr>
          <w:rFonts w:eastAsia="Times New Roman"/>
        </w:rPr>
      </w:pPr>
      <w:r w:rsidRPr="00D7409C">
        <w:rPr>
          <w:rFonts w:eastAsia="Times New Roman"/>
        </w:rPr>
        <w:t>67 per cent had seen or heard something about carbon monoxide in the media in the past 12 months</w:t>
      </w:r>
    </w:p>
    <w:p w14:paraId="784047BD" w14:textId="57B5EAE1" w:rsidR="00DB3FEF" w:rsidRPr="00D7409C" w:rsidRDefault="00DB3FEF" w:rsidP="003F0ED3">
      <w:pPr>
        <w:pStyle w:val="ListParagraph"/>
        <w:numPr>
          <w:ilvl w:val="0"/>
          <w:numId w:val="51"/>
        </w:numPr>
        <w:rPr>
          <w:rFonts w:eastAsia="Times New Roman"/>
        </w:rPr>
      </w:pPr>
      <w:r w:rsidRPr="00D7409C">
        <w:t>Less than 30 per cent of Victoria’s gas heaters were serviced within the recommended interval of 2 years</w:t>
      </w:r>
    </w:p>
    <w:p w14:paraId="192C39EC" w14:textId="77777777" w:rsidR="003F0ED3" w:rsidRPr="00D7409C" w:rsidRDefault="003F0ED3" w:rsidP="003F0ED3">
      <w:pPr>
        <w:pStyle w:val="ListParagraph"/>
        <w:numPr>
          <w:ilvl w:val="0"/>
          <w:numId w:val="51"/>
        </w:numPr>
        <w:rPr>
          <w:rFonts w:eastAsia="Times New Roman"/>
        </w:rPr>
      </w:pPr>
      <w:r w:rsidRPr="00D7409C">
        <w:rPr>
          <w:rFonts w:eastAsia="Times New Roman"/>
        </w:rPr>
        <w:t>45 per cent of respondents with a fixed gas space heater had not had it serviced in the last three years</w:t>
      </w:r>
    </w:p>
    <w:p w14:paraId="50B6C53C" w14:textId="77777777" w:rsidR="003F0ED3" w:rsidRPr="00D7409C" w:rsidRDefault="003F0ED3" w:rsidP="003F0ED3">
      <w:pPr>
        <w:pStyle w:val="ListParagraph"/>
        <w:numPr>
          <w:ilvl w:val="0"/>
          <w:numId w:val="51"/>
        </w:numPr>
        <w:rPr>
          <w:rFonts w:eastAsia="Times New Roman"/>
        </w:rPr>
      </w:pPr>
      <w:r w:rsidRPr="00D7409C">
        <w:rPr>
          <w:rFonts w:eastAsia="Times New Roman"/>
        </w:rPr>
        <w:t xml:space="preserve">18 per cent had not had their heater serviced in the last five years or had never had it serviced and 18 per cent did not know when it was last serviced. </w:t>
      </w:r>
    </w:p>
    <w:p w14:paraId="0EB978F9" w14:textId="77777777" w:rsidR="003F0ED3" w:rsidRPr="00D7409C" w:rsidRDefault="003F0ED3" w:rsidP="003F0ED3">
      <w:pPr>
        <w:spacing w:after="240"/>
      </w:pPr>
      <w:r w:rsidRPr="00D7409C">
        <w:t>Similar results were obtained through research commissioned following the 2019 ‘Be Sure’ campaign, which indicted that of the 1,260 respondents (who all had gas heating in their homes):</w:t>
      </w:r>
      <w:r w:rsidRPr="00D7409C">
        <w:rPr>
          <w:vertAlign w:val="superscript"/>
        </w:rPr>
        <w:footnoteReference w:id="80"/>
      </w:r>
      <w:r w:rsidRPr="00D7409C">
        <w:t xml:space="preserve"> </w:t>
      </w:r>
    </w:p>
    <w:p w14:paraId="7C62AAB1" w14:textId="4DD4A28A" w:rsidR="003F0ED3" w:rsidRPr="00D7409C" w:rsidRDefault="003F0ED3" w:rsidP="003F0ED3">
      <w:pPr>
        <w:pStyle w:val="ListParagraph"/>
        <w:numPr>
          <w:ilvl w:val="0"/>
          <w:numId w:val="51"/>
        </w:numPr>
        <w:rPr>
          <w:rFonts w:eastAsia="Times New Roman"/>
        </w:rPr>
      </w:pPr>
      <w:r w:rsidRPr="00D7409C">
        <w:rPr>
          <w:rFonts w:eastAsia="Times New Roman"/>
        </w:rPr>
        <w:t>While generally, most Victorians are aware of the dangers of CO poisoning (around 80 per cent or more are aware), knowledge about the need for servicing heaters every two years by a qualified gasfitter was much lower (around 54 per cent of respondents)</w:t>
      </w:r>
    </w:p>
    <w:p w14:paraId="703B3804" w14:textId="77777777" w:rsidR="003F0ED3" w:rsidRPr="00D7409C" w:rsidRDefault="003F0ED3" w:rsidP="003F0ED3">
      <w:pPr>
        <w:pStyle w:val="ListParagraph"/>
        <w:numPr>
          <w:ilvl w:val="0"/>
          <w:numId w:val="51"/>
        </w:numPr>
        <w:rPr>
          <w:rFonts w:eastAsia="Times New Roman"/>
        </w:rPr>
      </w:pPr>
      <w:r w:rsidRPr="00D7409C">
        <w:rPr>
          <w:rFonts w:eastAsia="Times New Roman"/>
        </w:rPr>
        <w:t>The majority of survey respondents (81 per cent) acknowledged learning something new after seeing the campaign and 41 per cent indicated that they learnt about the importance of gas heater servicing and 78 per cent reported they were more likely to get their heater serviced after seeing the campaign</w:t>
      </w:r>
    </w:p>
    <w:p w14:paraId="2AE0EB10" w14:textId="7900AA47" w:rsidR="003F0ED3" w:rsidRPr="00D7409C" w:rsidRDefault="003F0ED3" w:rsidP="003F0ED3">
      <w:pPr>
        <w:pStyle w:val="ListParagraph"/>
        <w:numPr>
          <w:ilvl w:val="0"/>
          <w:numId w:val="51"/>
        </w:numPr>
        <w:rPr>
          <w:rFonts w:eastAsia="Times New Roman"/>
        </w:rPr>
      </w:pPr>
      <w:r w:rsidRPr="00D7409C">
        <w:rPr>
          <w:rFonts w:eastAsia="Times New Roman"/>
        </w:rPr>
        <w:t>Over half (53 per cent) recalled seeing advertising or communications about safe use of gas heating in the previous six months</w:t>
      </w:r>
    </w:p>
    <w:p w14:paraId="11A69729" w14:textId="29915F41" w:rsidR="003F0ED3" w:rsidRPr="00D7409C" w:rsidRDefault="003F0ED3" w:rsidP="003F0ED3">
      <w:pPr>
        <w:pStyle w:val="ListParagraph"/>
        <w:numPr>
          <w:ilvl w:val="0"/>
          <w:numId w:val="51"/>
        </w:numPr>
        <w:rPr>
          <w:rFonts w:eastAsia="Times New Roman"/>
        </w:rPr>
      </w:pPr>
      <w:r w:rsidRPr="00D7409C">
        <w:rPr>
          <w:rFonts w:eastAsia="Times New Roman"/>
        </w:rPr>
        <w:t>Among those who had seen the campaign, 15 per cent said they had had their gas heater serviced and 17 per cent said they had arranged for servicing. A further 19 per cent had looked into or planned to get their heater serviced</w:t>
      </w:r>
    </w:p>
    <w:p w14:paraId="3F01CB46" w14:textId="20CD8ACD" w:rsidR="003F0ED3" w:rsidRPr="00D7409C" w:rsidRDefault="003F0ED3" w:rsidP="003F0ED3">
      <w:pPr>
        <w:pStyle w:val="ListParagraph"/>
        <w:numPr>
          <w:ilvl w:val="0"/>
          <w:numId w:val="51"/>
        </w:numPr>
        <w:rPr>
          <w:rFonts w:eastAsia="Times New Roman"/>
        </w:rPr>
      </w:pPr>
      <w:r w:rsidRPr="00D7409C">
        <w:rPr>
          <w:rFonts w:eastAsia="Times New Roman"/>
        </w:rPr>
        <w:t>Around half of survey respondents (51 per cent) said they have had their heaters serviced in the last two year</w:t>
      </w:r>
      <w:r w:rsidR="00DE3CD0">
        <w:rPr>
          <w:rFonts w:eastAsia="Times New Roman"/>
        </w:rPr>
        <w:t>s</w:t>
      </w:r>
    </w:p>
    <w:p w14:paraId="42E00BEE" w14:textId="274B0CBA" w:rsidR="003F0ED3" w:rsidRPr="00D7409C" w:rsidRDefault="003F0ED3" w:rsidP="003F0ED3">
      <w:pPr>
        <w:pStyle w:val="ListParagraph"/>
        <w:numPr>
          <w:ilvl w:val="0"/>
          <w:numId w:val="51"/>
        </w:numPr>
        <w:rPr>
          <w:rFonts w:eastAsia="Times New Roman"/>
        </w:rPr>
      </w:pPr>
      <w:r w:rsidRPr="00D7409C">
        <w:rPr>
          <w:rFonts w:eastAsia="Times New Roman"/>
        </w:rPr>
        <w:t xml:space="preserve">Those who had not had their heater serviced in the last two years reported that the main reason for not doing so was because: it is working fine and they didn’t need to (30 per cent); they didn’t know they should (22 per cent); they never thought about it (20 per cent) or it costs too much (19 per cent). </w:t>
      </w:r>
    </w:p>
    <w:p w14:paraId="44C58AD5" w14:textId="207A6F47" w:rsidR="005F096F" w:rsidRPr="00D7409C" w:rsidRDefault="005F096F" w:rsidP="005F096F">
      <w:r w:rsidRPr="00D7409C">
        <w:t>There are a number of possible reasons why Victorians have failed to ensure their gas heaters are serviced regularly</w:t>
      </w:r>
      <w:r w:rsidR="004E1DE5">
        <w:t>,</w:t>
      </w:r>
      <w:r w:rsidRPr="00D7409C">
        <w:t xml:space="preserve"> including:</w:t>
      </w:r>
    </w:p>
    <w:p w14:paraId="696BF3F4" w14:textId="25EC362B" w:rsidR="005F096F" w:rsidRPr="00D7409C" w:rsidRDefault="005F096F" w:rsidP="00E74AA1">
      <w:pPr>
        <w:pStyle w:val="ListParagraph"/>
        <w:numPr>
          <w:ilvl w:val="0"/>
          <w:numId w:val="24"/>
        </w:numPr>
      </w:pPr>
      <w:r w:rsidRPr="00D7409C">
        <w:rPr>
          <w:b/>
        </w:rPr>
        <w:t>Lack of knowledge</w:t>
      </w:r>
      <w:r w:rsidRPr="00D7409C">
        <w:t xml:space="preserve">: Market research suggests that only 61 per cent of survey respondents were aware of the servicing requirements for gas heaters following ESV’s </w:t>
      </w:r>
      <w:r w:rsidRPr="00D7409C">
        <w:rPr>
          <w:i/>
        </w:rPr>
        <w:t xml:space="preserve">Be Sure </w:t>
      </w:r>
      <w:r w:rsidRPr="00D7409C">
        <w:t>campaign.</w:t>
      </w:r>
      <w:r w:rsidRPr="00D7409C">
        <w:rPr>
          <w:rStyle w:val="FootnoteReference"/>
        </w:rPr>
        <w:footnoteReference w:id="81"/>
      </w:r>
      <w:r w:rsidRPr="00D7409C">
        <w:t xml:space="preserve"> </w:t>
      </w:r>
      <w:r w:rsidR="00B27624" w:rsidRPr="00D7409C">
        <w:t>This is despite Australian Standards prescribing that a recommended maintenance schedule for the life expectancy of the appliance must be included in the operation manual.</w:t>
      </w:r>
    </w:p>
    <w:p w14:paraId="6D7ACB07" w14:textId="0F693167" w:rsidR="005F096F" w:rsidRPr="00D7409C" w:rsidRDefault="005F096F" w:rsidP="00E74AA1">
      <w:pPr>
        <w:pStyle w:val="ListParagraph"/>
        <w:numPr>
          <w:ilvl w:val="0"/>
          <w:numId w:val="24"/>
        </w:numPr>
      </w:pPr>
      <w:r w:rsidRPr="00D7409C">
        <w:rPr>
          <w:b/>
        </w:rPr>
        <w:lastRenderedPageBreak/>
        <w:t>Lack of mandatory servicing</w:t>
      </w:r>
      <w:r w:rsidRPr="00D7409C">
        <w:t xml:space="preserve">: There are </w:t>
      </w:r>
      <w:r w:rsidR="00D81320" w:rsidRPr="00D7409C">
        <w:t xml:space="preserve">currently </w:t>
      </w:r>
      <w:r w:rsidRPr="00D7409C">
        <w:t>no mandatory requirements to service gas heaters. This may create some confusion around whether servicing is required, and if so, who is responsible for servicing gas heaters. The 2013 Coronial Inquest noted that since landlords are not required to service gas heaters, they typically choose not to do so.</w:t>
      </w:r>
      <w:r w:rsidRPr="00D7409C">
        <w:rPr>
          <w:rStyle w:val="FootnoteReference"/>
        </w:rPr>
        <w:footnoteReference w:id="82"/>
      </w:r>
      <w:r w:rsidRPr="00D7409C">
        <w:t xml:space="preserve"> Landlords are however required to </w:t>
      </w:r>
      <w:r w:rsidR="00260B35" w:rsidRPr="00D7409C">
        <w:t>respond to an ‘urgent repair’</w:t>
      </w:r>
      <w:r w:rsidR="00A6005B" w:rsidRPr="00D7409C">
        <w:t xml:space="preserve"> request,</w:t>
      </w:r>
      <w:r w:rsidRPr="00D7409C">
        <w:t xml:space="preserve"> if the heater requires repairs or if a gas leak is suspected by the tenant under the </w:t>
      </w:r>
      <w:r w:rsidRPr="00D7409C">
        <w:rPr>
          <w:i/>
        </w:rPr>
        <w:t xml:space="preserve">Residential Tenancies Act </w:t>
      </w:r>
      <w:r w:rsidR="00A6005B" w:rsidRPr="00D7409C">
        <w:rPr>
          <w:i/>
        </w:rPr>
        <w:t>1997</w:t>
      </w:r>
      <w:r w:rsidRPr="00D7409C">
        <w:t>.</w:t>
      </w:r>
      <w:r w:rsidRPr="00D7409C">
        <w:rPr>
          <w:rStyle w:val="FootnoteReference"/>
        </w:rPr>
        <w:footnoteReference w:id="83"/>
      </w:r>
      <w:r w:rsidRPr="00D7409C">
        <w:rPr>
          <w:vertAlign w:val="superscript"/>
        </w:rPr>
        <w:t>,</w:t>
      </w:r>
      <w:r w:rsidRPr="00D7409C">
        <w:rPr>
          <w:rStyle w:val="FootnoteReference"/>
        </w:rPr>
        <w:footnoteReference w:id="84"/>
      </w:r>
      <w:r w:rsidR="00A55979" w:rsidRPr="00D7409C">
        <w:t xml:space="preserve"> </w:t>
      </w:r>
      <w:r w:rsidR="00A46860" w:rsidRPr="00D7409C">
        <w:t xml:space="preserve">As discussed in chapter 1, </w:t>
      </w:r>
      <w:r w:rsidR="00A6005B" w:rsidRPr="00D7409C">
        <w:t>it is anticipated that</w:t>
      </w:r>
      <w:r w:rsidR="00A46860" w:rsidRPr="00D7409C">
        <w:t xml:space="preserve"> mandatory gas safety checks </w:t>
      </w:r>
      <w:r w:rsidR="0035785C" w:rsidRPr="00D7409C">
        <w:t xml:space="preserve">for </w:t>
      </w:r>
      <w:r w:rsidR="00A46860" w:rsidRPr="00D7409C">
        <w:t xml:space="preserve">rental properties will be prescribed in the Residential Tenancies Regulations </w:t>
      </w:r>
      <w:r w:rsidR="005761B2" w:rsidRPr="00D7409C">
        <w:t xml:space="preserve">which </w:t>
      </w:r>
      <w:r w:rsidR="62819323" w:rsidRPr="00D7409C">
        <w:t>will</w:t>
      </w:r>
      <w:r w:rsidR="005761B2" w:rsidRPr="00D7409C">
        <w:t xml:space="preserve"> </w:t>
      </w:r>
      <w:r w:rsidR="00A46860" w:rsidRPr="00D7409C">
        <w:t xml:space="preserve">come into effect </w:t>
      </w:r>
      <w:r w:rsidR="3F338FAE" w:rsidRPr="00D7409C">
        <w:t xml:space="preserve">on 29 March </w:t>
      </w:r>
      <w:r w:rsidR="00A46860" w:rsidRPr="00D7409C">
        <w:t xml:space="preserve"> 2021, thus addressing some of this risk. </w:t>
      </w:r>
    </w:p>
    <w:p w14:paraId="1ACBC142" w14:textId="716C5468" w:rsidR="005F096F" w:rsidRPr="00D7409C" w:rsidRDefault="005F096F" w:rsidP="00E74AA1">
      <w:pPr>
        <w:pStyle w:val="ListParagraph"/>
        <w:numPr>
          <w:ilvl w:val="0"/>
          <w:numId w:val="24"/>
        </w:numPr>
      </w:pPr>
      <w:r w:rsidRPr="00D7409C">
        <w:rPr>
          <w:b/>
        </w:rPr>
        <w:t>Affordability</w:t>
      </w:r>
      <w:r w:rsidRPr="00D7409C">
        <w:t xml:space="preserve">: </w:t>
      </w:r>
      <w:r w:rsidR="0012386A" w:rsidRPr="00D7409C">
        <w:t xml:space="preserve">Servicing costs may be unaffordable for some Victorians. </w:t>
      </w:r>
      <w:r w:rsidRPr="00D7409C">
        <w:t>ESV estimates the base cost of servicing a gas heater to be approximately $180 to $300.</w:t>
      </w:r>
      <w:r w:rsidRPr="00D7409C">
        <w:rPr>
          <w:rStyle w:val="FootnoteReference"/>
        </w:rPr>
        <w:footnoteReference w:id="85"/>
      </w:r>
      <w:r w:rsidRPr="00D7409C">
        <w:t xml:space="preserve"> If CO is detected during the service, the gasfitter is required to conduct necessary repairs, install appropriate ventilation, or isolate the heater; all of which may incur additional costs.</w:t>
      </w:r>
      <w:r w:rsidRPr="00D7409C">
        <w:rPr>
          <w:rStyle w:val="FootnoteReference"/>
        </w:rPr>
        <w:footnoteReference w:id="86"/>
      </w:r>
      <w:r w:rsidRPr="00D7409C">
        <w:t xml:space="preserve"> </w:t>
      </w:r>
    </w:p>
    <w:p w14:paraId="15C1C23E" w14:textId="77777777" w:rsidR="005F096F" w:rsidRPr="00D7409C" w:rsidRDefault="005F096F" w:rsidP="00E74AA1">
      <w:pPr>
        <w:pStyle w:val="ListParagraph"/>
        <w:numPr>
          <w:ilvl w:val="0"/>
          <w:numId w:val="24"/>
        </w:numPr>
      </w:pPr>
      <w:r w:rsidRPr="00D7409C">
        <w:rPr>
          <w:b/>
        </w:rPr>
        <w:t>Inconvenience</w:t>
      </w:r>
      <w:r w:rsidRPr="00D7409C">
        <w:t xml:space="preserve">: Convenience costs may reduce the frequency of servicing. To service their gas heaters, Victorians need to schedule a service with a licenced gasfitter and ensure that the gasfitter has access to the premises during testing. </w:t>
      </w:r>
    </w:p>
    <w:p w14:paraId="45458004" w14:textId="73F88D32" w:rsidR="005F096F" w:rsidRPr="00D7409C" w:rsidRDefault="005F096F" w:rsidP="00E74AA1">
      <w:pPr>
        <w:pStyle w:val="ListParagraph"/>
        <w:numPr>
          <w:ilvl w:val="0"/>
          <w:numId w:val="24"/>
        </w:numPr>
      </w:pPr>
      <w:r w:rsidRPr="00D7409C">
        <w:rPr>
          <w:b/>
        </w:rPr>
        <w:t>Lack of concern</w:t>
      </w:r>
      <w:r w:rsidRPr="00D7409C">
        <w:t xml:space="preserve">: Lack of concern amongst Victorian households may reduce the frequency at which gas heaters are serviced, if they are serviced at all. </w:t>
      </w:r>
      <w:r w:rsidR="00FC380A" w:rsidRPr="00D7409C">
        <w:t xml:space="preserve">Market research by </w:t>
      </w:r>
      <w:r w:rsidRPr="00D7409C">
        <w:t xml:space="preserve">Quantum found that, despite being aware of the risks associated with </w:t>
      </w:r>
      <w:r w:rsidR="003D216D">
        <w:t>CO</w:t>
      </w:r>
      <w:r w:rsidRPr="00D7409C">
        <w:t>, less than half of survey respondents took the necessary steps to ensure their fixed space gas heater was operating safely.</w:t>
      </w:r>
      <w:r w:rsidRPr="00D7409C">
        <w:rPr>
          <w:rStyle w:val="FootnoteReference"/>
        </w:rPr>
        <w:footnoteReference w:id="87"/>
      </w:r>
      <w:r w:rsidRPr="00D7409C">
        <w:t xml:space="preserve"> </w:t>
      </w:r>
    </w:p>
    <w:p w14:paraId="164CFBD6" w14:textId="572E5ED7" w:rsidR="005F096F" w:rsidRPr="00D7409C" w:rsidRDefault="005F096F" w:rsidP="005F096F">
      <w:r w:rsidRPr="00D7409C">
        <w:t xml:space="preserve">Even if OFGSHs are serviced as recommended, </w:t>
      </w:r>
      <w:r w:rsidR="00B348F3" w:rsidRPr="00D7409C">
        <w:t xml:space="preserve">due to their design, in </w:t>
      </w:r>
      <w:r w:rsidRPr="00D7409C">
        <w:t xml:space="preserve">some circumstances </w:t>
      </w:r>
      <w:r w:rsidR="00B348F3" w:rsidRPr="00D7409C">
        <w:t xml:space="preserve">use of OFGSHs may </w:t>
      </w:r>
      <w:r w:rsidRPr="00D7409C">
        <w:t xml:space="preserve">still result in fatal levels of CO being produced. Expert witness testimonies from ESV, supplied during the 2013 Coronial Inquest, said that any obstruction to the primary air inlet of an </w:t>
      </w:r>
      <w:r w:rsidR="000932DA">
        <w:t>OFGS</w:t>
      </w:r>
      <w:r w:rsidR="00DF1FD8">
        <w:t>H</w:t>
      </w:r>
      <w:r w:rsidR="000932DA">
        <w:t xml:space="preserve"> </w:t>
      </w:r>
      <w:r w:rsidRPr="00D7409C">
        <w:t>will result in an unacceptably high level of CO being produced.</w:t>
      </w:r>
      <w:r w:rsidRPr="00D7409C">
        <w:rPr>
          <w:rStyle w:val="FootnoteReference"/>
        </w:rPr>
        <w:footnoteReference w:id="88"/>
      </w:r>
      <w:r w:rsidRPr="00D7409C">
        <w:t xml:space="preserve"> In other words; any dust, dirt, lint, or hair which blocks the air inlet of a heater would result in high concentrations of CO. During this process, soot will also accumulate within the heater, blocking the path for combustion products to exit through the flue.</w:t>
      </w:r>
      <w:r w:rsidRPr="00D7409C">
        <w:rPr>
          <w:rStyle w:val="FootnoteReference"/>
        </w:rPr>
        <w:footnoteReference w:id="89"/>
      </w:r>
      <w:r w:rsidRPr="00D7409C">
        <w:t xml:space="preserve"> </w:t>
      </w:r>
    </w:p>
    <w:p w14:paraId="2266072D" w14:textId="1BCB0370" w:rsidR="005F096F" w:rsidRPr="00D7409C" w:rsidRDefault="005F096F" w:rsidP="005F096F">
      <w:r w:rsidRPr="00D7409C">
        <w:t>These facts suggest that regular cleaning of the</w:t>
      </w:r>
      <w:r w:rsidR="00E46490" w:rsidRPr="00D7409C">
        <w:t xml:space="preserve"> primary</w:t>
      </w:r>
      <w:r w:rsidRPr="00D7409C">
        <w:t xml:space="preserve"> air </w:t>
      </w:r>
      <w:r w:rsidR="0061092E" w:rsidRPr="00D7409C">
        <w:t xml:space="preserve">openings </w:t>
      </w:r>
      <w:r w:rsidRPr="00D7409C">
        <w:t xml:space="preserve">of an </w:t>
      </w:r>
      <w:r w:rsidR="000932DA">
        <w:t xml:space="preserve">OFGSH </w:t>
      </w:r>
      <w:r w:rsidRPr="00D7409C">
        <w:t>is also essential to the safe operation of these devices. There is limited evidence to suggest that Victorian households are aware of the importance of maintaining the</w:t>
      </w:r>
      <w:r w:rsidR="00980694" w:rsidRPr="00D7409C">
        <w:t xml:space="preserve"> primary</w:t>
      </w:r>
      <w:r w:rsidRPr="00D7409C">
        <w:t xml:space="preserve"> air </w:t>
      </w:r>
      <w:r w:rsidR="00252BA5" w:rsidRPr="00D7409C">
        <w:t xml:space="preserve">openings </w:t>
      </w:r>
      <w:r w:rsidRPr="00D7409C">
        <w:t xml:space="preserve">of OFGSHs. It is noted that carpet lint and/or dust likely played a role in the deaths of </w:t>
      </w:r>
      <w:r w:rsidR="00D31C4A">
        <w:t xml:space="preserve">Chase and </w:t>
      </w:r>
      <w:r w:rsidRPr="00D7409C">
        <w:t xml:space="preserve">Tyler and Robinson in 2010. A number of non-fatal CO exposures occur every year and inadequate maintenance is frequently cited as the cause. One such case is presented below. </w:t>
      </w:r>
    </w:p>
    <w:p w14:paraId="694A2A91" w14:textId="39C5EBA6" w:rsidR="006E147C" w:rsidRPr="00D7409C" w:rsidRDefault="006E147C" w:rsidP="006E147C">
      <w:pPr>
        <w:rPr>
          <w:lang w:eastAsia="en-AU"/>
        </w:rPr>
      </w:pPr>
      <w:r w:rsidRPr="00D7409C">
        <w:rPr>
          <w:noProof/>
          <w:lang w:eastAsia="en-AU"/>
        </w:rPr>
        <w:lastRenderedPageBreak/>
        <mc:AlternateContent>
          <mc:Choice Requires="wps">
            <w:drawing>
              <wp:inline distT="0" distB="0" distL="0" distR="0" wp14:anchorId="78EE153F" wp14:editId="61975DCC">
                <wp:extent cx="5731510" cy="2179930"/>
                <wp:effectExtent l="0" t="0" r="21590" b="11430"/>
                <wp:docPr id="30" name="Rectangle 30"/>
                <wp:cNvGraphicFramePr/>
                <a:graphic xmlns:a="http://schemas.openxmlformats.org/drawingml/2006/main">
                  <a:graphicData uri="http://schemas.microsoft.com/office/word/2010/wordprocessingShape">
                    <wps:wsp>
                      <wps:cNvSpPr/>
                      <wps:spPr bwMode="gray">
                        <a:xfrm>
                          <a:off x="0" y="0"/>
                          <a:ext cx="5731510" cy="217993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634F5ADD" w14:textId="77777777" w:rsidR="0082085F" w:rsidRPr="00387E1D" w:rsidRDefault="0082085F" w:rsidP="005F096F">
                            <w:pPr>
                              <w:rPr>
                                <w:rFonts w:asciiTheme="majorHAnsi" w:hAnsiTheme="majorHAnsi"/>
                                <w:b/>
                              </w:rPr>
                            </w:pPr>
                            <w:r w:rsidRPr="00C76869">
                              <w:rPr>
                                <w:rFonts w:asciiTheme="majorHAnsi" w:hAnsiTheme="majorHAnsi"/>
                                <w:b/>
                              </w:rPr>
                              <w:t>Serious CO poisoning incident (</w:t>
                            </w:r>
                            <w:r>
                              <w:rPr>
                                <w:rFonts w:asciiTheme="majorHAnsi" w:hAnsiTheme="majorHAnsi"/>
                                <w:b/>
                              </w:rPr>
                              <w:t>a</w:t>
                            </w:r>
                            <w:r w:rsidRPr="00387E1D">
                              <w:rPr>
                                <w:rFonts w:asciiTheme="majorHAnsi" w:hAnsiTheme="majorHAnsi"/>
                                <w:b/>
                              </w:rPr>
                              <w:t xml:space="preserve">dult </w:t>
                            </w:r>
                            <w:r>
                              <w:rPr>
                                <w:rFonts w:asciiTheme="majorHAnsi" w:hAnsiTheme="majorHAnsi"/>
                                <w:b/>
                              </w:rPr>
                              <w:t>f</w:t>
                            </w:r>
                            <w:r w:rsidRPr="00387E1D">
                              <w:rPr>
                                <w:rFonts w:asciiTheme="majorHAnsi" w:hAnsiTheme="majorHAnsi"/>
                                <w:b/>
                              </w:rPr>
                              <w:t>emale, 2015)</w:t>
                            </w:r>
                          </w:p>
                          <w:p w14:paraId="765DC326" w14:textId="77777777" w:rsidR="0082085F" w:rsidRDefault="0082085F" w:rsidP="005F096F">
                            <w:pPr>
                              <w:spacing w:before="60" w:after="160"/>
                              <w:rPr>
                                <w:rFonts w:asciiTheme="majorHAnsi" w:hAnsiTheme="majorHAnsi" w:cs="Arial"/>
                              </w:rPr>
                            </w:pPr>
                            <w:r w:rsidRPr="00387E1D">
                              <w:rPr>
                                <w:rFonts w:asciiTheme="majorHAnsi" w:hAnsiTheme="majorHAnsi" w:cs="Arial"/>
                              </w:rPr>
                              <w:t xml:space="preserve">The premises had been vacant for some time prior to the victim moving in. It is believed that the current property owner purchased the property as a deceased estate from an elderly couple. ESV was advised that no maintenance had been conducted on any of the appliances since the victim moved in. </w:t>
                            </w:r>
                          </w:p>
                          <w:p w14:paraId="0614741B" w14:textId="5388B885" w:rsidR="0082085F" w:rsidRPr="00387E1D" w:rsidRDefault="0082085F" w:rsidP="005F096F">
                            <w:pPr>
                              <w:spacing w:before="60" w:after="160"/>
                              <w:rPr>
                                <w:rFonts w:asciiTheme="majorHAnsi" w:hAnsiTheme="majorHAnsi" w:cs="Arial"/>
                              </w:rPr>
                            </w:pPr>
                            <w:r w:rsidRPr="00387E1D">
                              <w:rPr>
                                <w:rFonts w:asciiTheme="majorHAnsi" w:hAnsiTheme="majorHAnsi" w:cs="Arial"/>
                              </w:rPr>
                              <w:t>The victim was found</w:t>
                            </w:r>
                            <w:r w:rsidRPr="00387E1D" w:rsidDel="00215161">
                              <w:rPr>
                                <w:rFonts w:asciiTheme="majorHAnsi" w:hAnsiTheme="majorHAnsi" w:cs="Arial"/>
                              </w:rPr>
                              <w:t xml:space="preserve"> </w:t>
                            </w:r>
                            <w:r w:rsidRPr="00387E1D">
                              <w:rPr>
                                <w:rFonts w:asciiTheme="majorHAnsi" w:hAnsiTheme="majorHAnsi" w:cs="Arial"/>
                              </w:rPr>
                              <w:t>collapsed on the floor in the bedroom. Her eyes were closed</w:t>
                            </w:r>
                            <w:r>
                              <w:rPr>
                                <w:rFonts w:asciiTheme="majorHAnsi" w:hAnsiTheme="majorHAnsi" w:cs="Arial"/>
                              </w:rPr>
                              <w:t>.</w:t>
                            </w:r>
                            <w:r w:rsidRPr="00387E1D">
                              <w:rPr>
                                <w:rFonts w:asciiTheme="majorHAnsi" w:hAnsiTheme="majorHAnsi" w:cs="Arial"/>
                              </w:rPr>
                              <w:t xml:space="preserve"> </w:t>
                            </w:r>
                            <w:r>
                              <w:rPr>
                                <w:rFonts w:asciiTheme="majorHAnsi" w:hAnsiTheme="majorHAnsi" w:cs="Arial"/>
                              </w:rPr>
                              <w:t>Sh</w:t>
                            </w:r>
                            <w:r w:rsidRPr="00387E1D">
                              <w:rPr>
                                <w:rFonts w:asciiTheme="majorHAnsi" w:hAnsiTheme="majorHAnsi" w:cs="Arial"/>
                              </w:rPr>
                              <w:t xml:space="preserve">e was moaning and disorientated. The </w:t>
                            </w:r>
                            <w:r>
                              <w:rPr>
                                <w:rFonts w:asciiTheme="majorHAnsi" w:hAnsiTheme="majorHAnsi" w:cs="Arial"/>
                              </w:rPr>
                              <w:t>OFGSH</w:t>
                            </w:r>
                            <w:r w:rsidRPr="00387E1D">
                              <w:rPr>
                                <w:rFonts w:asciiTheme="majorHAnsi" w:hAnsiTheme="majorHAnsi" w:cs="Arial"/>
                              </w:rPr>
                              <w:t xml:space="preserve"> heater in the bedroom was running on a low heat setting. Windows were opened and an ambulance was called. The victim was then moved to fresh air, before being taken to hospital. The heater was subsequently disconnected.</w:t>
                            </w:r>
                          </w:p>
                          <w:p w14:paraId="59B6E77B" w14:textId="77777777" w:rsidR="0082085F" w:rsidRDefault="0082085F" w:rsidP="005F096F">
                            <w:r w:rsidRPr="00387E1D">
                              <w:rPr>
                                <w:rFonts w:asciiTheme="majorHAnsi" w:hAnsiTheme="majorHAnsi" w:cs="Arial"/>
                              </w:rPr>
                              <w:t>Assembly, connection and installation error</w:t>
                            </w:r>
                            <w:r>
                              <w:rPr>
                                <w:rFonts w:asciiTheme="majorHAnsi" w:hAnsiTheme="majorHAnsi" w:cs="Arial"/>
                              </w:rPr>
                              <w:t>, as well as maintenance deficiency were cited by ESV as t</w:t>
                            </w:r>
                            <w:r w:rsidRPr="00D13980">
                              <w:rPr>
                                <w:rFonts w:asciiTheme="majorHAnsi" w:hAnsiTheme="majorHAnsi" w:cs="Arial"/>
                              </w:rPr>
                              <w:t xml:space="preserve">he causes of this </w:t>
                            </w:r>
                            <w:r>
                              <w:rPr>
                                <w:rFonts w:asciiTheme="majorHAnsi" w:hAnsiTheme="majorHAnsi" w:cs="Arial"/>
                              </w:rPr>
                              <w:t>incident.</w:t>
                            </w:r>
                          </w:p>
                          <w:p w14:paraId="744BEA53" w14:textId="42E1964A" w:rsidR="0082085F" w:rsidRDefault="0082085F"/>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inline>
            </w:drawing>
          </mc:Choice>
          <mc:Fallback>
            <w:pict>
              <v:rect w14:anchorId="78EE153F" id="Rectangle 30" o:spid="_x0000_s1030" style="width:451.3pt;height:171.65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" fillcolor="white [3201]" strokecolor="#62b5e5 [3206]" strokeweight="2pt">
                <v:textbox inset="7pt,7pt,7pt,7pt">
                  <w:txbxContent>
                    <w:p w14:paraId="634F5ADD" w14:textId="77777777" w:rsidR="0082085F" w:rsidRPr="00387E1D" w:rsidRDefault="0082085F" w:rsidP="005F096F">
                      <w:pPr>
                        <w:rPr>
                          <w:rFonts w:asciiTheme="majorHAnsi" w:hAnsiTheme="majorHAnsi"/>
                          <w:b/>
                        </w:rPr>
                      </w:pPr>
                      <w:r w:rsidRPr="00C76869">
                        <w:rPr>
                          <w:rFonts w:asciiTheme="majorHAnsi" w:hAnsiTheme="majorHAnsi"/>
                          <w:b/>
                        </w:rPr>
                        <w:t>Serious CO poisoning incident (</w:t>
                      </w:r>
                      <w:r>
                        <w:rPr>
                          <w:rFonts w:asciiTheme="majorHAnsi" w:hAnsiTheme="majorHAnsi"/>
                          <w:b/>
                        </w:rPr>
                        <w:t>a</w:t>
                      </w:r>
                      <w:r w:rsidRPr="00387E1D">
                        <w:rPr>
                          <w:rFonts w:asciiTheme="majorHAnsi" w:hAnsiTheme="majorHAnsi"/>
                          <w:b/>
                        </w:rPr>
                        <w:t xml:space="preserve">dult </w:t>
                      </w:r>
                      <w:r>
                        <w:rPr>
                          <w:rFonts w:asciiTheme="majorHAnsi" w:hAnsiTheme="majorHAnsi"/>
                          <w:b/>
                        </w:rPr>
                        <w:t>f</w:t>
                      </w:r>
                      <w:r w:rsidRPr="00387E1D">
                        <w:rPr>
                          <w:rFonts w:asciiTheme="majorHAnsi" w:hAnsiTheme="majorHAnsi"/>
                          <w:b/>
                        </w:rPr>
                        <w:t>emale, 2015)</w:t>
                      </w:r>
                    </w:p>
                    <w:p w14:paraId="765DC326" w14:textId="77777777" w:rsidR="0082085F" w:rsidRDefault="0082085F" w:rsidP="005F096F">
                      <w:pPr>
                        <w:spacing w:before="60" w:after="160"/>
                        <w:rPr>
                          <w:rFonts w:asciiTheme="majorHAnsi" w:hAnsiTheme="majorHAnsi" w:cs="Arial"/>
                        </w:rPr>
                      </w:pPr>
                      <w:r w:rsidRPr="00387E1D">
                        <w:rPr>
                          <w:rFonts w:asciiTheme="majorHAnsi" w:hAnsiTheme="majorHAnsi" w:cs="Arial"/>
                        </w:rPr>
                        <w:t xml:space="preserve">The premises had been vacant for some time prior to the victim moving in. It is believed that the current property owner purchased the property as a deceased estate from an elderly couple. ESV was advised that no maintenance had been conducted on any of the appliances since the victim moved in. </w:t>
                      </w:r>
                    </w:p>
                    <w:p w14:paraId="0614741B" w14:textId="5388B885" w:rsidR="0082085F" w:rsidRPr="00387E1D" w:rsidRDefault="0082085F" w:rsidP="005F096F">
                      <w:pPr>
                        <w:spacing w:before="60" w:after="160"/>
                        <w:rPr>
                          <w:rFonts w:asciiTheme="majorHAnsi" w:hAnsiTheme="majorHAnsi" w:cs="Arial"/>
                        </w:rPr>
                      </w:pPr>
                      <w:r w:rsidRPr="00387E1D">
                        <w:rPr>
                          <w:rFonts w:asciiTheme="majorHAnsi" w:hAnsiTheme="majorHAnsi" w:cs="Arial"/>
                        </w:rPr>
                        <w:t>The victim was found</w:t>
                      </w:r>
                      <w:r w:rsidRPr="00387E1D" w:rsidDel="00215161">
                        <w:rPr>
                          <w:rFonts w:asciiTheme="majorHAnsi" w:hAnsiTheme="majorHAnsi" w:cs="Arial"/>
                        </w:rPr>
                        <w:t xml:space="preserve"> </w:t>
                      </w:r>
                      <w:r w:rsidRPr="00387E1D">
                        <w:rPr>
                          <w:rFonts w:asciiTheme="majorHAnsi" w:hAnsiTheme="majorHAnsi" w:cs="Arial"/>
                        </w:rPr>
                        <w:t>collapsed on the floor in the bedroom. Her eyes were closed</w:t>
                      </w:r>
                      <w:r>
                        <w:rPr>
                          <w:rFonts w:asciiTheme="majorHAnsi" w:hAnsiTheme="majorHAnsi" w:cs="Arial"/>
                        </w:rPr>
                        <w:t>.</w:t>
                      </w:r>
                      <w:r w:rsidRPr="00387E1D">
                        <w:rPr>
                          <w:rFonts w:asciiTheme="majorHAnsi" w:hAnsiTheme="majorHAnsi" w:cs="Arial"/>
                        </w:rPr>
                        <w:t xml:space="preserve"> </w:t>
                      </w:r>
                      <w:r>
                        <w:rPr>
                          <w:rFonts w:asciiTheme="majorHAnsi" w:hAnsiTheme="majorHAnsi" w:cs="Arial"/>
                        </w:rPr>
                        <w:t>Sh</w:t>
                      </w:r>
                      <w:r w:rsidRPr="00387E1D">
                        <w:rPr>
                          <w:rFonts w:asciiTheme="majorHAnsi" w:hAnsiTheme="majorHAnsi" w:cs="Arial"/>
                        </w:rPr>
                        <w:t xml:space="preserve">e was moaning and disorientated. The </w:t>
                      </w:r>
                      <w:r>
                        <w:rPr>
                          <w:rFonts w:asciiTheme="majorHAnsi" w:hAnsiTheme="majorHAnsi" w:cs="Arial"/>
                        </w:rPr>
                        <w:t>OFGSH</w:t>
                      </w:r>
                      <w:r w:rsidRPr="00387E1D">
                        <w:rPr>
                          <w:rFonts w:asciiTheme="majorHAnsi" w:hAnsiTheme="majorHAnsi" w:cs="Arial"/>
                        </w:rPr>
                        <w:t xml:space="preserve"> heater in the bedroom was running on a low heat setting. Windows were opened and an ambulance was called. The victim was then moved to fresh air, before being taken to hospital. The heater was subsequently disconnected.</w:t>
                      </w:r>
                    </w:p>
                    <w:p w14:paraId="59B6E77B" w14:textId="77777777" w:rsidR="0082085F" w:rsidRDefault="0082085F" w:rsidP="005F096F">
                      <w:r w:rsidRPr="00387E1D">
                        <w:rPr>
                          <w:rFonts w:asciiTheme="majorHAnsi" w:hAnsiTheme="majorHAnsi" w:cs="Arial"/>
                        </w:rPr>
                        <w:t>Assembly, connection and installation error</w:t>
                      </w:r>
                      <w:r>
                        <w:rPr>
                          <w:rFonts w:asciiTheme="majorHAnsi" w:hAnsiTheme="majorHAnsi" w:cs="Arial"/>
                        </w:rPr>
                        <w:t>, as well as maintenance deficiency were cited by ESV as t</w:t>
                      </w:r>
                      <w:r w:rsidRPr="00D13980">
                        <w:rPr>
                          <w:rFonts w:asciiTheme="majorHAnsi" w:hAnsiTheme="majorHAnsi" w:cs="Arial"/>
                        </w:rPr>
                        <w:t xml:space="preserve">he causes of this </w:t>
                      </w:r>
                      <w:r>
                        <w:rPr>
                          <w:rFonts w:asciiTheme="majorHAnsi" w:hAnsiTheme="majorHAnsi" w:cs="Arial"/>
                        </w:rPr>
                        <w:t>incident.</w:t>
                      </w:r>
                    </w:p>
                    <w:p w14:paraId="744BEA53" w14:textId="42E1964A" w:rsidR="0082085F" w:rsidRDefault="0082085F"/>
                  </w:txbxContent>
                </v:textbox>
                <w10:anchorlock/>
              </v:rect>
            </w:pict>
          </mc:Fallback>
        </mc:AlternateContent>
      </w:r>
    </w:p>
    <w:p w14:paraId="5D4FDBE8" w14:textId="3A1B8954" w:rsidR="006E147C" w:rsidRPr="00D7409C" w:rsidRDefault="006E147C" w:rsidP="000F3A00">
      <w:pPr>
        <w:pStyle w:val="Source"/>
      </w:pPr>
      <w:r w:rsidRPr="00D7409C">
        <w:t>Source</w:t>
      </w:r>
      <w:r w:rsidR="00014C5B" w:rsidRPr="00D7409C">
        <w:t>:</w:t>
      </w:r>
      <w:r w:rsidRPr="00D7409C">
        <w:t xml:space="preserve"> DELWP</w:t>
      </w:r>
      <w:r w:rsidR="00014C5B" w:rsidRPr="00D7409C">
        <w:t xml:space="preserve"> data</w:t>
      </w:r>
    </w:p>
    <w:p w14:paraId="59877F83" w14:textId="77777777" w:rsidR="002C6D25" w:rsidRPr="00D7409C" w:rsidRDefault="005F096F" w:rsidP="002C6D25">
      <w:r w:rsidRPr="00D7409C">
        <w:t>While there are a range of contributing factors, it is evident that Victorians are at risk of CO poisoning from OFGSHs due to inadequate servicing and maintenance of these devices.</w:t>
      </w:r>
      <w:bookmarkStart w:id="174" w:name="_Toc24713747"/>
      <w:bookmarkStart w:id="175" w:name="_Toc24713748"/>
      <w:bookmarkStart w:id="176" w:name="_Toc24713749"/>
      <w:bookmarkStart w:id="177" w:name="_Toc24713750"/>
      <w:bookmarkStart w:id="178" w:name="_Toc24713751"/>
      <w:bookmarkEnd w:id="174"/>
      <w:bookmarkEnd w:id="175"/>
      <w:bookmarkEnd w:id="176"/>
      <w:bookmarkEnd w:id="177"/>
      <w:bookmarkEnd w:id="178"/>
    </w:p>
    <w:p w14:paraId="3CD18592" w14:textId="3AE18D65" w:rsidR="00972C38" w:rsidRPr="00FF5BFF" w:rsidDel="00605B70" w:rsidRDefault="00E35923" w:rsidP="00FF5BFF">
      <w:pPr>
        <w:pStyle w:val="Heading3"/>
        <w:numPr>
          <w:ilvl w:val="1"/>
          <w:numId w:val="172"/>
        </w:numPr>
        <w:rPr>
          <w:color w:val="62B5E5" w:themeColor="accent3"/>
        </w:rPr>
      </w:pPr>
      <w:r w:rsidRPr="00FF5BFF">
        <w:rPr>
          <w:color w:val="62B5E5" w:themeColor="accent3"/>
        </w:rPr>
        <w:t>E</w:t>
      </w:r>
      <w:r w:rsidR="00972C38" w:rsidRPr="00FF5BFF">
        <w:rPr>
          <w:color w:val="62B5E5" w:themeColor="accent3"/>
        </w:rPr>
        <w:t>xtent of the problem</w:t>
      </w:r>
      <w:r w:rsidR="00224174" w:rsidRPr="00FF5BFF">
        <w:rPr>
          <w:color w:val="62B5E5" w:themeColor="accent3"/>
        </w:rPr>
        <w:t xml:space="preserve"> </w:t>
      </w:r>
    </w:p>
    <w:p w14:paraId="1017AB61" w14:textId="3C4CD0A9" w:rsidR="004F2B65" w:rsidRPr="00D7409C" w:rsidRDefault="004F2B65" w:rsidP="00605B70">
      <w:r w:rsidRPr="00D7409C">
        <w:t>In this section</w:t>
      </w:r>
      <w:r w:rsidR="00605B1A" w:rsidRPr="00D7409C">
        <w:t xml:space="preserve">, we describe the extent of the problem posed by </w:t>
      </w:r>
      <w:r w:rsidR="002A13CC" w:rsidRPr="00D7409C">
        <w:t>OFGSHs</w:t>
      </w:r>
      <w:r w:rsidR="00605B1A" w:rsidRPr="00D7409C">
        <w:t xml:space="preserve"> in Victoria</w:t>
      </w:r>
      <w:r w:rsidR="00CB61DA" w:rsidRPr="00D7409C">
        <w:t xml:space="preserve"> and detail </w:t>
      </w:r>
      <w:r w:rsidR="000E04CB" w:rsidRPr="00D7409C">
        <w:t xml:space="preserve">incidents of </w:t>
      </w:r>
      <w:r w:rsidR="00CB61DA" w:rsidRPr="00D7409C">
        <w:t>fatal and non-fatal CO exposure</w:t>
      </w:r>
      <w:r w:rsidR="00605B1A" w:rsidRPr="00D7409C">
        <w:t xml:space="preserve">. </w:t>
      </w:r>
    </w:p>
    <w:p w14:paraId="10581EF3" w14:textId="3DC6B9A1" w:rsidR="00D8476F" w:rsidRPr="00D7409C" w:rsidRDefault="00972C38" w:rsidP="005024F8">
      <w:pPr>
        <w:pStyle w:val="Heading3"/>
      </w:pPr>
      <w:r w:rsidRPr="00D7409C">
        <w:t>Size of the problem</w:t>
      </w:r>
    </w:p>
    <w:p w14:paraId="53B26AE0" w14:textId="3B13CFF5" w:rsidR="005F096F" w:rsidRPr="00D7409C" w:rsidRDefault="007D3AD8" w:rsidP="005F096F">
      <w:bookmarkStart w:id="179" w:name="_Ref24724583"/>
      <w:bookmarkStart w:id="180" w:name="_Ref24724576"/>
      <w:r w:rsidRPr="00D7409C">
        <w:t>OFGSHs are still a common source of heating in Victorian homes</w:t>
      </w:r>
      <w:r w:rsidR="005F096F" w:rsidRPr="00D7409C">
        <w:t>. Consultations suggest that some consumers still have a strong preference for these heaters. This is thought to be driven by several factors, including:</w:t>
      </w:r>
    </w:p>
    <w:p w14:paraId="7EBAE651" w14:textId="1137B139" w:rsidR="005F096F" w:rsidRPr="00D7409C" w:rsidRDefault="005F096F" w:rsidP="00E74AA1">
      <w:pPr>
        <w:pStyle w:val="ListParagraph"/>
        <w:numPr>
          <w:ilvl w:val="0"/>
          <w:numId w:val="56"/>
        </w:numPr>
      </w:pPr>
      <w:r w:rsidRPr="00D7409C">
        <w:t xml:space="preserve">OFGSHs are relatively inexpensive to purchase </w:t>
      </w:r>
    </w:p>
    <w:p w14:paraId="6322B48C" w14:textId="021DC80B" w:rsidR="005F096F" w:rsidRPr="00D7409C" w:rsidRDefault="005F096F" w:rsidP="00E74AA1">
      <w:pPr>
        <w:pStyle w:val="ListParagraph"/>
        <w:numPr>
          <w:ilvl w:val="0"/>
          <w:numId w:val="56"/>
        </w:numPr>
      </w:pPr>
      <w:r w:rsidRPr="00D7409C">
        <w:t xml:space="preserve">The radiant heat offered by an </w:t>
      </w:r>
      <w:r w:rsidR="000932DA">
        <w:t xml:space="preserve">OFGSH </w:t>
      </w:r>
      <w:r w:rsidRPr="00D7409C">
        <w:t>delivers a different feeling of warmth, which few alternative heaters can replicate</w:t>
      </w:r>
      <w:r w:rsidR="001D008E" w:rsidRPr="00D7409C">
        <w:t>, although it is acknowledged that there are room sealed heaters that can provide radiant heat</w:t>
      </w:r>
    </w:p>
    <w:p w14:paraId="45755A44" w14:textId="3F0809BF" w:rsidR="005F096F" w:rsidRPr="00D7409C" w:rsidRDefault="005F096F" w:rsidP="00E74AA1">
      <w:pPr>
        <w:pStyle w:val="ListParagraph"/>
        <w:numPr>
          <w:ilvl w:val="0"/>
          <w:numId w:val="56"/>
        </w:numPr>
      </w:pPr>
      <w:r w:rsidRPr="00D7409C">
        <w:t xml:space="preserve">The ambiance offered by the warm yellow glow of an </w:t>
      </w:r>
      <w:r w:rsidR="000932DA">
        <w:t xml:space="preserve">OFGSH </w:t>
      </w:r>
      <w:r w:rsidRPr="00D7409C">
        <w:t>is desirable and generally not offered by alternative products</w:t>
      </w:r>
      <w:r w:rsidR="001D008E" w:rsidRPr="00D7409C">
        <w:t>, although it is acknowledged that there are room sealed heaters that can provide a similar ambiance.</w:t>
      </w:r>
    </w:p>
    <w:p w14:paraId="4214C2C3" w14:textId="7D11C29E" w:rsidR="005F096F" w:rsidRPr="00D7409C" w:rsidRDefault="0012101A" w:rsidP="005F096F">
      <w:r w:rsidRPr="00D7409C">
        <w:t>Current</w:t>
      </w:r>
      <w:r w:rsidR="005F096F" w:rsidRPr="00D7409C">
        <w:t xml:space="preserve"> estimate</w:t>
      </w:r>
      <w:r w:rsidRPr="00D7409C">
        <w:t>s suggest</w:t>
      </w:r>
      <w:r w:rsidR="00D227A5" w:rsidRPr="00D7409C">
        <w:t xml:space="preserve"> </w:t>
      </w:r>
      <w:r w:rsidR="00465D32" w:rsidRPr="00D7409C">
        <w:t xml:space="preserve">about </w:t>
      </w:r>
      <w:r w:rsidR="00721E57" w:rsidRPr="00D7409C">
        <w:t>28</w:t>
      </w:r>
      <w:r w:rsidR="00465D32" w:rsidRPr="00D7409C">
        <w:t>7</w:t>
      </w:r>
      <w:r w:rsidR="00721E57" w:rsidRPr="00D7409C">
        <w:t>,</w:t>
      </w:r>
      <w:r w:rsidR="00465D32" w:rsidRPr="00D7409C">
        <w:t>000</w:t>
      </w:r>
      <w:r w:rsidR="009E41D9" w:rsidRPr="00D7409C">
        <w:t xml:space="preserve"> </w:t>
      </w:r>
      <w:r w:rsidR="005F096F" w:rsidRPr="00D7409C">
        <w:t xml:space="preserve">OFGSHs </w:t>
      </w:r>
      <w:r w:rsidR="00721E57" w:rsidRPr="00D7409C">
        <w:t xml:space="preserve">will be </w:t>
      </w:r>
      <w:r w:rsidR="005F096F" w:rsidRPr="00D7409C">
        <w:t>installed in</w:t>
      </w:r>
      <w:r w:rsidR="00721E57" w:rsidRPr="00D7409C">
        <w:t xml:space="preserve"> Victorian</w:t>
      </w:r>
      <w:r w:rsidR="005F096F" w:rsidRPr="00D7409C">
        <w:t xml:space="preserve"> buildings </w:t>
      </w:r>
      <w:r w:rsidR="00721E57" w:rsidRPr="00D7409C">
        <w:t xml:space="preserve">at </w:t>
      </w:r>
      <w:r w:rsidR="005F096F" w:rsidRPr="00D7409C">
        <w:t xml:space="preserve">the </w:t>
      </w:r>
      <w:r w:rsidR="00721E57" w:rsidRPr="00D7409C">
        <w:t>end of</w:t>
      </w:r>
      <w:r w:rsidR="0071068C" w:rsidRPr="00D7409C">
        <w:t xml:space="preserve"> 2020</w:t>
      </w:r>
      <w:r w:rsidR="003B1CC1" w:rsidRPr="00D7409C">
        <w:t xml:space="preserve"> (</w:t>
      </w:r>
      <w:r w:rsidR="003B1CC1" w:rsidRPr="00D7409C">
        <w:fldChar w:fldCharType="begin"/>
      </w:r>
      <w:r w:rsidR="003B1CC1" w:rsidRPr="00D7409C">
        <w:instrText xml:space="preserve"> REF _Ref50728333 \h </w:instrText>
      </w:r>
      <w:r w:rsidR="005E6993" w:rsidRPr="00D7409C">
        <w:instrText xml:space="preserve"> \* MERGEFORMAT </w:instrText>
      </w:r>
      <w:r w:rsidR="003B1CC1" w:rsidRPr="00D7409C">
        <w:fldChar w:fldCharType="separate"/>
      </w:r>
      <w:r w:rsidR="00CD0679" w:rsidRPr="00D7409C">
        <w:t xml:space="preserve">Figure </w:t>
      </w:r>
      <w:r w:rsidR="00CD0679">
        <w:rPr>
          <w:noProof/>
        </w:rPr>
        <w:t>2</w:t>
      </w:r>
      <w:r w:rsidR="00CD0679" w:rsidRPr="00D7409C">
        <w:rPr>
          <w:noProof/>
        </w:rPr>
        <w:noBreakHyphen/>
      </w:r>
      <w:r w:rsidR="00CD0679">
        <w:rPr>
          <w:noProof/>
        </w:rPr>
        <w:t>2</w:t>
      </w:r>
      <w:r w:rsidR="003B1CC1" w:rsidRPr="00D7409C">
        <w:fldChar w:fldCharType="end"/>
      </w:r>
      <w:r w:rsidR="003B1CC1" w:rsidRPr="00D7409C">
        <w:t>)</w:t>
      </w:r>
      <w:r w:rsidR="005F096F" w:rsidRPr="00D7409C">
        <w:t>.</w:t>
      </w:r>
      <w:r w:rsidR="003B1CC1" w:rsidRPr="00D7409C">
        <w:t xml:space="preserve"> </w:t>
      </w:r>
      <w:r w:rsidR="007A4026" w:rsidRPr="00D7409C">
        <w:t>P</w:t>
      </w:r>
      <w:r w:rsidR="0068207D" w:rsidRPr="00D7409C">
        <w:t>revious</w:t>
      </w:r>
      <w:r w:rsidR="007A4026" w:rsidRPr="00D7409C">
        <w:t xml:space="preserve"> modelling suggested this to be</w:t>
      </w:r>
      <w:r w:rsidR="00F36B7D" w:rsidRPr="00D7409C">
        <w:t xml:space="preserve"> </w:t>
      </w:r>
      <w:r w:rsidR="00732146" w:rsidRPr="00D7409C">
        <w:t xml:space="preserve">much </w:t>
      </w:r>
      <w:r w:rsidR="002D347F" w:rsidRPr="00D7409C">
        <w:t>higher</w:t>
      </w:r>
      <w:r w:rsidR="0068207D" w:rsidRPr="00D7409C">
        <w:t>.</w:t>
      </w:r>
      <w:r w:rsidR="002D347F" w:rsidRPr="00D7409C">
        <w:t xml:space="preserve"> </w:t>
      </w:r>
      <w:r w:rsidR="003274E7" w:rsidRPr="00D7409C">
        <w:t>E</w:t>
      </w:r>
      <w:r w:rsidR="002D347F" w:rsidRPr="00D7409C">
        <w:t xml:space="preserve">stimates </w:t>
      </w:r>
      <w:r w:rsidR="003274E7" w:rsidRPr="00D7409C">
        <w:t xml:space="preserve">formed in 2018 </w:t>
      </w:r>
      <w:r w:rsidR="002D347F" w:rsidRPr="00D7409C">
        <w:t>indicat</w:t>
      </w:r>
      <w:r w:rsidR="00F97A2C" w:rsidRPr="00D7409C">
        <w:t xml:space="preserve">ed </w:t>
      </w:r>
      <w:r w:rsidR="000945AF" w:rsidRPr="00D7409C">
        <w:t>as many as</w:t>
      </w:r>
      <w:r w:rsidR="00732146" w:rsidRPr="00D7409C">
        <w:t xml:space="preserve"> 3</w:t>
      </w:r>
      <w:r w:rsidR="00F36B7D" w:rsidRPr="00D7409C">
        <w:t>40,000</w:t>
      </w:r>
      <w:r w:rsidR="00732146" w:rsidRPr="00D7409C">
        <w:t xml:space="preserve"> OFGSHs</w:t>
      </w:r>
      <w:r w:rsidR="006526D9" w:rsidRPr="00D7409C">
        <w:t xml:space="preserve"> could be installed across Victoria at the end of 2020.</w:t>
      </w:r>
      <w:r w:rsidR="005F096F" w:rsidRPr="00D7409C">
        <w:rPr>
          <w:rStyle w:val="FootnoteReference"/>
        </w:rPr>
        <w:footnoteReference w:id="90"/>
      </w:r>
      <w:r w:rsidR="005F096F" w:rsidRPr="00D7409C">
        <w:t xml:space="preserve"> However, </w:t>
      </w:r>
      <w:r w:rsidR="00B932E0" w:rsidRPr="00D7409C">
        <w:t xml:space="preserve">recent </w:t>
      </w:r>
      <w:r w:rsidR="002C6EC5" w:rsidRPr="00D7409C">
        <w:t xml:space="preserve">industry data </w:t>
      </w:r>
      <w:r w:rsidR="00B932E0" w:rsidRPr="00D7409C">
        <w:t xml:space="preserve">provided for this RIS </w:t>
      </w:r>
      <w:r w:rsidR="007470AE" w:rsidRPr="00D7409C">
        <w:t>notes that</w:t>
      </w:r>
      <w:r w:rsidR="002C6EC5" w:rsidRPr="00D7409C">
        <w:t xml:space="preserve"> historical </w:t>
      </w:r>
      <w:r w:rsidR="000932DA">
        <w:t xml:space="preserve">OFGSH </w:t>
      </w:r>
      <w:r w:rsidR="002C6EC5" w:rsidRPr="00D7409C">
        <w:t xml:space="preserve">sales </w:t>
      </w:r>
      <w:r w:rsidR="007470AE" w:rsidRPr="00D7409C">
        <w:t>were</w:t>
      </w:r>
      <w:r w:rsidR="005A0890" w:rsidRPr="00D7409C">
        <w:t xml:space="preserve"> lower than previously thought.</w:t>
      </w:r>
      <w:r w:rsidR="002C6EC5" w:rsidRPr="00D7409C">
        <w:t xml:space="preserve"> </w:t>
      </w:r>
      <w:r w:rsidR="005F096F" w:rsidRPr="00D7409C">
        <w:t xml:space="preserve">A significant number of </w:t>
      </w:r>
      <w:r w:rsidR="00825A4C" w:rsidRPr="00D7409C">
        <w:t>OFGSH</w:t>
      </w:r>
      <w:r w:rsidR="00556B4E" w:rsidRPr="00D7409C">
        <w:t>s</w:t>
      </w:r>
      <w:r w:rsidR="005F096F" w:rsidRPr="00D7409C">
        <w:t xml:space="preserve"> have </w:t>
      </w:r>
      <w:r w:rsidR="008528F6" w:rsidRPr="00D7409C">
        <w:t xml:space="preserve">also </w:t>
      </w:r>
      <w:r w:rsidR="00825A4C" w:rsidRPr="00D7409C">
        <w:t>been removed</w:t>
      </w:r>
      <w:r w:rsidR="000634CC" w:rsidRPr="00D7409C">
        <w:t xml:space="preserve"> from Victorian public housing developments</w:t>
      </w:r>
      <w:r w:rsidR="00770354" w:rsidRPr="00D7409C">
        <w:t xml:space="preserve"> (approximately 19,500 removals as of September 2019)</w:t>
      </w:r>
      <w:r w:rsidR="000634CC" w:rsidRPr="00D7409C">
        <w:t>,</w:t>
      </w:r>
      <w:r w:rsidR="00825A4C" w:rsidRPr="00D7409C">
        <w:t xml:space="preserve"> </w:t>
      </w:r>
      <w:r w:rsidR="005F096F" w:rsidRPr="00D7409C">
        <w:t xml:space="preserve">as part of a </w:t>
      </w:r>
      <w:r w:rsidR="000634CC" w:rsidRPr="00D7409C">
        <w:t xml:space="preserve">safety </w:t>
      </w:r>
      <w:r w:rsidR="005F096F" w:rsidRPr="00D7409C">
        <w:t xml:space="preserve">program currently </w:t>
      </w:r>
      <w:r w:rsidR="00770354" w:rsidRPr="00D7409C">
        <w:t>being administered by the</w:t>
      </w:r>
      <w:r w:rsidR="005F096F" w:rsidRPr="00D7409C">
        <w:t xml:space="preserve"> Department of Health and Human Services (DHHS)</w:t>
      </w:r>
      <w:r w:rsidR="00556B4E" w:rsidRPr="00D7409C">
        <w:t>. These removals were not captured in 2018 modelling</w:t>
      </w:r>
      <w:r w:rsidR="005F096F" w:rsidRPr="00D7409C">
        <w:t>.</w:t>
      </w:r>
      <w:r w:rsidR="00833C77" w:rsidRPr="00D7409C">
        <w:t xml:space="preserve"> </w:t>
      </w:r>
      <w:r w:rsidR="00AE24D6" w:rsidRPr="00D7409C">
        <w:t xml:space="preserve">It is likely that a number of OFGSHs currently installed in homes that no longer function as the household’s primary source of heating. A proportion of households may have units installed but, due to the cost of decommissioning existing units, allow OFGSHs to lie dormant. </w:t>
      </w:r>
      <w:r w:rsidR="004A066C">
        <w:t>T</w:t>
      </w:r>
      <w:r w:rsidR="00AE24D6" w:rsidRPr="00D7409C">
        <w:t xml:space="preserve">hese dormant heaters </w:t>
      </w:r>
      <w:r w:rsidR="003D63E4">
        <w:t xml:space="preserve">generally </w:t>
      </w:r>
      <w:r w:rsidR="00AE24D6" w:rsidRPr="00D7409C">
        <w:t>pose no risk of CO poisoning</w:t>
      </w:r>
      <w:r w:rsidR="00BB3E6C">
        <w:t xml:space="preserve">, although in some circumstances </w:t>
      </w:r>
      <w:r w:rsidR="00345731">
        <w:t>dust build</w:t>
      </w:r>
      <w:r w:rsidR="004A066C">
        <w:t>-</w:t>
      </w:r>
      <w:r w:rsidR="00345731">
        <w:t xml:space="preserve">up may mean that on </w:t>
      </w:r>
      <w:r w:rsidR="00804EFC">
        <w:t xml:space="preserve">the </w:t>
      </w:r>
      <w:r w:rsidR="00345731">
        <w:t>occasion</w:t>
      </w:r>
      <w:r w:rsidR="00804EFC">
        <w:t>s</w:t>
      </w:r>
      <w:r w:rsidR="00345731">
        <w:t xml:space="preserve"> when they are used </w:t>
      </w:r>
      <w:r w:rsidR="00BB3E6C">
        <w:t>(e.g. when located in a short-term rental</w:t>
      </w:r>
      <w:r w:rsidR="00345731">
        <w:t>)</w:t>
      </w:r>
      <w:r w:rsidR="004A066C">
        <w:t xml:space="preserve"> </w:t>
      </w:r>
      <w:r w:rsidR="00C40421">
        <w:t xml:space="preserve">they </w:t>
      </w:r>
      <w:r w:rsidR="00804EFC">
        <w:t>do not function properly.</w:t>
      </w:r>
      <w:r w:rsidR="00345731">
        <w:t xml:space="preserve"> </w:t>
      </w:r>
    </w:p>
    <w:p w14:paraId="08BC170C" w14:textId="3C85CDAD" w:rsidR="00BF341F" w:rsidRPr="00D7409C" w:rsidRDefault="005F096F" w:rsidP="007D5398">
      <w:r w:rsidRPr="00D7409C">
        <w:t xml:space="preserve">While it is unclear exactly how many different </w:t>
      </w:r>
      <w:r w:rsidR="000932DA">
        <w:t xml:space="preserve">OFGSH </w:t>
      </w:r>
      <w:r w:rsidRPr="00D7409C">
        <w:t>models are installed</w:t>
      </w:r>
      <w:r w:rsidR="00AE24D6" w:rsidRPr="00D7409C">
        <w:t xml:space="preserve"> and in use</w:t>
      </w:r>
      <w:r w:rsidRPr="00D7409C">
        <w:t xml:space="preserve">, there are </w:t>
      </w:r>
      <w:r w:rsidR="006A7981" w:rsidRPr="00D7409C">
        <w:t xml:space="preserve">currently </w:t>
      </w:r>
      <w:r w:rsidR="00046A91" w:rsidRPr="00D7409C">
        <w:t xml:space="preserve">22 </w:t>
      </w:r>
      <w:r w:rsidR="00044CCA" w:rsidRPr="00D7409C">
        <w:t>certifications of OFGSHs</w:t>
      </w:r>
      <w:r w:rsidRPr="00D7409C">
        <w:t xml:space="preserve">. Approximately 12,500 units are sold annually, although cost-competitiveness and growing community awareness of the health risks associated with </w:t>
      </w:r>
      <w:r w:rsidR="000932DA">
        <w:t xml:space="preserve">OFGSHs </w:t>
      </w:r>
      <w:r w:rsidRPr="00D7409C">
        <w:t>is likely to result in a decline in sales over time.</w:t>
      </w:r>
      <w:r w:rsidRPr="00D7409C">
        <w:rPr>
          <w:rStyle w:val="FootnoteReference"/>
        </w:rPr>
        <w:footnoteReference w:id="91"/>
      </w:r>
      <w:r w:rsidRPr="00D7409C">
        <w:t xml:space="preserve"> </w:t>
      </w:r>
      <w:r w:rsidR="00103FCD">
        <w:fldChar w:fldCharType="begin"/>
      </w:r>
      <w:r w:rsidR="00103FCD">
        <w:instrText xml:space="preserve"> REF _Ref50728333 \h </w:instrText>
      </w:r>
      <w:r w:rsidR="00103FCD">
        <w:fldChar w:fldCharType="separate"/>
      </w:r>
      <w:r w:rsidR="00CD0679" w:rsidRPr="00D7409C">
        <w:t xml:space="preserve">Figure </w:t>
      </w:r>
      <w:r w:rsidR="00CD0679">
        <w:rPr>
          <w:noProof/>
        </w:rPr>
        <w:t>2</w:t>
      </w:r>
      <w:r w:rsidR="00CD0679" w:rsidRPr="00D7409C">
        <w:noBreakHyphen/>
      </w:r>
      <w:r w:rsidR="00CD0679">
        <w:rPr>
          <w:noProof/>
        </w:rPr>
        <w:t>2</w:t>
      </w:r>
      <w:r w:rsidR="00103FCD">
        <w:fldChar w:fldCharType="end"/>
      </w:r>
      <w:r w:rsidR="00435E98">
        <w:t xml:space="preserve"> </w:t>
      </w:r>
      <w:r w:rsidRPr="00D7409C">
        <w:t xml:space="preserve">forecasts the future </w:t>
      </w:r>
      <w:r w:rsidR="00A030F1">
        <w:t xml:space="preserve">number </w:t>
      </w:r>
      <w:r w:rsidR="00A030F1">
        <w:lastRenderedPageBreak/>
        <w:t>of installed</w:t>
      </w:r>
      <w:r w:rsidRPr="00D7409C">
        <w:t xml:space="preserve"> OFGSHs in Victoria over the next decade</w:t>
      </w:r>
      <w:r w:rsidR="00E52737" w:rsidRPr="00D7409C">
        <w:t>, assuming current circumstances remain unchanged.</w:t>
      </w:r>
    </w:p>
    <w:p w14:paraId="2050FE99" w14:textId="279004B9" w:rsidR="00C8654E" w:rsidRPr="00D7409C" w:rsidRDefault="00C8654E" w:rsidP="002C6D25">
      <w:pPr>
        <w:pStyle w:val="Caption"/>
        <w:spacing w:after="0"/>
      </w:pPr>
      <w:bookmarkStart w:id="181" w:name="_Ref50728333"/>
      <w:bookmarkStart w:id="182" w:name="_Ref50728316"/>
      <w:r w:rsidRPr="00D7409C">
        <w:t xml:space="preserve">Figure </w:t>
      </w:r>
      <w:r w:rsidR="0063109D" w:rsidRPr="00D7409C">
        <w:fldChar w:fldCharType="begin"/>
      </w:r>
      <w:r w:rsidR="0063109D" w:rsidRPr="00D7409C">
        <w:instrText xml:space="preserve"> STYLEREF 1 \s </w:instrText>
      </w:r>
      <w:r w:rsidR="0063109D" w:rsidRPr="00D7409C">
        <w:fldChar w:fldCharType="separate"/>
      </w:r>
      <w:r w:rsidR="00CD0679">
        <w:rPr>
          <w:noProof/>
        </w:rPr>
        <w:t>2</w:t>
      </w:r>
      <w:r w:rsidR="0063109D" w:rsidRPr="00D7409C">
        <w:fldChar w:fldCharType="end"/>
      </w:r>
      <w:r w:rsidR="0063109D" w:rsidRPr="00D7409C">
        <w:noBreakHyphen/>
      </w:r>
      <w:r w:rsidR="0063109D" w:rsidRPr="00D7409C">
        <w:fldChar w:fldCharType="begin"/>
      </w:r>
      <w:r w:rsidR="0063109D" w:rsidRPr="00D7409C">
        <w:instrText xml:space="preserve"> SEQ Figure \* ARABIC \s 1 </w:instrText>
      </w:r>
      <w:r w:rsidR="0063109D" w:rsidRPr="00D7409C">
        <w:fldChar w:fldCharType="separate"/>
      </w:r>
      <w:r w:rsidR="00CD0679">
        <w:rPr>
          <w:noProof/>
        </w:rPr>
        <w:t>2</w:t>
      </w:r>
      <w:r w:rsidR="0063109D" w:rsidRPr="00D7409C">
        <w:fldChar w:fldCharType="end"/>
      </w:r>
      <w:bookmarkEnd w:id="179"/>
      <w:bookmarkEnd w:id="181"/>
      <w:r w:rsidRPr="00D7409C">
        <w:t xml:space="preserve"> Forecast stock of </w:t>
      </w:r>
      <w:r w:rsidR="002A13CC" w:rsidRPr="00D7409C">
        <w:t>OFGSHs</w:t>
      </w:r>
      <w:r w:rsidRPr="00D7409C">
        <w:t xml:space="preserve"> in Victoria</w:t>
      </w:r>
      <w:bookmarkEnd w:id="180"/>
      <w:bookmarkEnd w:id="182"/>
      <w:r w:rsidR="00F90E3E">
        <w:t xml:space="preserve"> installed </w:t>
      </w:r>
      <w:r w:rsidR="00A1274C">
        <w:t>from 2020 to 2030</w:t>
      </w:r>
    </w:p>
    <w:p w14:paraId="4644DB4B" w14:textId="52884CFA" w:rsidR="00D4224A" w:rsidRPr="00D7409C" w:rsidRDefault="000D32E8" w:rsidP="00E74AA1">
      <w:pPr>
        <w:spacing w:after="0"/>
      </w:pPr>
      <w:r w:rsidRPr="00D7409C">
        <w:rPr>
          <w:noProof/>
        </w:rPr>
        <w:drawing>
          <wp:inline distT="0" distB="0" distL="0" distR="0" wp14:anchorId="51FDF50D" wp14:editId="476485AC">
            <wp:extent cx="5731510" cy="2076450"/>
            <wp:effectExtent l="0" t="0" r="2540" b="0"/>
            <wp:docPr id="25" name="Chart 25" descr="Figure 2-2 Forecast stock of OFGSHs in Victoria installed from 2020 to 2030">
              <a:extLst xmlns:a="http://schemas.openxmlformats.org/drawingml/2006/main">
                <a:ext uri="{FF2B5EF4-FFF2-40B4-BE49-F238E27FC236}">
                  <a16:creationId xmlns:a16="http://schemas.microsoft.com/office/drawing/2014/main" id="{BF526886-B1DE-4ECB-BA49-38884647B9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13EE0BB" w14:textId="4E931AA4" w:rsidR="007D6AAE" w:rsidRPr="00D7409C" w:rsidRDefault="007D6AAE" w:rsidP="00EF03B3">
      <w:pPr>
        <w:pStyle w:val="Source"/>
      </w:pPr>
      <w:r w:rsidRPr="00D7409C">
        <w:t xml:space="preserve">Source: Deloitte Access Economics </w:t>
      </w:r>
      <w:r w:rsidR="00F31B66" w:rsidRPr="00D7409C">
        <w:t>analysis</w:t>
      </w:r>
      <w:r w:rsidR="00501823" w:rsidRPr="00D7409C">
        <w:t xml:space="preserve"> of</w:t>
      </w:r>
      <w:r w:rsidRPr="00D7409C">
        <w:t xml:space="preserve"> </w:t>
      </w:r>
      <w:r w:rsidR="00F31B66" w:rsidRPr="00D7409C">
        <w:t>industry data and previous DELWP commissioned estimates</w:t>
      </w:r>
      <w:r w:rsidR="002A7AC4" w:rsidRPr="00D7409C">
        <w:t>.</w:t>
      </w:r>
      <w:r w:rsidR="00F31B66" w:rsidRPr="00D7409C">
        <w:br/>
        <w:t xml:space="preserve">Note: Values presented are for end of </w:t>
      </w:r>
      <w:r w:rsidR="00C60102" w:rsidRPr="00D7409C">
        <w:t>financial</w:t>
      </w:r>
      <w:r w:rsidR="00F31B66" w:rsidRPr="00D7409C">
        <w:t xml:space="preserve"> year</w:t>
      </w:r>
      <w:r w:rsidR="002A7AC4" w:rsidRPr="00D7409C">
        <w:t>.</w:t>
      </w:r>
    </w:p>
    <w:p w14:paraId="56F7F871" w14:textId="37A81E36" w:rsidR="00972C38" w:rsidRPr="00D7409C" w:rsidRDefault="00224174" w:rsidP="005024F8">
      <w:pPr>
        <w:pStyle w:val="Heading3"/>
      </w:pPr>
      <w:r w:rsidRPr="00D7409C">
        <w:t>Impact of the problem</w:t>
      </w:r>
    </w:p>
    <w:p w14:paraId="430BE19D" w14:textId="7C2D9248" w:rsidR="0046036D" w:rsidRPr="00D7409C" w:rsidRDefault="0046036D" w:rsidP="0046036D">
      <w:pPr>
        <w:pStyle w:val="BodyText"/>
      </w:pPr>
      <w:r w:rsidRPr="00D7409C">
        <w:t xml:space="preserve">Exposure to harmful concentrations of CO have resulted in a series of fatal and non-fatal incidents in Victoria. Since 2010, three fatalities and numerous non-fatal incidents have been attributed to CO toxicity from OFGSHs. </w:t>
      </w:r>
    </w:p>
    <w:p w14:paraId="1818CDF2" w14:textId="2313BB14" w:rsidR="008F5F41" w:rsidRPr="00D7409C" w:rsidDel="009D0460" w:rsidRDefault="00605B70" w:rsidP="005024F8">
      <w:pPr>
        <w:pStyle w:val="Heading4"/>
      </w:pPr>
      <w:r w:rsidRPr="00D7409C">
        <w:t>Fatalities</w:t>
      </w:r>
    </w:p>
    <w:p w14:paraId="64B29EA8" w14:textId="66F65E9E" w:rsidR="0046036D" w:rsidRPr="00D7409C" w:rsidRDefault="0046036D" w:rsidP="0046036D">
      <w:r w:rsidRPr="00D7409C">
        <w:t xml:space="preserve">Since 2010, malfunctioning OFGSHs have led to the deaths of three Victorians; two young children, Chase </w:t>
      </w:r>
      <w:r w:rsidR="006E0C01">
        <w:t>and Tyler</w:t>
      </w:r>
      <w:r w:rsidRPr="00D7409C">
        <w:t xml:space="preserve"> Robinson (aged </w:t>
      </w:r>
      <w:r w:rsidR="006E0C01">
        <w:t>8</w:t>
      </w:r>
      <w:r w:rsidRPr="00D7409C">
        <w:t xml:space="preserve"> and </w:t>
      </w:r>
      <w:r w:rsidR="006E0C01">
        <w:t>6</w:t>
      </w:r>
      <w:r w:rsidRPr="00D7409C">
        <w:t xml:space="preserve">) and Sonia Sofianopoulos. The following case study presents a summary of the 2013 Coronial Inquest, which investigated the deaths of Chase and Tyler Robinson and the circumstances that lead to the event. </w:t>
      </w:r>
      <w:r w:rsidR="00BF74A8" w:rsidRPr="00D7409C">
        <w:t xml:space="preserve"> </w:t>
      </w:r>
    </w:p>
    <w:p w14:paraId="31CB1741" w14:textId="5D7F0F8B" w:rsidR="00A7279F" w:rsidRPr="00D7409C" w:rsidRDefault="00DA0E5F" w:rsidP="00A7279F">
      <w:pPr>
        <w:rPr>
          <w:b/>
        </w:rPr>
      </w:pPr>
      <w:r>
        <w:rPr>
          <w:noProof/>
          <w:lang w:eastAsia="en-AU"/>
        </w:rPr>
        <w:lastRenderedPageBreak/>
        <mc:AlternateContent>
          <mc:Choice Requires="wps">
            <w:drawing>
              <wp:inline distT="0" distB="0" distL="0" distR="0" wp14:anchorId="6AEF7866" wp14:editId="3FB41565">
                <wp:extent cx="5731510" cy="5424805"/>
                <wp:effectExtent l="0" t="0" r="21590" b="23495"/>
                <wp:docPr id="17" name="Rectangle 17"/>
                <wp:cNvGraphicFramePr/>
                <a:graphic xmlns:a="http://schemas.openxmlformats.org/drawingml/2006/main">
                  <a:graphicData uri="http://schemas.microsoft.com/office/word/2010/wordprocessingShape">
                    <wps:wsp>
                      <wps:cNvSpPr/>
                      <wps:spPr bwMode="gray">
                        <a:xfrm>
                          <a:off x="0" y="0"/>
                          <a:ext cx="5731510" cy="5424805"/>
                        </a:xfrm>
                        <a:prstGeom prst="rect">
                          <a:avLst/>
                        </a:prstGeom>
                        <a:solidFill>
                          <a:srgbClr val="FFFFFF"/>
                        </a:solidFill>
                        <a:ln w="25400" cap="flat" cmpd="sng" algn="ctr">
                          <a:solidFill>
                            <a:srgbClr val="62B5E5"/>
                          </a:solidFill>
                          <a:prstDash val="solid"/>
                          <a:headEnd/>
                          <a:tailEnd/>
                        </a:ln>
                        <a:effectLst/>
                      </wps:spPr>
                      <wps:txbx>
                        <w:txbxContent>
                          <w:p w14:paraId="3C0EA367" w14:textId="77777777" w:rsidR="0082085F" w:rsidRDefault="0082085F" w:rsidP="00DA0E5F">
                            <w:pPr>
                              <w:rPr>
                                <w:b/>
                              </w:rPr>
                            </w:pPr>
                            <w:r>
                              <w:rPr>
                                <w:b/>
                              </w:rPr>
                              <w:t>2010</w:t>
                            </w:r>
                          </w:p>
                          <w:p w14:paraId="189F7C10" w14:textId="7AA5955C" w:rsidR="0082085F" w:rsidRDefault="0082085F" w:rsidP="00DA0E5F">
                            <w:r>
                              <w:t>At the time of their deaths, Chase (8 years old) and Tyler (6 years old) resided with their mother Vanessa at a rental property in Mooroopna. On Saturday, 29 May, both boys were put to bed at 8:30pm. At some stage (during the night) the boys came into her room crying. She settled them in her bed, and they all went to sleep.</w:t>
                            </w:r>
                          </w:p>
                          <w:p w14:paraId="39673CE4" w14:textId="77777777" w:rsidR="0082085F" w:rsidRPr="00DA0E5F" w:rsidRDefault="0082085F" w:rsidP="00DA0E5F">
                            <w:r w:rsidRPr="00DA0E5F">
                              <w:t>Throughout the night the gas wall furnace (open flued) located in the kitchen/dining area down the hallway from the bedrooms was left operating. Both the heater and the</w:t>
                            </w:r>
                            <w:r w:rsidRPr="001A61E6">
                              <w:t xml:space="preserve"> </w:t>
                            </w:r>
                            <w:r w:rsidRPr="00096B3A">
                              <w:t>appliance</w:t>
                            </w:r>
                            <w:r w:rsidRPr="00DA0E5F">
                              <w:t xml:space="preserve"> fan were switched to the highest level. </w:t>
                            </w:r>
                          </w:p>
                          <w:p w14:paraId="4897D0D1" w14:textId="3F1B9A63" w:rsidR="0082085F" w:rsidRDefault="0082085F" w:rsidP="00DA0E5F">
                            <w:r w:rsidRPr="005D323C">
                              <w:t>Vanessa woke during Sunday afternoon with severe pain in her left arm. She managed to get to the shower in the adjoining ensuite and upon retu</w:t>
                            </w:r>
                            <w:r w:rsidRPr="004D3353">
                              <w:t>rning to the bedroom noticed that both boys were unrouseable and appeared deceased. She telephoned their</w:t>
                            </w:r>
                            <w:r>
                              <w:t xml:space="preserve"> father, Scott, who immediately went to the house, and then an ambulance. Police attended, followed by the ambulance. No resuscitation was attempted as it was evident that the boys were deceased. </w:t>
                            </w:r>
                          </w:p>
                          <w:p w14:paraId="0332C18A" w14:textId="20FE9A2A" w:rsidR="0082085F" w:rsidRDefault="0082085F" w:rsidP="00DA0E5F">
                            <w:r>
                              <w:t xml:space="preserve">Toxicological analysis revealed that the causes of death was ingestion of CO. </w:t>
                            </w:r>
                          </w:p>
                          <w:p w14:paraId="4D3775EB" w14:textId="09DA7CC6" w:rsidR="0082085F" w:rsidRDefault="0082085F" w:rsidP="00DA0E5F">
                            <w:r>
                              <w:t>Vanessa required hospitalisation for over a month, suffering hypoxia, renal failure, rhabdomyolysis and brachial plexus injury due to acute exposure to CO, and has residual injuries from the exposure.</w:t>
                            </w:r>
                          </w:p>
                          <w:p w14:paraId="63B38759" w14:textId="6E184906" w:rsidR="0082085F" w:rsidRDefault="0082085F" w:rsidP="00DA0E5F">
                            <w:pPr>
                              <w:rPr>
                                <w:b/>
                              </w:rPr>
                            </w:pPr>
                            <w:r>
                              <w:rPr>
                                <w:b/>
                              </w:rPr>
                              <w:t>Coroner’s f</w:t>
                            </w:r>
                            <w:r w:rsidRPr="00382178">
                              <w:rPr>
                                <w:b/>
                              </w:rPr>
                              <w:t>indings of fact</w:t>
                            </w:r>
                          </w:p>
                          <w:p w14:paraId="795C3D0B" w14:textId="39D7995B" w:rsidR="0082085F" w:rsidRPr="00382178" w:rsidRDefault="0082085F" w:rsidP="00DA0E5F">
                            <w:r>
                              <w:t xml:space="preserve">Coroner, Jacinta Heffey, made the following findings: “the deaths of Chase and Tyler Robinson occurred due to the ingestion of carbon monoxide under circumstances in which an open flued gas furnace emitted carbon monoxide into the boys’ home at dangerously high levels. I find that carbon monoxide was caused by incomplete combustion, likely due to the obstruction to the primary air inlet by the </w:t>
                            </w:r>
                            <w:r w:rsidR="00811193">
                              <w:t>build-up</w:t>
                            </w:r>
                            <w:r>
                              <w:t xml:space="preserve"> of a contaminant, possibly carpet lint and/or dust. I find that it was this presenting situation, combined with the negative pressure caused by the operation of more than one extractor fan in the home over a period of at least a couple of hours, that had the effect of drawing off the carbon monoxide product from the appliance and expelling it along the hallway of the house towards any open bedrooms and ultimately to the master bedroom. There being little ventilation in the sealed house, it reached dangerous density, leading to the deaths of the two boys”.  </w:t>
                            </w:r>
                          </w:p>
                          <w:p w14:paraId="629EB56C" w14:textId="77777777" w:rsidR="0082085F" w:rsidRPr="00382178" w:rsidRDefault="0082085F" w:rsidP="00DA0E5F"/>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inline>
            </w:drawing>
          </mc:Choice>
          <mc:Fallback>
            <w:pict>
              <v:rect w14:anchorId="6AEF7866" id="Rectangle 17" o:spid="_x0000_s1031" style="width:451.3pt;height:427.15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" strokecolor="#62b5e5" strokeweight="2pt">
                <v:textbox inset="7pt,7pt,7pt,7pt">
                  <w:txbxContent>
                    <w:p w14:paraId="3C0EA367" w14:textId="77777777" w:rsidR="0082085F" w:rsidRDefault="0082085F" w:rsidP="00DA0E5F">
                      <w:pPr>
                        <w:rPr>
                          <w:b/>
                        </w:rPr>
                      </w:pPr>
                      <w:r>
                        <w:rPr>
                          <w:b/>
                        </w:rPr>
                        <w:t>2010</w:t>
                      </w:r>
                    </w:p>
                    <w:p w14:paraId="189F7C10" w14:textId="7AA5955C" w:rsidR="0082085F" w:rsidRDefault="0082085F" w:rsidP="00DA0E5F">
                      <w:r>
                        <w:t>At the time of their deaths, Chase (8 years old) and Tyler (6 years old) resided with their mother Vanessa at a rental property in Mooroopna. On Saturday, 29 May, both boys were put to bed at 8:30pm. At some stage (during the night) the boys came into her room crying. She settled them in her bed, and they all went to sleep.</w:t>
                      </w:r>
                    </w:p>
                    <w:p w14:paraId="39673CE4" w14:textId="77777777" w:rsidR="0082085F" w:rsidRPr="00DA0E5F" w:rsidRDefault="0082085F" w:rsidP="00DA0E5F">
                      <w:r w:rsidRPr="00DA0E5F">
                        <w:t>Throughout the night the gas wall furnace (open flued) located in the kitchen/dining area down the hallway from the bedrooms was left operating. Both the heater and the</w:t>
                      </w:r>
                      <w:r w:rsidRPr="001A61E6">
                        <w:t xml:space="preserve"> </w:t>
                      </w:r>
                      <w:r w:rsidRPr="00096B3A">
                        <w:t>appliance</w:t>
                      </w:r>
                      <w:r w:rsidRPr="00DA0E5F">
                        <w:t xml:space="preserve"> fan were switched to the highest level. </w:t>
                      </w:r>
                    </w:p>
                    <w:p w14:paraId="4897D0D1" w14:textId="3F1B9A63" w:rsidR="0082085F" w:rsidRDefault="0082085F" w:rsidP="00DA0E5F">
                      <w:r w:rsidRPr="005D323C">
                        <w:t>Vanessa woke during Sunday afternoon with severe pain in her left arm. She managed to get to the shower in the adjoining ensuite and upon retu</w:t>
                      </w:r>
                      <w:r w:rsidRPr="004D3353">
                        <w:t>rning to the bedroom noticed that both boys were unrouseable and appeared deceased. She telephoned their</w:t>
                      </w:r>
                      <w:r>
                        <w:t xml:space="preserve"> father, Scott, who immediately went to the house, and then an ambulance. Police attended, followed by the ambulance. No resuscitation was attempted as it was evident that the boys were deceased. </w:t>
                      </w:r>
                    </w:p>
                    <w:p w14:paraId="0332C18A" w14:textId="20FE9A2A" w:rsidR="0082085F" w:rsidRDefault="0082085F" w:rsidP="00DA0E5F">
                      <w:r>
                        <w:t xml:space="preserve">Toxicological analysis revealed that the causes of death was ingestion of CO. </w:t>
                      </w:r>
                    </w:p>
                    <w:p w14:paraId="4D3775EB" w14:textId="09DA7CC6" w:rsidR="0082085F" w:rsidRDefault="0082085F" w:rsidP="00DA0E5F">
                      <w:r>
                        <w:t>Vanessa required hospitalisation for over a month, suffering hypoxia, renal failure, rhabdomyolysis and brachial plexus injury due to acute exposure to CO, and has residual injuries from the exposure.</w:t>
                      </w:r>
                    </w:p>
                    <w:p w14:paraId="63B38759" w14:textId="6E184906" w:rsidR="0082085F" w:rsidRDefault="0082085F" w:rsidP="00DA0E5F">
                      <w:pPr>
                        <w:rPr>
                          <w:b/>
                        </w:rPr>
                      </w:pPr>
                      <w:r>
                        <w:rPr>
                          <w:b/>
                        </w:rPr>
                        <w:t>Coroner’s f</w:t>
                      </w:r>
                      <w:r w:rsidRPr="00382178">
                        <w:rPr>
                          <w:b/>
                        </w:rPr>
                        <w:t>indings of fact</w:t>
                      </w:r>
                    </w:p>
                    <w:p w14:paraId="795C3D0B" w14:textId="39D7995B" w:rsidR="0082085F" w:rsidRPr="00382178" w:rsidRDefault="0082085F" w:rsidP="00DA0E5F">
                      <w:r>
                        <w:t xml:space="preserve">Coroner, Jacinta Heffey, made the following findings: “the deaths of Chase and Tyler Robinson occurred due to the ingestion of carbon monoxide under circumstances in which an open flued gas furnace emitted carbon monoxide into the boys’ home at dangerously high levels. I find that carbon monoxide was caused by incomplete combustion, likely due to the obstruction to the primary air inlet by the </w:t>
                      </w:r>
                      <w:r w:rsidR="00811193">
                        <w:t>build-up</w:t>
                      </w:r>
                      <w:r>
                        <w:t xml:space="preserve"> of a contaminant, possibly carpet lint and/or dust. I find that it was this presenting situation, combined with the negative pressure caused by the operation of more than one extractor fan in the home over a period of at least a couple of hours, that had the effect of drawing off the carbon monoxide product from the appliance and expelling it along the hallway of the house towards any open bedrooms and ultimately to the master bedroom. There being little ventilation in the sealed house, it reached dangerous density, leading to the deaths of the two boys”.  </w:t>
                      </w:r>
                    </w:p>
                    <w:p w14:paraId="629EB56C" w14:textId="77777777" w:rsidR="0082085F" w:rsidRPr="00382178" w:rsidRDefault="0082085F" w:rsidP="00DA0E5F"/>
                  </w:txbxContent>
                </v:textbox>
                <w10:anchorlock/>
              </v:rect>
            </w:pict>
          </mc:Fallback>
        </mc:AlternateContent>
      </w:r>
    </w:p>
    <w:p w14:paraId="29878D51" w14:textId="38F33DF0" w:rsidR="00064E21" w:rsidRPr="00D7409C" w:rsidRDefault="00AD2C30" w:rsidP="00B93E00">
      <w:pPr>
        <w:pStyle w:val="Source"/>
      </w:pPr>
      <w:r w:rsidRPr="00D7409C">
        <w:t xml:space="preserve">Source: </w:t>
      </w:r>
      <w:r w:rsidR="00064E21" w:rsidRPr="00D7409C">
        <w:t xml:space="preserve">Coroners Court of Victoria. (2013). </w:t>
      </w:r>
      <w:r w:rsidR="00064E21" w:rsidRPr="00D7409C">
        <w:rPr>
          <w:i/>
        </w:rPr>
        <w:t>Inquest into the death of Chase Robinson</w:t>
      </w:r>
      <w:r w:rsidR="00064E21" w:rsidRPr="00D7409C">
        <w:t xml:space="preserve"> (File No. COR 2010</w:t>
      </w:r>
      <w:r w:rsidR="009A208D">
        <w:t>/</w:t>
      </w:r>
      <w:r w:rsidR="00064E21" w:rsidRPr="00D7409C">
        <w:t xml:space="preserve">2037) and </w:t>
      </w:r>
      <w:r w:rsidR="00064E21" w:rsidRPr="00D7409C">
        <w:rPr>
          <w:i/>
        </w:rPr>
        <w:t>Inquest into the death of Tyler Robinson</w:t>
      </w:r>
      <w:r w:rsidR="00064E21" w:rsidRPr="00D7409C">
        <w:t xml:space="preserve"> (File No. COR 2010</w:t>
      </w:r>
      <w:r w:rsidR="009A208D">
        <w:t>/</w:t>
      </w:r>
      <w:r w:rsidR="00064E21" w:rsidRPr="00D7409C">
        <w:t>2038)</w:t>
      </w:r>
    </w:p>
    <w:p w14:paraId="6F1C1C0C" w14:textId="409CB4BC" w:rsidR="00AA356A" w:rsidRPr="00D7409C" w:rsidDel="00CC1A59" w:rsidRDefault="00605B70" w:rsidP="005024F8">
      <w:pPr>
        <w:pStyle w:val="Heading4"/>
      </w:pPr>
      <w:r w:rsidRPr="00D7409C">
        <w:t>Non-fatal exposure</w:t>
      </w:r>
    </w:p>
    <w:p w14:paraId="26FC2931" w14:textId="7DA32455" w:rsidR="00653FBA" w:rsidRPr="000276F0" w:rsidRDefault="00653FBA" w:rsidP="00653FBA">
      <w:pPr>
        <w:pStyle w:val="CommentText"/>
        <w:rPr>
          <w:sz w:val="18"/>
          <w:szCs w:val="18"/>
        </w:rPr>
      </w:pPr>
      <w:bookmarkStart w:id="183" w:name="_Ref24725023"/>
      <w:bookmarkStart w:id="184" w:name="_Ref22213489"/>
      <w:r w:rsidRPr="000276F0">
        <w:rPr>
          <w:sz w:val="18"/>
          <w:szCs w:val="18"/>
        </w:rPr>
        <w:t xml:space="preserve">Non-fatal exposures can range from </w:t>
      </w:r>
      <w:r w:rsidR="00597F4E" w:rsidRPr="000276F0">
        <w:rPr>
          <w:sz w:val="18"/>
          <w:szCs w:val="18"/>
        </w:rPr>
        <w:t>s</w:t>
      </w:r>
      <w:r w:rsidRPr="000276F0">
        <w:rPr>
          <w:sz w:val="18"/>
          <w:szCs w:val="18"/>
        </w:rPr>
        <w:t>erious non-fatal illnesses –</w:t>
      </w:r>
      <w:r w:rsidR="00EC2858">
        <w:rPr>
          <w:sz w:val="18"/>
          <w:szCs w:val="18"/>
        </w:rPr>
        <w:t xml:space="preserve"> </w:t>
      </w:r>
      <w:r w:rsidRPr="000276F0">
        <w:rPr>
          <w:sz w:val="18"/>
          <w:szCs w:val="18"/>
        </w:rPr>
        <w:t>w</w:t>
      </w:r>
      <w:r w:rsidR="00D165EA" w:rsidRPr="000276F0">
        <w:rPr>
          <w:sz w:val="18"/>
          <w:szCs w:val="18"/>
        </w:rPr>
        <w:t>hich</w:t>
      </w:r>
      <w:r w:rsidRPr="000276F0">
        <w:rPr>
          <w:sz w:val="18"/>
          <w:szCs w:val="18"/>
        </w:rPr>
        <w:t xml:space="preserve"> </w:t>
      </w:r>
      <w:r w:rsidR="00D165EA" w:rsidRPr="000276F0">
        <w:rPr>
          <w:sz w:val="18"/>
          <w:szCs w:val="18"/>
        </w:rPr>
        <w:t>can include</w:t>
      </w:r>
      <w:r w:rsidRPr="000276F0">
        <w:rPr>
          <w:sz w:val="18"/>
          <w:szCs w:val="18"/>
        </w:rPr>
        <w:t xml:space="preserve"> </w:t>
      </w:r>
      <w:r w:rsidR="00D165EA" w:rsidRPr="000276F0">
        <w:rPr>
          <w:sz w:val="18"/>
          <w:szCs w:val="18"/>
        </w:rPr>
        <w:t xml:space="preserve">long term </w:t>
      </w:r>
      <w:r w:rsidR="00597F4E" w:rsidRPr="000276F0">
        <w:rPr>
          <w:sz w:val="18"/>
          <w:szCs w:val="18"/>
        </w:rPr>
        <w:t xml:space="preserve">and </w:t>
      </w:r>
      <w:r w:rsidRPr="000276F0">
        <w:rPr>
          <w:sz w:val="18"/>
          <w:szCs w:val="18"/>
        </w:rPr>
        <w:t>non-reversible health impacts</w:t>
      </w:r>
      <w:r w:rsidR="00D165EA" w:rsidRPr="000276F0">
        <w:rPr>
          <w:sz w:val="18"/>
          <w:szCs w:val="18"/>
        </w:rPr>
        <w:t xml:space="preserve"> - to </w:t>
      </w:r>
      <w:r w:rsidR="00B55B53">
        <w:rPr>
          <w:sz w:val="18"/>
          <w:szCs w:val="18"/>
        </w:rPr>
        <w:t>l</w:t>
      </w:r>
      <w:r w:rsidR="00D165EA" w:rsidRPr="000276F0">
        <w:rPr>
          <w:sz w:val="18"/>
          <w:szCs w:val="18"/>
        </w:rPr>
        <w:t>ow level illness</w:t>
      </w:r>
      <w:r w:rsidR="001444AA">
        <w:rPr>
          <w:sz w:val="18"/>
          <w:szCs w:val="18"/>
        </w:rPr>
        <w:t>e</w:t>
      </w:r>
      <w:r w:rsidR="00416217" w:rsidRPr="000276F0">
        <w:rPr>
          <w:sz w:val="18"/>
          <w:szCs w:val="18"/>
        </w:rPr>
        <w:t>s that generally resolve after exposure ceases.</w:t>
      </w:r>
    </w:p>
    <w:p w14:paraId="5B39A32D" w14:textId="336CEB12" w:rsidR="002E1983" w:rsidRPr="00D7409C" w:rsidRDefault="0046036D" w:rsidP="0046036D">
      <w:pPr>
        <w:pStyle w:val="BodyText"/>
      </w:pPr>
      <w:r w:rsidRPr="00D7409C">
        <w:t xml:space="preserve">Although cases of fatal CO poisoning from OFGSHs are well documented, the number of non-fatal incidents is less clear, due to a lack of relevant data as well as a high likelihood that many cases remain undiagnosed. </w:t>
      </w:r>
      <w:r w:rsidR="002E1983" w:rsidRPr="00D7409C">
        <w:t xml:space="preserve">A submission made to the discussion paper consultation </w:t>
      </w:r>
      <w:r w:rsidR="00D909D0">
        <w:t>stated that</w:t>
      </w:r>
      <w:r w:rsidR="00D909D0" w:rsidRPr="00D7409C">
        <w:t xml:space="preserve"> </w:t>
      </w:r>
      <w:r w:rsidR="002E1983" w:rsidRPr="00D7409C">
        <w:t xml:space="preserve">‘(a)s a healthcare practitioner (medical hospital doctor), I suspect that the prevalence and incidence of carbon monoxide effects is under-recognised…patients may not think to mention their gas heaters and doctors omit to question’. </w:t>
      </w:r>
    </w:p>
    <w:p w14:paraId="10C799A6" w14:textId="0011288C" w:rsidR="0046036D" w:rsidRPr="00D7409C" w:rsidRDefault="0046036D" w:rsidP="0046036D">
      <w:pPr>
        <w:pStyle w:val="BodyText"/>
      </w:pPr>
      <w:r w:rsidRPr="00D7409C">
        <w:t xml:space="preserve">Reports to ESV since 2010 indicate that </w:t>
      </w:r>
      <w:r w:rsidR="0088474B" w:rsidRPr="00E754EB">
        <w:t>five</w:t>
      </w:r>
      <w:r w:rsidRPr="00E754EB">
        <w:t xml:space="preserve"> suspected incidents of serious but non-fatal CO poisonings have occurred</w:t>
      </w:r>
      <w:r w:rsidR="00695902" w:rsidRPr="000276F0">
        <w:t xml:space="preserve"> du</w:t>
      </w:r>
      <w:r w:rsidR="00710C83" w:rsidRPr="000276F0">
        <w:t>e to OFGSHs</w:t>
      </w:r>
      <w:r w:rsidRPr="00E754EB">
        <w:t xml:space="preserve">, leading to the hospitalisation of </w:t>
      </w:r>
      <w:r w:rsidR="0088474B" w:rsidRPr="00E754EB">
        <w:t>eight</w:t>
      </w:r>
      <w:r w:rsidRPr="00E754EB">
        <w:t xml:space="preserve"> people. </w:t>
      </w:r>
      <w:r w:rsidR="00FA6CEA" w:rsidRPr="00A7337D">
        <w:t>However, it</w:t>
      </w:r>
      <w:r w:rsidR="00262C1A" w:rsidRPr="00A7337D">
        <w:t xml:space="preserve"> is possible that </w:t>
      </w:r>
      <w:r w:rsidR="00652C95" w:rsidRPr="00A7337D">
        <w:t>this</w:t>
      </w:r>
      <w:r w:rsidR="00FA6CEA" w:rsidRPr="00A7337D">
        <w:t xml:space="preserve"> </w:t>
      </w:r>
      <w:r w:rsidR="00652C95" w:rsidRPr="00A7337D">
        <w:t xml:space="preserve">under states </w:t>
      </w:r>
      <w:r w:rsidR="00CD0C25" w:rsidRPr="00A7337D">
        <w:t xml:space="preserve">the true number of serious </w:t>
      </w:r>
      <w:r w:rsidR="00FA6CEA" w:rsidRPr="00A7337D">
        <w:t>non-fatal</w:t>
      </w:r>
      <w:r w:rsidR="00CD0C25" w:rsidRPr="00A7337D">
        <w:t xml:space="preserve"> </w:t>
      </w:r>
      <w:r w:rsidR="008B1F03" w:rsidRPr="00A7337D">
        <w:t xml:space="preserve">CO exposures </w:t>
      </w:r>
      <w:r w:rsidR="00652C95" w:rsidRPr="00A7337D">
        <w:t>caused by</w:t>
      </w:r>
      <w:r w:rsidR="008B1F03" w:rsidRPr="00A7337D">
        <w:t xml:space="preserve"> OFGSHs due to misdiagnosis or underreporting.</w:t>
      </w:r>
      <w:r w:rsidR="00E754EB" w:rsidRPr="00D7409C">
        <w:t xml:space="preserve"> </w:t>
      </w:r>
    </w:p>
    <w:p w14:paraId="545E2FF9" w14:textId="5E892EE0" w:rsidR="0046036D" w:rsidRPr="00D7409C" w:rsidRDefault="0046036D" w:rsidP="0046036D">
      <w:pPr>
        <w:pStyle w:val="BodyText"/>
      </w:pPr>
      <w:r w:rsidRPr="00D7409C">
        <w:t xml:space="preserve">In the period between June 2005 and May 2018, there were 1,179 admissions to Victorian hospitals (includes both public and private) linked to cases of accidental and deliberate CO </w:t>
      </w:r>
      <w:r w:rsidRPr="00D7409C">
        <w:lastRenderedPageBreak/>
        <w:t>poisoning.</w:t>
      </w:r>
      <w:r w:rsidRPr="00D7409C">
        <w:rPr>
          <w:rStyle w:val="FootnoteReference"/>
        </w:rPr>
        <w:footnoteReference w:id="92"/>
      </w:r>
      <w:r w:rsidRPr="00D7409C">
        <w:t xml:space="preserve"> This translates to an average of just under 100 hospitalisation events each year, however there was significant variation between years. </w:t>
      </w:r>
      <w:r w:rsidR="006C3DF0" w:rsidRPr="00D7409C">
        <w:t>The n</w:t>
      </w:r>
      <w:r w:rsidR="00114E13" w:rsidRPr="00D7409C">
        <w:t>umber of hospital admissions</w:t>
      </w:r>
      <w:r w:rsidR="00B72BF1" w:rsidRPr="00D7409C">
        <w:t xml:space="preserve"> related to CO poisoning is shown in </w:t>
      </w:r>
      <w:r w:rsidR="00103FCD">
        <w:fldChar w:fldCharType="begin"/>
      </w:r>
      <w:r w:rsidR="00103FCD">
        <w:instrText xml:space="preserve"> REF _Ref56456307 \h </w:instrText>
      </w:r>
      <w:r w:rsidR="00103FCD">
        <w:fldChar w:fldCharType="separate"/>
      </w:r>
      <w:r w:rsidR="00CD0679" w:rsidRPr="00D7409C">
        <w:t xml:space="preserve">Figure </w:t>
      </w:r>
      <w:r w:rsidR="00CD0679">
        <w:rPr>
          <w:noProof/>
        </w:rPr>
        <w:t>2</w:t>
      </w:r>
      <w:r w:rsidR="00CD0679" w:rsidRPr="00D7409C">
        <w:noBreakHyphen/>
      </w:r>
      <w:r w:rsidR="00CD0679">
        <w:rPr>
          <w:noProof/>
        </w:rPr>
        <w:t>3</w:t>
      </w:r>
      <w:r w:rsidR="00103FCD">
        <w:fldChar w:fldCharType="end"/>
      </w:r>
      <w:r w:rsidR="00B72BF1" w:rsidRPr="00D7409C">
        <w:t>.</w:t>
      </w:r>
      <w:r w:rsidR="00114E13" w:rsidRPr="00D7409C">
        <w:t xml:space="preserve"> </w:t>
      </w:r>
    </w:p>
    <w:p w14:paraId="5B55F5BD" w14:textId="2218A103" w:rsidR="00DC25A7" w:rsidRPr="00D7409C" w:rsidRDefault="00DC25A7" w:rsidP="00DC25A7">
      <w:pPr>
        <w:pStyle w:val="Caption"/>
      </w:pPr>
      <w:bookmarkStart w:id="185" w:name="_Ref56456307"/>
      <w:r w:rsidRPr="00D7409C">
        <w:t xml:space="preserve">Figure </w:t>
      </w:r>
      <w:r w:rsidR="0063109D" w:rsidRPr="00D7409C">
        <w:fldChar w:fldCharType="begin"/>
      </w:r>
      <w:r w:rsidR="0063109D" w:rsidRPr="00D7409C">
        <w:instrText xml:space="preserve"> STYLEREF 1 \s </w:instrText>
      </w:r>
      <w:r w:rsidR="0063109D" w:rsidRPr="00D7409C">
        <w:fldChar w:fldCharType="separate"/>
      </w:r>
      <w:r w:rsidR="00CD0679">
        <w:rPr>
          <w:noProof/>
        </w:rPr>
        <w:t>2</w:t>
      </w:r>
      <w:r w:rsidR="0063109D" w:rsidRPr="00D7409C">
        <w:fldChar w:fldCharType="end"/>
      </w:r>
      <w:r w:rsidR="0063109D" w:rsidRPr="00D7409C">
        <w:noBreakHyphen/>
      </w:r>
      <w:r w:rsidR="0063109D" w:rsidRPr="00D7409C">
        <w:fldChar w:fldCharType="begin"/>
      </w:r>
      <w:r w:rsidR="0063109D" w:rsidRPr="00D7409C">
        <w:instrText xml:space="preserve"> SEQ Figure \* ARABIC \s 1 </w:instrText>
      </w:r>
      <w:r w:rsidR="0063109D" w:rsidRPr="00D7409C">
        <w:fldChar w:fldCharType="separate"/>
      </w:r>
      <w:r w:rsidR="00CD0679">
        <w:rPr>
          <w:noProof/>
        </w:rPr>
        <w:t>3</w:t>
      </w:r>
      <w:r w:rsidR="0063109D" w:rsidRPr="00D7409C">
        <w:fldChar w:fldCharType="end"/>
      </w:r>
      <w:bookmarkEnd w:id="183"/>
      <w:bookmarkEnd w:id="184"/>
      <w:bookmarkEnd w:id="185"/>
      <w:r w:rsidR="00D97882" w:rsidRPr="00D7409C">
        <w:t xml:space="preserve"> Number of hospital admissions related to CO poisoning</w:t>
      </w:r>
    </w:p>
    <w:p w14:paraId="5FC5F3D6" w14:textId="61159736" w:rsidR="00DC25A7" w:rsidRPr="00D7409C" w:rsidRDefault="00E7500C" w:rsidP="003A6FE1">
      <w:r w:rsidRPr="00D7409C">
        <w:rPr>
          <w:noProof/>
          <w:lang w:eastAsia="en-AU"/>
        </w:rPr>
        <w:drawing>
          <wp:inline distT="0" distB="0" distL="0" distR="0" wp14:anchorId="5E62ECE7" wp14:editId="6A5E735F">
            <wp:extent cx="5551198" cy="2576946"/>
            <wp:effectExtent l="0" t="0" r="0" b="0"/>
            <wp:docPr id="39" name="Picture 39" descr="Figure 2-3 Number of hospital admissions related to CO poisoning (from 2005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4701" cy="2592499"/>
                    </a:xfrm>
                    <a:prstGeom prst="rect">
                      <a:avLst/>
                    </a:prstGeom>
                    <a:noFill/>
                    <a:ln>
                      <a:noFill/>
                    </a:ln>
                  </pic:spPr>
                </pic:pic>
              </a:graphicData>
            </a:graphic>
          </wp:inline>
        </w:drawing>
      </w:r>
    </w:p>
    <w:p w14:paraId="64D4899B" w14:textId="3C96CAF3" w:rsidR="00D97882" w:rsidRPr="00D7409C" w:rsidRDefault="00D97882" w:rsidP="00B93E00">
      <w:pPr>
        <w:pStyle w:val="Source"/>
      </w:pPr>
      <w:r w:rsidRPr="00D7409C">
        <w:t>Source: Victorian Admitted Episode Dataset. (2018). Victorian Carbon Monoxide Admission Analysis (provided by DHHS</w:t>
      </w:r>
      <w:r w:rsidR="00AD2C30" w:rsidRPr="00D7409C">
        <w:br/>
      </w:r>
      <w:r w:rsidRPr="00D7409C">
        <w:t xml:space="preserve">Notes: </w:t>
      </w:r>
      <w:r w:rsidR="00F66BC8" w:rsidRPr="00D7409C">
        <w:t xml:space="preserve"> </w:t>
      </w:r>
      <w:r w:rsidRPr="00D7409C">
        <w:t>* the figure for 2005 is only for the period between June and December</w:t>
      </w:r>
      <w:r w:rsidR="00F66BC8" w:rsidRPr="00D7409C">
        <w:br/>
        <w:t xml:space="preserve">          </w:t>
      </w:r>
      <w:r w:rsidRPr="00D7409C">
        <w:t>*</w:t>
      </w:r>
      <w:r w:rsidR="00F66BC8" w:rsidRPr="00D7409C">
        <w:t>*</w:t>
      </w:r>
      <w:r w:rsidRPr="00D7409C">
        <w:t xml:space="preserve"> the figure for 2018 is only for the period between January and May</w:t>
      </w:r>
    </w:p>
    <w:p w14:paraId="1FB3F29F" w14:textId="4CF4B40F" w:rsidR="00B63A90" w:rsidRPr="00D7409C" w:rsidRDefault="00435E98" w:rsidP="00B63A90">
      <w:pPr>
        <w:pStyle w:val="BodyText"/>
      </w:pPr>
      <w:r>
        <w:fldChar w:fldCharType="begin"/>
      </w:r>
      <w:r>
        <w:instrText xml:space="preserve"> REF _Ref56456307 \h </w:instrText>
      </w:r>
      <w:r>
        <w:fldChar w:fldCharType="separate"/>
      </w:r>
      <w:r w:rsidR="00CD0679" w:rsidRPr="00D7409C">
        <w:t xml:space="preserve">Figure </w:t>
      </w:r>
      <w:r w:rsidR="00CD0679">
        <w:rPr>
          <w:noProof/>
        </w:rPr>
        <w:t>2</w:t>
      </w:r>
      <w:r w:rsidR="00CD0679" w:rsidRPr="00D7409C">
        <w:noBreakHyphen/>
      </w:r>
      <w:r w:rsidR="00CD0679">
        <w:rPr>
          <w:noProof/>
        </w:rPr>
        <w:t>3</w:t>
      </w:r>
      <w:r>
        <w:fldChar w:fldCharType="end"/>
      </w:r>
      <w:r>
        <w:t xml:space="preserve"> </w:t>
      </w:r>
      <w:r w:rsidR="00B63A90" w:rsidRPr="00D7409C">
        <w:t>shows the largest number of admissions in any one year was 119 (in 2006 and 2007), whereas the lowest number of recorded admissions for a full year was 48 (in 2014).</w:t>
      </w:r>
      <w:r w:rsidR="00B63A90" w:rsidRPr="00D7409C">
        <w:rPr>
          <w:rStyle w:val="FootnoteReference"/>
        </w:rPr>
        <w:footnoteReference w:id="93"/>
      </w:r>
      <w:r w:rsidR="00B63A90" w:rsidRPr="00D7409C">
        <w:t xml:space="preserve"> The dataset also indicated that there was a statistically significantly higher number of admissions for male patients (71 per cent) compared with female (29 per cent).</w:t>
      </w:r>
    </w:p>
    <w:p w14:paraId="40DDB285" w14:textId="2BE68CEA" w:rsidR="0046036D" w:rsidRPr="00E754EB" w:rsidRDefault="00802C73" w:rsidP="0046036D">
      <w:pPr>
        <w:pStyle w:val="BodyText"/>
      </w:pPr>
      <w:r>
        <w:t>However,</w:t>
      </w:r>
      <w:r w:rsidR="0046036D" w:rsidRPr="00D7409C">
        <w:t xml:space="preserve"> there are limitations of using this dataset to understand the health impact of CO poisoning </w:t>
      </w:r>
      <w:r w:rsidR="0046036D" w:rsidRPr="00E754EB">
        <w:t xml:space="preserve">as a result of accidental exposure from OFGSHs. This </w:t>
      </w:r>
      <w:r w:rsidR="00441CAC" w:rsidRPr="00E754EB">
        <w:t>is because</w:t>
      </w:r>
      <w:r w:rsidR="0046036D" w:rsidRPr="00E754EB">
        <w:t>:</w:t>
      </w:r>
    </w:p>
    <w:p w14:paraId="7DEACB23" w14:textId="224C02EE" w:rsidR="00170D8A" w:rsidRPr="000276F0" w:rsidRDefault="00170D8A" w:rsidP="00170D8A">
      <w:pPr>
        <w:pStyle w:val="ListParagraph"/>
        <w:numPr>
          <w:ilvl w:val="0"/>
          <w:numId w:val="56"/>
        </w:numPr>
      </w:pPr>
      <w:r w:rsidRPr="00E754EB">
        <w:t>The dataset includes admissions from all ca</w:t>
      </w:r>
      <w:r w:rsidR="00441CAC" w:rsidRPr="00E754EB">
        <w:t>u</w:t>
      </w:r>
      <w:r w:rsidRPr="00E754EB">
        <w:t xml:space="preserve">ses of CO poisoning, both in the workplace and home environment, and from all causes </w:t>
      </w:r>
      <w:r w:rsidR="00B048AE" w:rsidRPr="00E754EB">
        <w:t xml:space="preserve">- </w:t>
      </w:r>
      <w:r w:rsidR="007E31DA" w:rsidRPr="00E754EB">
        <w:t>not just</w:t>
      </w:r>
      <w:r w:rsidRPr="00E754EB">
        <w:t xml:space="preserve"> OFGSHs</w:t>
      </w:r>
      <w:r w:rsidR="00743282" w:rsidRPr="00E754EB">
        <w:t xml:space="preserve">. </w:t>
      </w:r>
      <w:r w:rsidR="00E8170E" w:rsidRPr="00E754EB">
        <w:t xml:space="preserve">For </w:t>
      </w:r>
      <w:r w:rsidR="00802C73" w:rsidRPr="00E754EB">
        <w:t>example,</w:t>
      </w:r>
      <w:r w:rsidR="00E8170E" w:rsidRPr="00E754EB">
        <w:t xml:space="preserve"> </w:t>
      </w:r>
      <w:r w:rsidR="00CF09C0" w:rsidRPr="00E754EB">
        <w:t>it</w:t>
      </w:r>
      <w:r w:rsidR="00E8170E" w:rsidRPr="00E754EB">
        <w:t xml:space="preserve"> include</w:t>
      </w:r>
      <w:r w:rsidR="00CF09C0" w:rsidRPr="00E754EB">
        <w:t>s</w:t>
      </w:r>
      <w:r w:rsidR="00E8170E" w:rsidRPr="00E754EB">
        <w:t xml:space="preserve"> admissions from </w:t>
      </w:r>
      <w:r w:rsidR="00705D0A" w:rsidRPr="00E754EB">
        <w:t>the</w:t>
      </w:r>
      <w:r w:rsidRPr="00E754EB">
        <w:t xml:space="preserve"> use of heat beads or outdoor gas appliances being used indoors </w:t>
      </w:r>
    </w:p>
    <w:p w14:paraId="141662CC" w14:textId="77777777" w:rsidR="0046036D" w:rsidRPr="00E754EB" w:rsidRDefault="0046036D" w:rsidP="00E74AA1">
      <w:pPr>
        <w:pStyle w:val="ListParagraph"/>
        <w:numPr>
          <w:ilvl w:val="0"/>
          <w:numId w:val="56"/>
        </w:numPr>
      </w:pPr>
      <w:r w:rsidRPr="00E754EB">
        <w:t>The dataset includes admissions where CO poisoning is intended</w:t>
      </w:r>
      <w:r w:rsidR="00E8259A" w:rsidRPr="00E754EB">
        <w:t>, such as fumes from cars.</w:t>
      </w:r>
    </w:p>
    <w:p w14:paraId="5330EAB1" w14:textId="77777777" w:rsidR="0046036D" w:rsidRPr="00E754EB" w:rsidRDefault="0046036D" w:rsidP="00E74AA1">
      <w:pPr>
        <w:pStyle w:val="ListParagraph"/>
        <w:numPr>
          <w:ilvl w:val="0"/>
          <w:numId w:val="56"/>
        </w:numPr>
      </w:pPr>
      <w:r w:rsidRPr="00E754EB">
        <w:t>There may have been changes in coding or clinical practices that may have influenced how comprehensively admissions related to CO poisoning are recognised and captured in different hospital records</w:t>
      </w:r>
    </w:p>
    <w:p w14:paraId="16A87CD1" w14:textId="3E6D0807" w:rsidR="0046036D" w:rsidRPr="00E754EB" w:rsidRDefault="0046036D" w:rsidP="00E74AA1">
      <w:pPr>
        <w:pStyle w:val="ListParagraph"/>
        <w:numPr>
          <w:ilvl w:val="0"/>
          <w:numId w:val="56"/>
        </w:numPr>
      </w:pPr>
      <w:r w:rsidRPr="00E754EB">
        <w:t>The dataset captures the number of admissions rather than the number of unique individuals admitted</w:t>
      </w:r>
    </w:p>
    <w:p w14:paraId="58C922B5" w14:textId="77777777" w:rsidR="0046036D" w:rsidRPr="00E754EB" w:rsidRDefault="0046036D" w:rsidP="00E74AA1">
      <w:pPr>
        <w:pStyle w:val="ListParagraph"/>
        <w:numPr>
          <w:ilvl w:val="0"/>
          <w:numId w:val="56"/>
        </w:numPr>
      </w:pPr>
      <w:r w:rsidRPr="00E754EB">
        <w:t>Some patients may have been incorrectly diagnosed with a different ailment and CO poisoning not identified, and therefore are not captured within this dataset</w:t>
      </w:r>
    </w:p>
    <w:p w14:paraId="37457037" w14:textId="77777777" w:rsidR="0046036D" w:rsidRPr="00E754EB" w:rsidRDefault="0046036D" w:rsidP="00E74AA1">
      <w:pPr>
        <w:pStyle w:val="ListParagraph"/>
        <w:numPr>
          <w:ilvl w:val="0"/>
          <w:numId w:val="56"/>
        </w:numPr>
      </w:pPr>
      <w:r w:rsidRPr="00E754EB">
        <w:t>Some people may not get admitted to hospital or admit themselves to hospital as the symptoms are not very severe.</w:t>
      </w:r>
    </w:p>
    <w:p w14:paraId="7DEECE7C" w14:textId="33027721" w:rsidR="0046036D" w:rsidRPr="00D7409C" w:rsidRDefault="004856B0" w:rsidP="0046036D">
      <w:pPr>
        <w:pStyle w:val="BodyText"/>
      </w:pPr>
      <w:r w:rsidRPr="00E754EB">
        <w:t>Nevertheless</w:t>
      </w:r>
      <w:r w:rsidR="0046036D" w:rsidRPr="00E754EB">
        <w:t>, this data still contributes to a base of evidence</w:t>
      </w:r>
      <w:r w:rsidR="0046036D" w:rsidRPr="00D7409C">
        <w:t xml:space="preserve"> that suggests there is a material incidence of accidental CO poisoning as a result of OFGSHs in Victoria.</w:t>
      </w:r>
    </w:p>
    <w:p w14:paraId="53E48146" w14:textId="4089E401" w:rsidR="0046036D" w:rsidRDefault="0046036D" w:rsidP="0046036D">
      <w:pPr>
        <w:pStyle w:val="BodyText"/>
      </w:pPr>
      <w:r w:rsidRPr="00D7409C">
        <w:lastRenderedPageBreak/>
        <w:t xml:space="preserve">In other cases, where people suspect that they might be poisoned, they might contact the Victorian Poisons Information Centre (VPIC). The VPIC reports that </w:t>
      </w:r>
      <w:r w:rsidR="004C0988">
        <w:t>it</w:t>
      </w:r>
      <w:r w:rsidR="004C0988" w:rsidRPr="00D7409C">
        <w:t xml:space="preserve"> </w:t>
      </w:r>
      <w:r w:rsidRPr="00D7409C">
        <w:t xml:space="preserve">received an average of 75 calls a year as a result of exposure to </w:t>
      </w:r>
      <w:r w:rsidR="00914E62">
        <w:t>CO</w:t>
      </w:r>
      <w:r w:rsidRPr="00D7409C">
        <w:t xml:space="preserve"> over the last 7 years.</w:t>
      </w:r>
      <w:r w:rsidRPr="00D7409C">
        <w:rPr>
          <w:rStyle w:val="FootnoteReference"/>
        </w:rPr>
        <w:footnoteReference w:id="94"/>
      </w:r>
      <w:r w:rsidRPr="00D7409C">
        <w:t xml:space="preserve"> The VPIC receives calls from a range of people including family members, self-reporting, medical professionals and emergency services. However, VPIC does not report the cause of CO exposure therefore it is unclear how many of these calls are as a result of OFGSHs.</w:t>
      </w:r>
    </w:p>
    <w:p w14:paraId="6CB731C0" w14:textId="0251311B" w:rsidR="00357595" w:rsidRPr="00D7409C" w:rsidRDefault="00357595" w:rsidP="0046036D">
      <w:pPr>
        <w:pStyle w:val="BodyText"/>
      </w:pPr>
      <w:r>
        <w:t xml:space="preserve">While there is a lack of </w:t>
      </w:r>
      <w:r w:rsidR="009B1B96">
        <w:t xml:space="preserve">Australian data, there is some </w:t>
      </w:r>
      <w:r w:rsidR="00303C30">
        <w:t xml:space="preserve">historic </w:t>
      </w:r>
      <w:r w:rsidR="009B1B96">
        <w:t xml:space="preserve">evidence from the UK (where gas heaters have historically been </w:t>
      </w:r>
      <w:r w:rsidR="00303C30">
        <w:t>more</w:t>
      </w:r>
      <w:r w:rsidR="009B1B96">
        <w:t xml:space="preserve"> prevalent</w:t>
      </w:r>
      <w:r w:rsidR="00303C30">
        <w:t xml:space="preserve"> than in Australia</w:t>
      </w:r>
      <w:r w:rsidR="009B1B96">
        <w:t xml:space="preserve">) about incidences of non-fatal CO poisoning. </w:t>
      </w:r>
      <w:r w:rsidR="00E80642">
        <w:t>The Allen Consulting Group noted data from 2006</w:t>
      </w:r>
      <w:r w:rsidR="001D3614">
        <w:t>-</w:t>
      </w:r>
      <w:r w:rsidR="00E80642">
        <w:t xml:space="preserve">07 to 2010-11 which showed there </w:t>
      </w:r>
      <w:r w:rsidR="004E709D">
        <w:t>were 21.3 reported CO injuries for every CO fatality in the UK</w:t>
      </w:r>
      <w:r w:rsidR="006F3155">
        <w:t>.</w:t>
      </w:r>
      <w:r w:rsidR="004E709D">
        <w:rPr>
          <w:rStyle w:val="FootnoteReference"/>
        </w:rPr>
        <w:footnoteReference w:id="95"/>
      </w:r>
      <w:r w:rsidR="000D0B5B">
        <w:t xml:space="preserve"> </w:t>
      </w:r>
      <w:r w:rsidR="006F3155">
        <w:t xml:space="preserve">An article in </w:t>
      </w:r>
      <w:r w:rsidR="00F57A0B">
        <w:t xml:space="preserve">the Journal of Public health in March 2016 </w:t>
      </w:r>
      <w:r w:rsidR="00085370">
        <w:t xml:space="preserve">suggested that for each death there were 5 hospital admissions and </w:t>
      </w:r>
      <w:r w:rsidR="005B1489">
        <w:t>100 Accident and Emergency Department consultations annually.</w:t>
      </w:r>
      <w:r w:rsidR="006642A3">
        <w:rPr>
          <w:rStyle w:val="FootnoteReference"/>
        </w:rPr>
        <w:footnoteReference w:id="96"/>
      </w:r>
      <w:r w:rsidR="00F57A0B">
        <w:t xml:space="preserve"> </w:t>
      </w:r>
      <w:r w:rsidR="00FC75D8">
        <w:t xml:space="preserve">In the US, a 2016 report </w:t>
      </w:r>
      <w:r w:rsidR="00C3363D">
        <w:t xml:space="preserve">(itself based on some of the UK literature) </w:t>
      </w:r>
      <w:r w:rsidR="00174966">
        <w:t>estimated</w:t>
      </w:r>
      <w:r w:rsidR="00FC75D8">
        <w:t xml:space="preserve"> that </w:t>
      </w:r>
      <w:r w:rsidR="00C3363D">
        <w:t>accidental</w:t>
      </w:r>
      <w:r w:rsidR="00FC75D8">
        <w:t>, non-fire related po</w:t>
      </w:r>
      <w:r w:rsidR="00C3363D">
        <w:t>ison</w:t>
      </w:r>
      <w:r w:rsidR="00FC75D8">
        <w:t>ing accounted for over $1.3 billion annually in societal costs each year.</w:t>
      </w:r>
      <w:r w:rsidR="00DD04F3">
        <w:rPr>
          <w:rStyle w:val="FootnoteReference"/>
        </w:rPr>
        <w:footnoteReference w:id="97"/>
      </w:r>
    </w:p>
    <w:p w14:paraId="00403A31" w14:textId="5BDFEF47" w:rsidR="0046036D" w:rsidRPr="00D7409C" w:rsidRDefault="0046036D" w:rsidP="0046036D">
      <w:pPr>
        <w:pStyle w:val="BodyText"/>
      </w:pPr>
      <w:r w:rsidRPr="00D7409C">
        <w:t xml:space="preserve">Due to the generic nature of the symptoms associated with low level CO poisoning, it is likely that a significant number of individuals exposed to CO might not attend a hospital or even seek medical assistance. In cases where a medical practitioner is consulted, individuals suffering from symptoms of low-level CO exposure such as fatigue, headaches and other flu-like symptoms, may be misdiagnosed as suffering from an unrelated illness with similar symptoms. Where CO exposure is suspected, it is also possible that CO concentrations in the affected individuals’ bloodstream may have fallen to undetectable levels by the time of testing. This combination of factors makes it extremely difficult to accurately assess the true extent of accidental CO exposures </w:t>
      </w:r>
      <w:r w:rsidR="00BD4F7D">
        <w:t xml:space="preserve">not leading o fatality </w:t>
      </w:r>
      <w:r w:rsidRPr="00D7409C">
        <w:t>across the state.</w:t>
      </w:r>
      <w:r w:rsidRPr="00D7409C">
        <w:rPr>
          <w:rStyle w:val="FootnoteReference"/>
        </w:rPr>
        <w:footnoteReference w:id="98"/>
      </w:r>
    </w:p>
    <w:p w14:paraId="3F93F570" w14:textId="366A367E" w:rsidR="000025D6" w:rsidRPr="00D7409C" w:rsidRDefault="000025D6" w:rsidP="000025D6">
      <w:pPr>
        <w:pStyle w:val="BodyText"/>
      </w:pPr>
      <w:r w:rsidRPr="00D7409C">
        <w:t xml:space="preserve">Beyond the direct health </w:t>
      </w:r>
      <w:r w:rsidR="00E82A9B">
        <w:t>effects</w:t>
      </w:r>
      <w:r w:rsidR="00E82A9B" w:rsidRPr="00D7409C">
        <w:t xml:space="preserve"> </w:t>
      </w:r>
      <w:r w:rsidRPr="00D7409C">
        <w:t xml:space="preserve">of CO exposure, there are also indirect health impacts </w:t>
      </w:r>
      <w:r w:rsidR="00E82A9B">
        <w:t>can also occur</w:t>
      </w:r>
      <w:r w:rsidRPr="00D7409C">
        <w:t xml:space="preserve">. Symptoms such as fatigue and vertigo typically mean those affected are more likely to become involved in accidents, injuring themselves and/or others. Furthermore, these physical symptoms can also impact individuals’ mental health. </w:t>
      </w:r>
    </w:p>
    <w:p w14:paraId="50339636" w14:textId="1143AAB8" w:rsidR="00175F29" w:rsidRPr="00D7409C" w:rsidRDefault="0046036D" w:rsidP="0046036D">
      <w:pPr>
        <w:rPr>
          <w:noProof/>
          <w:lang w:eastAsia="en-AU"/>
        </w:rPr>
      </w:pPr>
      <w:r w:rsidRPr="00D7409C">
        <w:t xml:space="preserve">The following case studies detail the events that led to </w:t>
      </w:r>
      <w:r w:rsidR="004E18AF">
        <w:t>multiple</w:t>
      </w:r>
      <w:r w:rsidRPr="00D7409C">
        <w:t xml:space="preserve"> non-fatal incidents of CO exposure.</w:t>
      </w:r>
      <w:r w:rsidR="00C92092">
        <w:t xml:space="preserve"> In both cases the </w:t>
      </w:r>
      <w:r w:rsidR="00D35CCC">
        <w:t xml:space="preserve">incidents </w:t>
      </w:r>
      <w:r w:rsidR="00D17D49">
        <w:t>provide an example of the consequences of deficient installation and maintenance practices in the gas industry.</w:t>
      </w:r>
      <w:r w:rsidR="00A278A9" w:rsidRPr="00D7409C">
        <w:rPr>
          <w:noProof/>
          <w:lang w:eastAsia="en-AU"/>
        </w:rPr>
        <w:br/>
      </w:r>
      <w:r w:rsidR="00A278A9" w:rsidRPr="00D7409C">
        <w:rPr>
          <w:noProof/>
          <w:lang w:eastAsia="en-AU"/>
        </w:rPr>
        <w:lastRenderedPageBreak/>
        <w:br/>
      </w:r>
      <w:r w:rsidR="00405499" w:rsidRPr="00D7409C">
        <w:rPr>
          <w:noProof/>
          <w:lang w:eastAsia="en-AU"/>
        </w:rPr>
        <mc:AlternateContent>
          <mc:Choice Requires="wps">
            <w:drawing>
              <wp:inline distT="0" distB="0" distL="0" distR="0" wp14:anchorId="73C74F27" wp14:editId="0786D50A">
                <wp:extent cx="5731510" cy="2462542"/>
                <wp:effectExtent l="0" t="0" r="21590" b="13970"/>
                <wp:docPr id="18" name="Rectangle 18"/>
                <wp:cNvGraphicFramePr/>
                <a:graphic xmlns:a="http://schemas.openxmlformats.org/drawingml/2006/main">
                  <a:graphicData uri="http://schemas.microsoft.com/office/word/2010/wordprocessingShape">
                    <wps:wsp>
                      <wps:cNvSpPr/>
                      <wps:spPr bwMode="gray">
                        <a:xfrm>
                          <a:off x="0" y="0"/>
                          <a:ext cx="5731510" cy="2462542"/>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8DF7616" w14:textId="77777777" w:rsidR="0082085F" w:rsidRPr="00387E1D" w:rsidRDefault="0082085F" w:rsidP="0046036D">
                            <w:pPr>
                              <w:rPr>
                                <w:rFonts w:asciiTheme="majorHAnsi" w:hAnsiTheme="majorHAnsi"/>
                                <w:b/>
                              </w:rPr>
                            </w:pPr>
                            <w:r>
                              <w:rPr>
                                <w:rFonts w:asciiTheme="majorHAnsi" w:hAnsiTheme="majorHAnsi"/>
                                <w:b/>
                              </w:rPr>
                              <w:t>Serious CO poisoning incident (a</w:t>
                            </w:r>
                            <w:r w:rsidRPr="00387E1D">
                              <w:rPr>
                                <w:rFonts w:asciiTheme="majorHAnsi" w:hAnsiTheme="majorHAnsi"/>
                                <w:b/>
                              </w:rPr>
                              <w:t xml:space="preserve">dult </w:t>
                            </w:r>
                            <w:r>
                              <w:rPr>
                                <w:rFonts w:asciiTheme="majorHAnsi" w:hAnsiTheme="majorHAnsi"/>
                                <w:b/>
                              </w:rPr>
                              <w:t>m</w:t>
                            </w:r>
                            <w:r w:rsidRPr="00387E1D">
                              <w:rPr>
                                <w:rFonts w:asciiTheme="majorHAnsi" w:hAnsiTheme="majorHAnsi"/>
                                <w:b/>
                              </w:rPr>
                              <w:t>ale</w:t>
                            </w:r>
                            <w:r>
                              <w:rPr>
                                <w:rFonts w:asciiTheme="majorHAnsi" w:hAnsiTheme="majorHAnsi"/>
                                <w:b/>
                              </w:rPr>
                              <w:t>, 2009)</w:t>
                            </w:r>
                          </w:p>
                          <w:p w14:paraId="3FC1F6DE" w14:textId="1DF15FF2" w:rsidR="0082085F" w:rsidRPr="00387E1D" w:rsidRDefault="0082085F" w:rsidP="0046036D">
                            <w:pPr>
                              <w:spacing w:before="60" w:after="60"/>
                              <w:rPr>
                                <w:rFonts w:asciiTheme="majorHAnsi" w:hAnsiTheme="majorHAnsi" w:cs="Arial"/>
                              </w:rPr>
                            </w:pPr>
                            <w:r w:rsidRPr="00387E1D">
                              <w:rPr>
                                <w:rFonts w:asciiTheme="majorHAnsi" w:hAnsiTheme="majorHAnsi" w:cs="Arial"/>
                              </w:rPr>
                              <w:t xml:space="preserve">ESV investigated a CO related incident at a home in which a man suffered serious </w:t>
                            </w:r>
                            <w:r>
                              <w:rPr>
                                <w:rFonts w:asciiTheme="majorHAnsi" w:hAnsiTheme="majorHAnsi" w:cs="Arial"/>
                              </w:rPr>
                              <w:t>CO</w:t>
                            </w:r>
                            <w:r w:rsidRPr="00387E1D">
                              <w:rPr>
                                <w:rFonts w:asciiTheme="majorHAnsi" w:hAnsiTheme="majorHAnsi" w:cs="Arial"/>
                              </w:rPr>
                              <w:t xml:space="preserve"> poisoning. The victim was then taken to hospital and released a few days later.</w:t>
                            </w:r>
                          </w:p>
                          <w:p w14:paraId="0F288A6D" w14:textId="615533E1" w:rsidR="0082085F" w:rsidRPr="00387E1D" w:rsidRDefault="0082085F" w:rsidP="0046036D">
                            <w:pPr>
                              <w:spacing w:before="60" w:after="60"/>
                              <w:rPr>
                                <w:rFonts w:asciiTheme="majorHAnsi" w:hAnsiTheme="majorHAnsi" w:cs="Arial"/>
                              </w:rPr>
                            </w:pPr>
                            <w:r w:rsidRPr="00387E1D">
                              <w:rPr>
                                <w:rFonts w:asciiTheme="majorHAnsi" w:hAnsiTheme="majorHAnsi" w:cs="Arial"/>
                              </w:rPr>
                              <w:t xml:space="preserve">Investigations showed that a gasfitter had changed out a gas central heating unit </w:t>
                            </w:r>
                            <w:r>
                              <w:rPr>
                                <w:rFonts w:asciiTheme="majorHAnsi" w:hAnsiTheme="majorHAnsi" w:cs="Arial"/>
                              </w:rPr>
                              <w:t xml:space="preserve">(not an OFGSH) </w:t>
                            </w:r>
                            <w:r w:rsidRPr="00387E1D">
                              <w:rPr>
                                <w:rFonts w:asciiTheme="majorHAnsi" w:hAnsiTheme="majorHAnsi" w:cs="Arial"/>
                              </w:rPr>
                              <w:t>and replaced it with a new one. The ventilation was compromised during reinstallation as little consideration was taken as to the correct amount of ventilation required for the new appliance. There was also no return air duct installed.</w:t>
                            </w:r>
                          </w:p>
                          <w:p w14:paraId="21534108" w14:textId="4FFA7A3D" w:rsidR="0082085F" w:rsidRPr="00387E1D" w:rsidRDefault="0082085F" w:rsidP="0046036D">
                            <w:pPr>
                              <w:spacing w:before="60" w:after="120"/>
                              <w:rPr>
                                <w:rFonts w:asciiTheme="majorHAnsi" w:hAnsiTheme="majorHAnsi" w:cs="Arial"/>
                              </w:rPr>
                            </w:pPr>
                            <w:r w:rsidRPr="00387E1D">
                              <w:rPr>
                                <w:rFonts w:asciiTheme="majorHAnsi" w:hAnsiTheme="majorHAnsi" w:cs="Arial"/>
                              </w:rPr>
                              <w:t xml:space="preserve">Indoor exhaust fans were being operated at the time of the incident, creating a negative pressure environment, drawing air from outside the property down the flue, which in turn caused incomplete combustion of the heater’s burners. </w:t>
                            </w:r>
                            <w:r>
                              <w:rPr>
                                <w:rFonts w:asciiTheme="majorHAnsi" w:hAnsiTheme="majorHAnsi" w:cs="Arial"/>
                              </w:rPr>
                              <w:t>CO</w:t>
                            </w:r>
                            <w:r w:rsidRPr="00387E1D">
                              <w:rPr>
                                <w:rFonts w:asciiTheme="majorHAnsi" w:hAnsiTheme="majorHAnsi" w:cs="Arial"/>
                              </w:rPr>
                              <w:t xml:space="preserve"> then </w:t>
                            </w:r>
                            <w:r>
                              <w:rPr>
                                <w:rFonts w:asciiTheme="majorHAnsi" w:hAnsiTheme="majorHAnsi" w:cs="Arial"/>
                              </w:rPr>
                              <w:t>entered</w:t>
                            </w:r>
                            <w:r w:rsidRPr="00387E1D">
                              <w:rPr>
                                <w:rFonts w:asciiTheme="majorHAnsi" w:hAnsiTheme="majorHAnsi" w:cs="Arial"/>
                              </w:rPr>
                              <w:t xml:space="preserve"> the property via the return air duct location of the appliance.</w:t>
                            </w:r>
                          </w:p>
                          <w:p w14:paraId="4E59EC1E" w14:textId="2F5F3AD0" w:rsidR="0082085F" w:rsidRPr="00387E1D" w:rsidRDefault="0082085F" w:rsidP="00405499">
                            <w:pPr>
                              <w:rPr>
                                <w:rFonts w:asciiTheme="majorHAnsi" w:hAnsiTheme="majorHAnsi"/>
                              </w:rPr>
                            </w:pPr>
                            <w:r>
                              <w:rPr>
                                <w:rFonts w:asciiTheme="majorHAnsi" w:hAnsiTheme="majorHAnsi" w:cs="Arial"/>
                              </w:rPr>
                              <w:t>Heater malfunction and maintenance deficiency were cited by ESV as t</w:t>
                            </w:r>
                            <w:r w:rsidRPr="00387E1D">
                              <w:rPr>
                                <w:rFonts w:asciiTheme="majorHAnsi" w:hAnsiTheme="majorHAnsi" w:cs="Arial"/>
                              </w:rPr>
                              <w:t>he causes of this incident</w:t>
                            </w:r>
                            <w:r>
                              <w:rPr>
                                <w:rFonts w:asciiTheme="majorHAnsi" w:hAnsiTheme="majorHAnsi" w:cs="Arial"/>
                              </w:rPr>
                              <w:t>.</w:t>
                            </w: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inline>
            </w:drawing>
          </mc:Choice>
          <mc:Fallback>
            <w:pict>
              <v:rect w14:anchorId="73C74F27" id="Rectangle 18" o:spid="_x0000_s1032" style="width:451.3pt;height:193.9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" fillcolor="white [3201]" strokecolor="#62b5e5 [3206]" strokeweight="2pt">
                <v:textbox inset="7pt,7pt,7pt,7pt">
                  <w:txbxContent>
                    <w:p w14:paraId="48DF7616" w14:textId="77777777" w:rsidR="0082085F" w:rsidRPr="00387E1D" w:rsidRDefault="0082085F" w:rsidP="0046036D">
                      <w:pPr>
                        <w:rPr>
                          <w:rFonts w:asciiTheme="majorHAnsi" w:hAnsiTheme="majorHAnsi"/>
                          <w:b/>
                        </w:rPr>
                      </w:pPr>
                      <w:r>
                        <w:rPr>
                          <w:rFonts w:asciiTheme="majorHAnsi" w:hAnsiTheme="majorHAnsi"/>
                          <w:b/>
                        </w:rPr>
                        <w:t>Serious CO poisoning incident (a</w:t>
                      </w:r>
                      <w:r w:rsidRPr="00387E1D">
                        <w:rPr>
                          <w:rFonts w:asciiTheme="majorHAnsi" w:hAnsiTheme="majorHAnsi"/>
                          <w:b/>
                        </w:rPr>
                        <w:t xml:space="preserve">dult </w:t>
                      </w:r>
                      <w:r>
                        <w:rPr>
                          <w:rFonts w:asciiTheme="majorHAnsi" w:hAnsiTheme="majorHAnsi"/>
                          <w:b/>
                        </w:rPr>
                        <w:t>m</w:t>
                      </w:r>
                      <w:r w:rsidRPr="00387E1D">
                        <w:rPr>
                          <w:rFonts w:asciiTheme="majorHAnsi" w:hAnsiTheme="majorHAnsi"/>
                          <w:b/>
                        </w:rPr>
                        <w:t>ale</w:t>
                      </w:r>
                      <w:r>
                        <w:rPr>
                          <w:rFonts w:asciiTheme="majorHAnsi" w:hAnsiTheme="majorHAnsi"/>
                          <w:b/>
                        </w:rPr>
                        <w:t>, 2009)</w:t>
                      </w:r>
                    </w:p>
                    <w:p w14:paraId="3FC1F6DE" w14:textId="1DF15FF2" w:rsidR="0082085F" w:rsidRPr="00387E1D" w:rsidRDefault="0082085F" w:rsidP="0046036D">
                      <w:pPr>
                        <w:spacing w:before="60" w:after="60"/>
                        <w:rPr>
                          <w:rFonts w:asciiTheme="majorHAnsi" w:hAnsiTheme="majorHAnsi" w:cs="Arial"/>
                        </w:rPr>
                      </w:pPr>
                      <w:r w:rsidRPr="00387E1D">
                        <w:rPr>
                          <w:rFonts w:asciiTheme="majorHAnsi" w:hAnsiTheme="majorHAnsi" w:cs="Arial"/>
                        </w:rPr>
                        <w:t xml:space="preserve">ESV investigated a CO related incident at a home in which a man suffered serious </w:t>
                      </w:r>
                      <w:r>
                        <w:rPr>
                          <w:rFonts w:asciiTheme="majorHAnsi" w:hAnsiTheme="majorHAnsi" w:cs="Arial"/>
                        </w:rPr>
                        <w:t>CO</w:t>
                      </w:r>
                      <w:r w:rsidRPr="00387E1D">
                        <w:rPr>
                          <w:rFonts w:asciiTheme="majorHAnsi" w:hAnsiTheme="majorHAnsi" w:cs="Arial"/>
                        </w:rPr>
                        <w:t xml:space="preserve"> poisoning. The victim was then taken to hospital and released a few days later.</w:t>
                      </w:r>
                    </w:p>
                    <w:p w14:paraId="0F288A6D" w14:textId="615533E1" w:rsidR="0082085F" w:rsidRPr="00387E1D" w:rsidRDefault="0082085F" w:rsidP="0046036D">
                      <w:pPr>
                        <w:spacing w:before="60" w:after="60"/>
                        <w:rPr>
                          <w:rFonts w:asciiTheme="majorHAnsi" w:hAnsiTheme="majorHAnsi" w:cs="Arial"/>
                        </w:rPr>
                      </w:pPr>
                      <w:r w:rsidRPr="00387E1D">
                        <w:rPr>
                          <w:rFonts w:asciiTheme="majorHAnsi" w:hAnsiTheme="majorHAnsi" w:cs="Arial"/>
                        </w:rPr>
                        <w:t xml:space="preserve">Investigations showed that a gasfitter had changed out a gas central heating unit </w:t>
                      </w:r>
                      <w:r>
                        <w:rPr>
                          <w:rFonts w:asciiTheme="majorHAnsi" w:hAnsiTheme="majorHAnsi" w:cs="Arial"/>
                        </w:rPr>
                        <w:t xml:space="preserve">(not an OFGSH) </w:t>
                      </w:r>
                      <w:r w:rsidRPr="00387E1D">
                        <w:rPr>
                          <w:rFonts w:asciiTheme="majorHAnsi" w:hAnsiTheme="majorHAnsi" w:cs="Arial"/>
                        </w:rPr>
                        <w:t>and replaced it with a new one. The ventilation was compromised during reinstallation as little consideration was taken as to the correct amount of ventilation required for the new appliance. There was also no return air duct installed.</w:t>
                      </w:r>
                    </w:p>
                    <w:p w14:paraId="21534108" w14:textId="4FFA7A3D" w:rsidR="0082085F" w:rsidRPr="00387E1D" w:rsidRDefault="0082085F" w:rsidP="0046036D">
                      <w:pPr>
                        <w:spacing w:before="60" w:after="120"/>
                        <w:rPr>
                          <w:rFonts w:asciiTheme="majorHAnsi" w:hAnsiTheme="majorHAnsi" w:cs="Arial"/>
                        </w:rPr>
                      </w:pPr>
                      <w:r w:rsidRPr="00387E1D">
                        <w:rPr>
                          <w:rFonts w:asciiTheme="majorHAnsi" w:hAnsiTheme="majorHAnsi" w:cs="Arial"/>
                        </w:rPr>
                        <w:t xml:space="preserve">Indoor exhaust fans were being operated at the time of the incident, creating a negative pressure environment, drawing air from outside the property down the flue, which in turn caused incomplete combustion of the heater’s burners. </w:t>
                      </w:r>
                      <w:r>
                        <w:rPr>
                          <w:rFonts w:asciiTheme="majorHAnsi" w:hAnsiTheme="majorHAnsi" w:cs="Arial"/>
                        </w:rPr>
                        <w:t>CO</w:t>
                      </w:r>
                      <w:r w:rsidRPr="00387E1D">
                        <w:rPr>
                          <w:rFonts w:asciiTheme="majorHAnsi" w:hAnsiTheme="majorHAnsi" w:cs="Arial"/>
                        </w:rPr>
                        <w:t xml:space="preserve"> then </w:t>
                      </w:r>
                      <w:r>
                        <w:rPr>
                          <w:rFonts w:asciiTheme="majorHAnsi" w:hAnsiTheme="majorHAnsi" w:cs="Arial"/>
                        </w:rPr>
                        <w:t>entered</w:t>
                      </w:r>
                      <w:r w:rsidRPr="00387E1D">
                        <w:rPr>
                          <w:rFonts w:asciiTheme="majorHAnsi" w:hAnsiTheme="majorHAnsi" w:cs="Arial"/>
                        </w:rPr>
                        <w:t xml:space="preserve"> the property via the return air duct location of the appliance.</w:t>
                      </w:r>
                    </w:p>
                    <w:p w14:paraId="4E59EC1E" w14:textId="2F5F3AD0" w:rsidR="0082085F" w:rsidRPr="00387E1D" w:rsidRDefault="0082085F" w:rsidP="00405499">
                      <w:pPr>
                        <w:rPr>
                          <w:rFonts w:asciiTheme="majorHAnsi" w:hAnsiTheme="majorHAnsi"/>
                        </w:rPr>
                      </w:pPr>
                      <w:r>
                        <w:rPr>
                          <w:rFonts w:asciiTheme="majorHAnsi" w:hAnsiTheme="majorHAnsi" w:cs="Arial"/>
                        </w:rPr>
                        <w:t>Heater malfunction and maintenance deficiency were cited by ESV as t</w:t>
                      </w:r>
                      <w:r w:rsidRPr="00387E1D">
                        <w:rPr>
                          <w:rFonts w:asciiTheme="majorHAnsi" w:hAnsiTheme="majorHAnsi" w:cs="Arial"/>
                        </w:rPr>
                        <w:t>he causes of this incident</w:t>
                      </w:r>
                      <w:r>
                        <w:rPr>
                          <w:rFonts w:asciiTheme="majorHAnsi" w:hAnsiTheme="majorHAnsi" w:cs="Arial"/>
                        </w:rPr>
                        <w:t>.</w:t>
                      </w:r>
                    </w:p>
                  </w:txbxContent>
                </v:textbox>
                <w10:anchorlock/>
              </v:rect>
            </w:pict>
          </mc:Fallback>
        </mc:AlternateContent>
      </w:r>
    </w:p>
    <w:p w14:paraId="14308E1B" w14:textId="77777777" w:rsidR="00271480" w:rsidRPr="00D7409C" w:rsidRDefault="00271480" w:rsidP="00271480">
      <w:pPr>
        <w:pStyle w:val="Source"/>
      </w:pPr>
      <w:r w:rsidRPr="00D7409C">
        <w:t>Source: Gas fatalities and injuries by open flued heater incident reports, provided to Deloitte Access Economics by DELWP</w:t>
      </w:r>
    </w:p>
    <w:p w14:paraId="0A642F30" w14:textId="77777777" w:rsidR="00271480" w:rsidRPr="00D7409C" w:rsidRDefault="00271480" w:rsidP="00096B3A">
      <w:pPr>
        <w:spacing w:after="120"/>
        <w:rPr>
          <w:lang w:eastAsia="en-AU"/>
        </w:rPr>
      </w:pPr>
    </w:p>
    <w:p w14:paraId="5276A193" w14:textId="1E603EE4" w:rsidR="006E147C" w:rsidRPr="00D7409C" w:rsidRDefault="006E147C" w:rsidP="003A6FE1">
      <w:r w:rsidRPr="00D7409C">
        <w:rPr>
          <w:noProof/>
          <w:lang w:eastAsia="en-AU"/>
        </w:rPr>
        <mc:AlternateContent>
          <mc:Choice Requires="wps">
            <w:drawing>
              <wp:inline distT="0" distB="0" distL="0" distR="0" wp14:anchorId="6D59850C" wp14:editId="60A00EBA">
                <wp:extent cx="5731510" cy="1484630"/>
                <wp:effectExtent l="0" t="0" r="21590" b="20320"/>
                <wp:docPr id="26" name="Rectangle 26"/>
                <wp:cNvGraphicFramePr/>
                <a:graphic xmlns:a="http://schemas.openxmlformats.org/drawingml/2006/main">
                  <a:graphicData uri="http://schemas.microsoft.com/office/word/2010/wordprocessingShape">
                    <wps:wsp>
                      <wps:cNvSpPr/>
                      <wps:spPr bwMode="gray">
                        <a:xfrm>
                          <a:off x="0" y="0"/>
                          <a:ext cx="5731510" cy="148463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79D64471" w14:textId="77777777" w:rsidR="0082085F" w:rsidRPr="00387E1D" w:rsidRDefault="0082085F" w:rsidP="0046036D">
                            <w:pPr>
                              <w:rPr>
                                <w:rFonts w:asciiTheme="majorHAnsi" w:hAnsiTheme="majorHAnsi"/>
                                <w:b/>
                              </w:rPr>
                            </w:pPr>
                            <w:r>
                              <w:rPr>
                                <w:rFonts w:asciiTheme="majorHAnsi" w:hAnsiTheme="majorHAnsi"/>
                                <w:b/>
                              </w:rPr>
                              <w:t>Serious CO poisoning incident (a</w:t>
                            </w:r>
                            <w:r w:rsidRPr="00387E1D">
                              <w:rPr>
                                <w:rFonts w:asciiTheme="majorHAnsi" w:hAnsiTheme="majorHAnsi"/>
                                <w:b/>
                              </w:rPr>
                              <w:t xml:space="preserve">dult </w:t>
                            </w:r>
                            <w:r>
                              <w:rPr>
                                <w:rFonts w:asciiTheme="majorHAnsi" w:hAnsiTheme="majorHAnsi"/>
                                <w:b/>
                              </w:rPr>
                              <w:t>female, 2010)</w:t>
                            </w:r>
                          </w:p>
                          <w:p w14:paraId="2C0C8E46" w14:textId="77777777" w:rsidR="0082085F" w:rsidRDefault="0082085F" w:rsidP="0046036D">
                            <w:pPr>
                              <w:spacing w:before="60" w:after="60"/>
                              <w:rPr>
                                <w:rFonts w:asciiTheme="majorHAnsi" w:hAnsiTheme="majorHAnsi" w:cs="Arial"/>
                              </w:rPr>
                            </w:pPr>
                            <w:r w:rsidRPr="003A6FE1">
                              <w:rPr>
                                <w:rFonts w:asciiTheme="majorHAnsi" w:hAnsiTheme="majorHAnsi" w:cs="Arial"/>
                              </w:rPr>
                              <w:t>A</w:t>
                            </w:r>
                            <w:r>
                              <w:rPr>
                                <w:rFonts w:asciiTheme="majorHAnsi" w:hAnsiTheme="majorHAnsi" w:cs="Arial"/>
                              </w:rPr>
                              <w:t>n adult f</w:t>
                            </w:r>
                            <w:r w:rsidRPr="003A6FE1">
                              <w:rPr>
                                <w:rFonts w:asciiTheme="majorHAnsi" w:hAnsiTheme="majorHAnsi" w:cs="Arial"/>
                              </w:rPr>
                              <w:t xml:space="preserve">emale </w:t>
                            </w:r>
                            <w:r>
                              <w:rPr>
                                <w:rFonts w:asciiTheme="majorHAnsi" w:hAnsiTheme="majorHAnsi" w:cs="Arial"/>
                              </w:rPr>
                              <w:t>was</w:t>
                            </w:r>
                            <w:r w:rsidRPr="003A6FE1">
                              <w:rPr>
                                <w:rFonts w:asciiTheme="majorHAnsi" w:hAnsiTheme="majorHAnsi" w:cs="Arial"/>
                              </w:rPr>
                              <w:t xml:space="preserve"> admitted to hospital and was treated for CO poisoning.  </w:t>
                            </w:r>
                          </w:p>
                          <w:p w14:paraId="78BAEA91" w14:textId="0829DC67" w:rsidR="0082085F" w:rsidRDefault="0082085F" w:rsidP="0046036D">
                            <w:pPr>
                              <w:spacing w:before="60" w:after="60"/>
                              <w:rPr>
                                <w:rFonts w:asciiTheme="majorHAnsi" w:hAnsiTheme="majorHAnsi" w:cs="Arial"/>
                              </w:rPr>
                            </w:pPr>
                            <w:r w:rsidRPr="003A6FE1">
                              <w:rPr>
                                <w:rFonts w:asciiTheme="majorHAnsi" w:hAnsiTheme="majorHAnsi" w:cs="Arial"/>
                              </w:rPr>
                              <w:t>The</w:t>
                            </w:r>
                            <w:r>
                              <w:rPr>
                                <w:rFonts w:asciiTheme="majorHAnsi" w:hAnsiTheme="majorHAnsi" w:cs="Arial"/>
                              </w:rPr>
                              <w:t xml:space="preserve"> open flued gas </w:t>
                            </w:r>
                            <w:r w:rsidRPr="003A6FE1">
                              <w:rPr>
                                <w:rFonts w:asciiTheme="majorHAnsi" w:hAnsiTheme="majorHAnsi" w:cs="Arial"/>
                              </w:rPr>
                              <w:t>heater and chimney cowl at the property had recently been changed</w:t>
                            </w:r>
                            <w:r>
                              <w:rPr>
                                <w:rFonts w:asciiTheme="majorHAnsi" w:hAnsiTheme="majorHAnsi" w:cs="Arial"/>
                              </w:rPr>
                              <w:t>.</w:t>
                            </w:r>
                            <w:r w:rsidRPr="003A6FE1">
                              <w:rPr>
                                <w:rFonts w:asciiTheme="majorHAnsi" w:hAnsiTheme="majorHAnsi" w:cs="Arial"/>
                              </w:rPr>
                              <w:t xml:space="preserve"> </w:t>
                            </w:r>
                            <w:r>
                              <w:rPr>
                                <w:rFonts w:asciiTheme="majorHAnsi" w:hAnsiTheme="majorHAnsi" w:cs="Arial"/>
                              </w:rPr>
                              <w:t>A</w:t>
                            </w:r>
                            <w:r w:rsidRPr="003A6FE1">
                              <w:rPr>
                                <w:rFonts w:asciiTheme="majorHAnsi" w:hAnsiTheme="majorHAnsi" w:cs="Arial"/>
                              </w:rPr>
                              <w:t xml:space="preserve"> CO reading of 3-4 ppm was recorded after the appliance installation</w:t>
                            </w:r>
                            <w:r>
                              <w:rPr>
                                <w:rFonts w:asciiTheme="majorHAnsi" w:hAnsiTheme="majorHAnsi" w:cs="Arial"/>
                              </w:rPr>
                              <w:t xml:space="preserve">. This </w:t>
                            </w:r>
                            <w:r w:rsidRPr="003A6FE1">
                              <w:rPr>
                                <w:rFonts w:asciiTheme="majorHAnsi" w:hAnsiTheme="majorHAnsi" w:cs="Arial"/>
                              </w:rPr>
                              <w:t xml:space="preserve">was considered </w:t>
                            </w:r>
                            <w:r>
                              <w:rPr>
                                <w:rFonts w:asciiTheme="majorHAnsi" w:hAnsiTheme="majorHAnsi" w:cs="Arial"/>
                              </w:rPr>
                              <w:t>to be</w:t>
                            </w:r>
                            <w:r w:rsidRPr="003A6FE1">
                              <w:rPr>
                                <w:rFonts w:asciiTheme="majorHAnsi" w:hAnsiTheme="majorHAnsi" w:cs="Arial"/>
                              </w:rPr>
                              <w:t xml:space="preserve"> a normal CO reading. </w:t>
                            </w:r>
                          </w:p>
                          <w:p w14:paraId="35C5C665" w14:textId="77777777" w:rsidR="0082085F" w:rsidRPr="00387E1D" w:rsidRDefault="0082085F" w:rsidP="0046036D">
                            <w:pPr>
                              <w:spacing w:before="60" w:after="60"/>
                              <w:rPr>
                                <w:rFonts w:asciiTheme="majorHAnsi" w:hAnsiTheme="majorHAnsi"/>
                              </w:rPr>
                            </w:pPr>
                            <w:r>
                              <w:rPr>
                                <w:rFonts w:asciiTheme="majorHAnsi" w:hAnsiTheme="majorHAnsi" w:cs="Arial"/>
                              </w:rPr>
                              <w:t>A</w:t>
                            </w:r>
                            <w:r w:rsidRPr="003A6FE1">
                              <w:rPr>
                                <w:rFonts w:asciiTheme="majorHAnsi" w:hAnsiTheme="majorHAnsi" w:cs="Arial"/>
                              </w:rPr>
                              <w:t xml:space="preserve"> male tenant </w:t>
                            </w:r>
                            <w:r>
                              <w:rPr>
                                <w:rFonts w:asciiTheme="majorHAnsi" w:hAnsiTheme="majorHAnsi" w:cs="Arial"/>
                              </w:rPr>
                              <w:t>who had also been living at</w:t>
                            </w:r>
                            <w:r w:rsidRPr="003A6FE1">
                              <w:rPr>
                                <w:rFonts w:asciiTheme="majorHAnsi" w:hAnsiTheme="majorHAnsi" w:cs="Arial"/>
                              </w:rPr>
                              <w:t xml:space="preserve"> this property also stated that he </w:t>
                            </w:r>
                            <w:r>
                              <w:rPr>
                                <w:rFonts w:asciiTheme="majorHAnsi" w:hAnsiTheme="majorHAnsi" w:cs="Arial"/>
                              </w:rPr>
                              <w:t>had the</w:t>
                            </w:r>
                            <w:r w:rsidRPr="003A6FE1">
                              <w:rPr>
                                <w:rFonts w:asciiTheme="majorHAnsi" w:hAnsiTheme="majorHAnsi" w:cs="Arial"/>
                              </w:rPr>
                              <w:t xml:space="preserve"> same symptoms.</w:t>
                            </w:r>
                          </w:p>
                          <w:p w14:paraId="61A708D6" w14:textId="0E01E5B7" w:rsidR="0082085F" w:rsidRPr="00387E1D" w:rsidRDefault="0082085F" w:rsidP="006E147C">
                            <w:pPr>
                              <w:spacing w:before="60" w:after="60"/>
                              <w:rPr>
                                <w:rFonts w:asciiTheme="majorHAnsi" w:hAnsiTheme="majorHAnsi"/>
                              </w:rPr>
                            </w:pP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inline>
            </w:drawing>
          </mc:Choice>
          <mc:Fallback>
            <w:pict>
              <v:rect w14:anchorId="6D59850C" id="Rectangle 26" o:spid="_x0000_s1033" style="width:451.3pt;height:116.9pt;visibility:visible;mso-wrap-style:square;mso-left-percent:-10001;mso-top-percent:-10001;mso-position-horizontal:absolute;mso-position-horizontal-relative:char;mso-position-vertical:absolute;mso-position-vertical-relative:line;mso-left-percent:-10001;mso-top-percent:-10001;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" fillcolor="white [3201]" strokecolor="#62b5e5 [3206]" strokeweight="2pt">
                <v:textbox inset="7pt,7pt,7pt,7pt">
                  <w:txbxContent>
                    <w:p w14:paraId="79D64471" w14:textId="77777777" w:rsidR="0082085F" w:rsidRPr="00387E1D" w:rsidRDefault="0082085F" w:rsidP="0046036D">
                      <w:pPr>
                        <w:rPr>
                          <w:rFonts w:asciiTheme="majorHAnsi" w:hAnsiTheme="majorHAnsi"/>
                          <w:b/>
                        </w:rPr>
                      </w:pPr>
                      <w:r>
                        <w:rPr>
                          <w:rFonts w:asciiTheme="majorHAnsi" w:hAnsiTheme="majorHAnsi"/>
                          <w:b/>
                        </w:rPr>
                        <w:t>Serious CO poisoning incident (a</w:t>
                      </w:r>
                      <w:r w:rsidRPr="00387E1D">
                        <w:rPr>
                          <w:rFonts w:asciiTheme="majorHAnsi" w:hAnsiTheme="majorHAnsi"/>
                          <w:b/>
                        </w:rPr>
                        <w:t xml:space="preserve">dult </w:t>
                      </w:r>
                      <w:r>
                        <w:rPr>
                          <w:rFonts w:asciiTheme="majorHAnsi" w:hAnsiTheme="majorHAnsi"/>
                          <w:b/>
                        </w:rPr>
                        <w:t>female, 2010)</w:t>
                      </w:r>
                    </w:p>
                    <w:p w14:paraId="2C0C8E46" w14:textId="77777777" w:rsidR="0082085F" w:rsidRDefault="0082085F" w:rsidP="0046036D">
                      <w:pPr>
                        <w:spacing w:before="60" w:after="60"/>
                        <w:rPr>
                          <w:rFonts w:asciiTheme="majorHAnsi" w:hAnsiTheme="majorHAnsi" w:cs="Arial"/>
                        </w:rPr>
                      </w:pPr>
                      <w:r w:rsidRPr="003A6FE1">
                        <w:rPr>
                          <w:rFonts w:asciiTheme="majorHAnsi" w:hAnsiTheme="majorHAnsi" w:cs="Arial"/>
                        </w:rPr>
                        <w:t>A</w:t>
                      </w:r>
                      <w:r>
                        <w:rPr>
                          <w:rFonts w:asciiTheme="majorHAnsi" w:hAnsiTheme="majorHAnsi" w:cs="Arial"/>
                        </w:rPr>
                        <w:t>n adult f</w:t>
                      </w:r>
                      <w:r w:rsidRPr="003A6FE1">
                        <w:rPr>
                          <w:rFonts w:asciiTheme="majorHAnsi" w:hAnsiTheme="majorHAnsi" w:cs="Arial"/>
                        </w:rPr>
                        <w:t xml:space="preserve">emale </w:t>
                      </w:r>
                      <w:r>
                        <w:rPr>
                          <w:rFonts w:asciiTheme="majorHAnsi" w:hAnsiTheme="majorHAnsi" w:cs="Arial"/>
                        </w:rPr>
                        <w:t>was</w:t>
                      </w:r>
                      <w:r w:rsidRPr="003A6FE1">
                        <w:rPr>
                          <w:rFonts w:asciiTheme="majorHAnsi" w:hAnsiTheme="majorHAnsi" w:cs="Arial"/>
                        </w:rPr>
                        <w:t xml:space="preserve"> admitted to hospital and was treated for CO poisoning.  </w:t>
                      </w:r>
                    </w:p>
                    <w:p w14:paraId="78BAEA91" w14:textId="0829DC67" w:rsidR="0082085F" w:rsidRDefault="0082085F" w:rsidP="0046036D">
                      <w:pPr>
                        <w:spacing w:before="60" w:after="60"/>
                        <w:rPr>
                          <w:rFonts w:asciiTheme="majorHAnsi" w:hAnsiTheme="majorHAnsi" w:cs="Arial"/>
                        </w:rPr>
                      </w:pPr>
                      <w:r w:rsidRPr="003A6FE1">
                        <w:rPr>
                          <w:rFonts w:asciiTheme="majorHAnsi" w:hAnsiTheme="majorHAnsi" w:cs="Arial"/>
                        </w:rPr>
                        <w:t>The</w:t>
                      </w:r>
                      <w:r>
                        <w:rPr>
                          <w:rFonts w:asciiTheme="majorHAnsi" w:hAnsiTheme="majorHAnsi" w:cs="Arial"/>
                        </w:rPr>
                        <w:t xml:space="preserve"> open flued gas </w:t>
                      </w:r>
                      <w:r w:rsidRPr="003A6FE1">
                        <w:rPr>
                          <w:rFonts w:asciiTheme="majorHAnsi" w:hAnsiTheme="majorHAnsi" w:cs="Arial"/>
                        </w:rPr>
                        <w:t>heater and chimney cowl at the property had recently been changed</w:t>
                      </w:r>
                      <w:r>
                        <w:rPr>
                          <w:rFonts w:asciiTheme="majorHAnsi" w:hAnsiTheme="majorHAnsi" w:cs="Arial"/>
                        </w:rPr>
                        <w:t>.</w:t>
                      </w:r>
                      <w:r w:rsidRPr="003A6FE1">
                        <w:rPr>
                          <w:rFonts w:asciiTheme="majorHAnsi" w:hAnsiTheme="majorHAnsi" w:cs="Arial"/>
                        </w:rPr>
                        <w:t xml:space="preserve"> </w:t>
                      </w:r>
                      <w:r>
                        <w:rPr>
                          <w:rFonts w:asciiTheme="majorHAnsi" w:hAnsiTheme="majorHAnsi" w:cs="Arial"/>
                        </w:rPr>
                        <w:t>A</w:t>
                      </w:r>
                      <w:r w:rsidRPr="003A6FE1">
                        <w:rPr>
                          <w:rFonts w:asciiTheme="majorHAnsi" w:hAnsiTheme="majorHAnsi" w:cs="Arial"/>
                        </w:rPr>
                        <w:t xml:space="preserve"> CO reading of 3-4 ppm was recorded after the appliance installation</w:t>
                      </w:r>
                      <w:r>
                        <w:rPr>
                          <w:rFonts w:asciiTheme="majorHAnsi" w:hAnsiTheme="majorHAnsi" w:cs="Arial"/>
                        </w:rPr>
                        <w:t xml:space="preserve">. This </w:t>
                      </w:r>
                      <w:r w:rsidRPr="003A6FE1">
                        <w:rPr>
                          <w:rFonts w:asciiTheme="majorHAnsi" w:hAnsiTheme="majorHAnsi" w:cs="Arial"/>
                        </w:rPr>
                        <w:t xml:space="preserve">was considered </w:t>
                      </w:r>
                      <w:r>
                        <w:rPr>
                          <w:rFonts w:asciiTheme="majorHAnsi" w:hAnsiTheme="majorHAnsi" w:cs="Arial"/>
                        </w:rPr>
                        <w:t>to be</w:t>
                      </w:r>
                      <w:r w:rsidRPr="003A6FE1">
                        <w:rPr>
                          <w:rFonts w:asciiTheme="majorHAnsi" w:hAnsiTheme="majorHAnsi" w:cs="Arial"/>
                        </w:rPr>
                        <w:t xml:space="preserve"> a normal CO reading. </w:t>
                      </w:r>
                    </w:p>
                    <w:p w14:paraId="35C5C665" w14:textId="77777777" w:rsidR="0082085F" w:rsidRPr="00387E1D" w:rsidRDefault="0082085F" w:rsidP="0046036D">
                      <w:pPr>
                        <w:spacing w:before="60" w:after="60"/>
                        <w:rPr>
                          <w:rFonts w:asciiTheme="majorHAnsi" w:hAnsiTheme="majorHAnsi"/>
                        </w:rPr>
                      </w:pPr>
                      <w:r>
                        <w:rPr>
                          <w:rFonts w:asciiTheme="majorHAnsi" w:hAnsiTheme="majorHAnsi" w:cs="Arial"/>
                        </w:rPr>
                        <w:t>A</w:t>
                      </w:r>
                      <w:r w:rsidRPr="003A6FE1">
                        <w:rPr>
                          <w:rFonts w:asciiTheme="majorHAnsi" w:hAnsiTheme="majorHAnsi" w:cs="Arial"/>
                        </w:rPr>
                        <w:t xml:space="preserve"> male tenant </w:t>
                      </w:r>
                      <w:r>
                        <w:rPr>
                          <w:rFonts w:asciiTheme="majorHAnsi" w:hAnsiTheme="majorHAnsi" w:cs="Arial"/>
                        </w:rPr>
                        <w:t>who had also been living at</w:t>
                      </w:r>
                      <w:r w:rsidRPr="003A6FE1">
                        <w:rPr>
                          <w:rFonts w:asciiTheme="majorHAnsi" w:hAnsiTheme="majorHAnsi" w:cs="Arial"/>
                        </w:rPr>
                        <w:t xml:space="preserve"> this property also stated that he </w:t>
                      </w:r>
                      <w:r>
                        <w:rPr>
                          <w:rFonts w:asciiTheme="majorHAnsi" w:hAnsiTheme="majorHAnsi" w:cs="Arial"/>
                        </w:rPr>
                        <w:t>had the</w:t>
                      </w:r>
                      <w:r w:rsidRPr="003A6FE1">
                        <w:rPr>
                          <w:rFonts w:asciiTheme="majorHAnsi" w:hAnsiTheme="majorHAnsi" w:cs="Arial"/>
                        </w:rPr>
                        <w:t xml:space="preserve"> same symptoms.</w:t>
                      </w:r>
                    </w:p>
                    <w:p w14:paraId="61A708D6" w14:textId="0E01E5B7" w:rsidR="0082085F" w:rsidRPr="00387E1D" w:rsidRDefault="0082085F" w:rsidP="006E147C">
                      <w:pPr>
                        <w:spacing w:before="60" w:after="60"/>
                        <w:rPr>
                          <w:rFonts w:asciiTheme="majorHAnsi" w:hAnsiTheme="majorHAnsi"/>
                        </w:rPr>
                      </w:pPr>
                    </w:p>
                  </w:txbxContent>
                </v:textbox>
                <w10:anchorlock/>
              </v:rect>
            </w:pict>
          </mc:Fallback>
        </mc:AlternateContent>
      </w:r>
    </w:p>
    <w:p w14:paraId="28219062" w14:textId="54792204" w:rsidR="00215161" w:rsidRPr="00D7409C" w:rsidRDefault="00215161" w:rsidP="00730E99">
      <w:pPr>
        <w:pStyle w:val="Source"/>
      </w:pPr>
      <w:r w:rsidRPr="00D7409C">
        <w:t xml:space="preserve">Source: Gas fatalities and injuries by </w:t>
      </w:r>
      <w:r w:rsidR="002E2756" w:rsidRPr="00D7409C">
        <w:t xml:space="preserve">open flued </w:t>
      </w:r>
      <w:r w:rsidRPr="00D7409C">
        <w:t>heater incident reports, provided to Deloitte Access Economics by DELWP</w:t>
      </w:r>
    </w:p>
    <w:p w14:paraId="367AD7F6" w14:textId="135C77BE" w:rsidR="00632363" w:rsidRPr="00D7409C" w:rsidRDefault="00632363" w:rsidP="002C6D25">
      <w:pPr>
        <w:pStyle w:val="Heading3"/>
      </w:pPr>
      <w:r w:rsidRPr="00D7409C">
        <w:t>ESV audit data</w:t>
      </w:r>
    </w:p>
    <w:p w14:paraId="5655A261" w14:textId="008A8A3E" w:rsidR="00F45109" w:rsidRPr="00DA0E5F" w:rsidRDefault="006E4887" w:rsidP="002C6D25">
      <w:pPr>
        <w:pStyle w:val="BodyText"/>
      </w:pPr>
      <w:r w:rsidRPr="00D7409C">
        <w:t>ESV audit data</w:t>
      </w:r>
      <w:r w:rsidR="00632363" w:rsidRPr="00D7409C">
        <w:t xml:space="preserve"> shows just over 11.2 per cent of households tested in a non-random audit program</w:t>
      </w:r>
      <w:r w:rsidR="00A44984">
        <w:rPr>
          <w:rStyle w:val="FootnoteReference"/>
        </w:rPr>
        <w:footnoteReference w:id="99"/>
      </w:r>
      <w:r w:rsidR="00632363" w:rsidRPr="00D7409C">
        <w:t xml:space="preserve"> (conducted following a serious non-fatal incident in August 2018) had OFGSH</w:t>
      </w:r>
      <w:r w:rsidR="00761BAA" w:rsidRPr="00D7409C">
        <w:t>s</w:t>
      </w:r>
      <w:r w:rsidR="00632363" w:rsidRPr="00D7409C">
        <w:t xml:space="preserve"> which had serious levels of CO spillage, and 60 per cent had </w:t>
      </w:r>
      <w:r w:rsidR="00A77416" w:rsidRPr="00D7409C">
        <w:t xml:space="preserve">a </w:t>
      </w:r>
      <w:r w:rsidR="00632363" w:rsidRPr="00D7409C">
        <w:t xml:space="preserve">negative pressure environment (not directly hazardous by itself but extremely hazardous if a problem occurs with the </w:t>
      </w:r>
      <w:r w:rsidR="000932DA">
        <w:t xml:space="preserve">OFGSH </w:t>
      </w:r>
      <w:r w:rsidR="00632363" w:rsidRPr="00D7409C">
        <w:t>appliance which causes spillage)</w:t>
      </w:r>
      <w:r w:rsidR="00A77416" w:rsidRPr="00D7409C">
        <w:t>.</w:t>
      </w:r>
      <w:r w:rsidRPr="00D7409C">
        <w:rPr>
          <w:rStyle w:val="FootnoteReference"/>
        </w:rPr>
        <w:footnoteReference w:id="100"/>
      </w:r>
      <w:r w:rsidR="00A77416" w:rsidRPr="00D7409C">
        <w:t xml:space="preserve"> </w:t>
      </w:r>
      <w:r w:rsidR="00A77416" w:rsidRPr="00530DA5">
        <w:t xml:space="preserve">While </w:t>
      </w:r>
      <w:r w:rsidR="006A5D32" w:rsidRPr="00530DA5">
        <w:t xml:space="preserve">further information about actual consequences of these conditions is not available, </w:t>
      </w:r>
      <w:r w:rsidR="00FB22C1" w:rsidRPr="000276F0">
        <w:t>it is reasonable to assume</w:t>
      </w:r>
      <w:r w:rsidR="006A5D32" w:rsidRPr="00530DA5">
        <w:t xml:space="preserve"> that some </w:t>
      </w:r>
      <w:r w:rsidR="00A67DC0" w:rsidRPr="00530DA5">
        <w:t>CO exposure occur</w:t>
      </w:r>
      <w:r w:rsidR="00EB3F21" w:rsidRPr="00530DA5">
        <w:t>red</w:t>
      </w:r>
      <w:r w:rsidR="00A67DC0" w:rsidRPr="00530DA5">
        <w:t xml:space="preserve"> as a result</w:t>
      </w:r>
      <w:r w:rsidR="00EB3F21" w:rsidRPr="00530DA5">
        <w:t xml:space="preserve"> of the spillage</w:t>
      </w:r>
      <w:r w:rsidR="00A67DC0" w:rsidRPr="00530DA5">
        <w:t>.</w:t>
      </w:r>
      <w:r w:rsidR="00632363" w:rsidRPr="00530DA5">
        <w:t xml:space="preserve">  </w:t>
      </w:r>
      <w:r w:rsidR="00A67DC0" w:rsidRPr="00530DA5">
        <w:t xml:space="preserve">In the absence of evidence </w:t>
      </w:r>
      <w:r w:rsidR="00935ADA" w:rsidRPr="00530DA5">
        <w:t xml:space="preserve">describing the </w:t>
      </w:r>
      <w:r w:rsidR="00A67DC0" w:rsidRPr="00530DA5">
        <w:t xml:space="preserve">number </w:t>
      </w:r>
      <w:r w:rsidR="002C6D25" w:rsidRPr="00530DA5">
        <w:t>and</w:t>
      </w:r>
      <w:r w:rsidR="00A67DC0" w:rsidRPr="00530DA5">
        <w:t xml:space="preserve"> impact of </w:t>
      </w:r>
      <w:r w:rsidR="00965D88" w:rsidRPr="00530DA5">
        <w:t>low-level</w:t>
      </w:r>
      <w:r w:rsidR="00A67DC0" w:rsidRPr="00530DA5">
        <w:t xml:space="preserve"> illnesses from </w:t>
      </w:r>
      <w:r w:rsidR="000932DA" w:rsidRPr="00530DA5">
        <w:t>OFGSH</w:t>
      </w:r>
      <w:r w:rsidR="000932DA">
        <w:t xml:space="preserve"> </w:t>
      </w:r>
      <w:r w:rsidR="00F1106A" w:rsidRPr="00D7409C">
        <w:t xml:space="preserve">related </w:t>
      </w:r>
      <w:r w:rsidR="00A67DC0" w:rsidRPr="00D7409C">
        <w:t xml:space="preserve">CO exposure, </w:t>
      </w:r>
      <w:r w:rsidR="00F03EEB" w:rsidRPr="00D7409C">
        <w:t>assumptions based on these au</w:t>
      </w:r>
      <w:r w:rsidR="00A67DC0" w:rsidRPr="00D7409C">
        <w:t xml:space="preserve">dit numbers are used in Chapter </w:t>
      </w:r>
      <w:r w:rsidR="00782DEC" w:rsidRPr="00D7409C">
        <w:t>4 to</w:t>
      </w:r>
      <w:r w:rsidR="00A67DC0" w:rsidRPr="00D7409C">
        <w:t xml:space="preserve"> forecast </w:t>
      </w:r>
      <w:r w:rsidR="00782DEC" w:rsidRPr="00DA0E5F">
        <w:t>benefits of avoided low level illness.</w:t>
      </w:r>
      <w:r w:rsidR="00F03EEB" w:rsidRPr="00DA0E5F">
        <w:rPr>
          <w:rStyle w:val="FootnoteReference"/>
        </w:rPr>
        <w:footnoteReference w:id="101"/>
      </w:r>
      <w:r w:rsidR="00782DEC" w:rsidRPr="00DA0E5F">
        <w:t xml:space="preserve"> </w:t>
      </w:r>
    </w:p>
    <w:p w14:paraId="361DF499" w14:textId="2345D2F7" w:rsidR="003E370B" w:rsidRPr="00FF5BFF" w:rsidRDefault="003E370B" w:rsidP="00FF5BFF">
      <w:pPr>
        <w:pStyle w:val="Heading3"/>
        <w:numPr>
          <w:ilvl w:val="1"/>
          <w:numId w:val="172"/>
        </w:numPr>
        <w:rPr>
          <w:color w:val="62B5E5" w:themeColor="accent3"/>
        </w:rPr>
      </w:pPr>
      <w:r w:rsidRPr="00FF5BFF">
        <w:rPr>
          <w:color w:val="62B5E5" w:themeColor="accent3"/>
        </w:rPr>
        <w:t xml:space="preserve">Objective </w:t>
      </w:r>
    </w:p>
    <w:p w14:paraId="43771900" w14:textId="43750176" w:rsidR="00151B0D" w:rsidRPr="001A61E6" w:rsidRDefault="00151B0D" w:rsidP="00151B0D">
      <w:pPr>
        <w:pStyle w:val="BodyText"/>
        <w:rPr>
          <w:rFonts w:eastAsia="Times New Roman"/>
        </w:rPr>
      </w:pPr>
      <w:r w:rsidRPr="001A61E6">
        <w:t xml:space="preserve">The primary objective is to ensure the </w:t>
      </w:r>
      <w:r w:rsidR="00421E69">
        <w:t xml:space="preserve">health and </w:t>
      </w:r>
      <w:r w:rsidRPr="001A61E6">
        <w:t xml:space="preserve">safety of the community by reducing the risk of CO exposure from </w:t>
      </w:r>
      <w:r w:rsidR="00ED07ED">
        <w:t xml:space="preserve">new </w:t>
      </w:r>
      <w:r w:rsidRPr="001A61E6">
        <w:t>OFGSHs in Victoria. Other considerations are</w:t>
      </w:r>
      <w:r w:rsidR="00C13D5B">
        <w:t xml:space="preserve"> to</w:t>
      </w:r>
      <w:r w:rsidRPr="001A61E6">
        <w:t>:</w:t>
      </w:r>
    </w:p>
    <w:p w14:paraId="4B06E76C" w14:textId="77777777" w:rsidR="00151B0D" w:rsidRPr="001A61E6" w:rsidRDefault="00151B0D" w:rsidP="00151B0D">
      <w:pPr>
        <w:numPr>
          <w:ilvl w:val="0"/>
          <w:numId w:val="36"/>
        </w:numPr>
        <w:spacing w:after="0" w:line="240" w:lineRule="auto"/>
        <w:rPr>
          <w:rFonts w:eastAsia="Times New Roman"/>
        </w:rPr>
      </w:pPr>
      <w:r w:rsidRPr="001A61E6">
        <w:rPr>
          <w:rFonts w:eastAsia="Times New Roman"/>
        </w:rPr>
        <w:t>Ensure people have continued access to heating</w:t>
      </w:r>
    </w:p>
    <w:p w14:paraId="62E8EC94" w14:textId="7AC5EB8C" w:rsidR="00151B0D" w:rsidRPr="001A61E6" w:rsidRDefault="00C13D5B" w:rsidP="00151B0D">
      <w:pPr>
        <w:numPr>
          <w:ilvl w:val="0"/>
          <w:numId w:val="36"/>
        </w:numPr>
        <w:spacing w:after="0" w:line="240" w:lineRule="auto"/>
        <w:rPr>
          <w:rFonts w:eastAsia="Times New Roman"/>
        </w:rPr>
      </w:pPr>
      <w:r>
        <w:rPr>
          <w:rFonts w:eastAsia="Times New Roman"/>
        </w:rPr>
        <w:t>Maintain a</w:t>
      </w:r>
      <w:r w:rsidR="00151B0D" w:rsidRPr="001A61E6">
        <w:rPr>
          <w:rFonts w:eastAsia="Times New Roman"/>
        </w:rPr>
        <w:t xml:space="preserve">ffordability </w:t>
      </w:r>
      <w:r w:rsidR="00194B54">
        <w:rPr>
          <w:rFonts w:eastAsia="Times New Roman"/>
        </w:rPr>
        <w:t xml:space="preserve">of heating </w:t>
      </w:r>
      <w:r w:rsidR="00151B0D" w:rsidRPr="001A61E6">
        <w:rPr>
          <w:rFonts w:eastAsia="Times New Roman"/>
        </w:rPr>
        <w:t>for consumers</w:t>
      </w:r>
    </w:p>
    <w:p w14:paraId="1CC8DB82" w14:textId="77777777" w:rsidR="00151B0D" w:rsidRPr="001A61E6" w:rsidRDefault="00151B0D" w:rsidP="00151B0D">
      <w:pPr>
        <w:numPr>
          <w:ilvl w:val="0"/>
          <w:numId w:val="36"/>
        </w:numPr>
        <w:spacing w:after="0" w:line="240" w:lineRule="auto"/>
        <w:rPr>
          <w:rFonts w:eastAsia="Times New Roman"/>
        </w:rPr>
      </w:pPr>
      <w:r w:rsidRPr="001A61E6">
        <w:rPr>
          <w:rFonts w:eastAsia="Times New Roman"/>
        </w:rPr>
        <w:lastRenderedPageBreak/>
        <w:t xml:space="preserve">Maintain consumer confidence in gas </w:t>
      </w:r>
    </w:p>
    <w:p w14:paraId="50F17670" w14:textId="0070EC47" w:rsidR="00440800" w:rsidRPr="00194B54" w:rsidRDefault="00151B0D" w:rsidP="00194B54">
      <w:pPr>
        <w:numPr>
          <w:ilvl w:val="0"/>
          <w:numId w:val="36"/>
        </w:numPr>
        <w:spacing w:after="0" w:line="240" w:lineRule="auto"/>
        <w:rPr>
          <w:rFonts w:eastAsia="Times New Roman"/>
        </w:rPr>
      </w:pPr>
      <w:r w:rsidRPr="001A61E6">
        <w:rPr>
          <w:rFonts w:eastAsia="Times New Roman"/>
        </w:rPr>
        <w:t>Limit impacts on industry and support industry transition.</w:t>
      </w:r>
    </w:p>
    <w:p w14:paraId="2A92243D" w14:textId="072512F9" w:rsidR="001470FC" w:rsidRPr="00E05B57" w:rsidRDefault="007C72AC">
      <w:pPr>
        <w:pStyle w:val="Heading1"/>
      </w:pPr>
      <w:bookmarkStart w:id="186" w:name="_Toc51238882"/>
      <w:bookmarkStart w:id="187" w:name="_Toc51238883"/>
      <w:bookmarkStart w:id="188" w:name="_Toc51238884"/>
      <w:bookmarkStart w:id="189" w:name="_Toc51238885"/>
      <w:bookmarkStart w:id="190" w:name="_Toc51238886"/>
      <w:bookmarkStart w:id="191" w:name="_Toc51238887"/>
      <w:bookmarkStart w:id="192" w:name="_Toc51238888"/>
      <w:bookmarkStart w:id="193" w:name="_Toc51238889"/>
      <w:bookmarkStart w:id="194" w:name="_Toc51238890"/>
      <w:bookmarkStart w:id="195" w:name="_Toc51238891"/>
      <w:bookmarkStart w:id="196" w:name="_Toc51238892"/>
      <w:bookmarkStart w:id="197" w:name="_Toc51238893"/>
      <w:bookmarkStart w:id="198" w:name="_Toc51238894"/>
      <w:bookmarkStart w:id="199" w:name="_Toc51238895"/>
      <w:bookmarkStart w:id="200" w:name="_Toc51238896"/>
      <w:bookmarkStart w:id="201" w:name="_Toc51238897"/>
      <w:bookmarkStart w:id="202" w:name="_Toc51238898"/>
      <w:bookmarkStart w:id="203" w:name="_Toc10111308"/>
      <w:bookmarkStart w:id="204" w:name="_Toc17892132"/>
      <w:bookmarkStart w:id="205" w:name="_Toc447626781"/>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lastRenderedPageBreak/>
        <w:t xml:space="preserve"> </w:t>
      </w:r>
      <w:bookmarkStart w:id="206" w:name="_Toc59612287"/>
      <w:r w:rsidR="00271480">
        <w:t>O</w:t>
      </w:r>
      <w:r w:rsidR="00F513A5" w:rsidRPr="00CD6F30">
        <w:t>ptions</w:t>
      </w:r>
      <w:bookmarkEnd w:id="203"/>
      <w:bookmarkEnd w:id="204"/>
      <w:bookmarkEnd w:id="206"/>
    </w:p>
    <w:p w14:paraId="2A92243E" w14:textId="6B631372" w:rsidR="00F513A5" w:rsidRPr="00663F8C" w:rsidRDefault="00F513A5" w:rsidP="00C07963">
      <w:pPr>
        <w:pStyle w:val="Sectionintro"/>
      </w:pPr>
      <w:r w:rsidRPr="00C07963">
        <w:t xml:space="preserve">This chapter outlines the </w:t>
      </w:r>
      <w:r w:rsidR="00A42F14">
        <w:t xml:space="preserve">set </w:t>
      </w:r>
      <w:r w:rsidRPr="00C07963">
        <w:t>of options considered in this RIS, expla</w:t>
      </w:r>
      <w:r w:rsidR="008A0D7C">
        <w:t>i</w:t>
      </w:r>
      <w:r w:rsidRPr="00C07963">
        <w:t>n</w:t>
      </w:r>
      <w:r w:rsidR="008A0D7C">
        <w:t>s</w:t>
      </w:r>
      <w:r w:rsidRPr="00C07963">
        <w:t xml:space="preserve"> how feasible options were selected, and </w:t>
      </w:r>
      <w:r w:rsidRPr="00663F8C">
        <w:t xml:space="preserve">why other options were considered infeasible. </w:t>
      </w:r>
    </w:p>
    <w:p w14:paraId="2A92243F" w14:textId="0A95FA22" w:rsidR="00F513A5" w:rsidRPr="00FF5BFF" w:rsidRDefault="00F513A5" w:rsidP="00FF5BFF">
      <w:pPr>
        <w:pStyle w:val="Heading3"/>
        <w:numPr>
          <w:ilvl w:val="1"/>
          <w:numId w:val="172"/>
        </w:numPr>
        <w:rPr>
          <w:color w:val="62B5E5" w:themeColor="accent3"/>
        </w:rPr>
      </w:pPr>
      <w:bookmarkStart w:id="207" w:name="_Toc10111309"/>
      <w:bookmarkStart w:id="208" w:name="_Toc17892133"/>
      <w:bookmarkStart w:id="209" w:name="_Toc19092411"/>
      <w:bookmarkStart w:id="210" w:name="_Toc20138649"/>
      <w:r w:rsidRPr="00FF5BFF">
        <w:rPr>
          <w:color w:val="62B5E5" w:themeColor="accent3"/>
        </w:rPr>
        <w:t>Options development</w:t>
      </w:r>
      <w:bookmarkEnd w:id="207"/>
      <w:bookmarkEnd w:id="208"/>
      <w:bookmarkEnd w:id="209"/>
      <w:bookmarkEnd w:id="210"/>
    </w:p>
    <w:p w14:paraId="2A922440" w14:textId="52EDE790" w:rsidR="00F513A5" w:rsidRDefault="00F513A5" w:rsidP="00F513A5">
      <w:pPr>
        <w:ind w:right="29"/>
        <w:rPr>
          <w:rFonts w:asciiTheme="minorHAnsi" w:hAnsiTheme="minorHAnsi" w:cs="Segoe UI Light"/>
        </w:rPr>
      </w:pPr>
      <w:r w:rsidRPr="0063508B">
        <w:rPr>
          <w:rFonts w:asciiTheme="minorHAnsi" w:hAnsiTheme="minorHAnsi" w:cs="Segoe UI Light"/>
        </w:rPr>
        <w:t xml:space="preserve">As part of the RIS process, it is necessary to consider </w:t>
      </w:r>
      <w:r w:rsidR="00C358C2">
        <w:rPr>
          <w:rFonts w:asciiTheme="minorHAnsi" w:hAnsiTheme="minorHAnsi" w:cs="Segoe UI Light"/>
        </w:rPr>
        <w:t xml:space="preserve">a range of </w:t>
      </w:r>
      <w:r w:rsidRPr="0063508B">
        <w:rPr>
          <w:rFonts w:asciiTheme="minorHAnsi" w:hAnsiTheme="minorHAnsi" w:cs="Segoe UI Light"/>
        </w:rPr>
        <w:t xml:space="preserve">different options that could </w:t>
      </w:r>
      <w:r w:rsidR="006E31B9">
        <w:rPr>
          <w:rFonts w:asciiTheme="minorHAnsi" w:hAnsiTheme="minorHAnsi" w:cs="Segoe UI Light"/>
        </w:rPr>
        <w:t>feasibly</w:t>
      </w:r>
      <w:r w:rsidRPr="0063508B">
        <w:rPr>
          <w:rFonts w:asciiTheme="minorHAnsi" w:hAnsiTheme="minorHAnsi" w:cs="Segoe UI Light"/>
        </w:rPr>
        <w:t xml:space="preserve"> achieve the Victorian Government’s objectives. The </w:t>
      </w:r>
      <w:r w:rsidRPr="0063508B">
        <w:rPr>
          <w:rFonts w:asciiTheme="minorHAnsi" w:hAnsiTheme="minorHAnsi" w:cs="Segoe UI Light"/>
          <w:i/>
        </w:rPr>
        <w:t>Subordinate Legislation Act 1994</w:t>
      </w:r>
      <w:r w:rsidRPr="0063508B">
        <w:rPr>
          <w:rFonts w:asciiTheme="minorHAnsi" w:hAnsiTheme="minorHAnsi" w:cs="Segoe UI Light"/>
        </w:rPr>
        <w:t xml:space="preserve">, the </w:t>
      </w:r>
      <w:r w:rsidRPr="0063508B">
        <w:rPr>
          <w:rFonts w:asciiTheme="minorHAnsi" w:hAnsiTheme="minorHAnsi" w:cs="Segoe UI Light"/>
          <w:i/>
        </w:rPr>
        <w:t>Subordinate Legislation Act Guidelines,</w:t>
      </w:r>
      <w:r w:rsidRPr="00C07963">
        <w:rPr>
          <w:rFonts w:asciiTheme="minorHAnsi" w:hAnsiTheme="minorHAnsi" w:cs="Segoe UI Light"/>
          <w:vertAlign w:val="superscript"/>
        </w:rPr>
        <w:footnoteReference w:id="102"/>
      </w:r>
      <w:r w:rsidRPr="0063508B">
        <w:rPr>
          <w:rFonts w:asciiTheme="minorHAnsi" w:hAnsiTheme="minorHAnsi" w:cs="Segoe UI Light"/>
        </w:rPr>
        <w:t xml:space="preserve"> and the </w:t>
      </w:r>
      <w:r w:rsidRPr="0063508B">
        <w:rPr>
          <w:rFonts w:asciiTheme="minorHAnsi" w:hAnsiTheme="minorHAnsi" w:cs="Segoe UI Light"/>
          <w:i/>
        </w:rPr>
        <w:t>Victorian Guide to Regulation</w:t>
      </w:r>
      <w:r w:rsidRPr="0063508B">
        <w:rPr>
          <w:rFonts w:asciiTheme="minorHAnsi" w:hAnsiTheme="minorHAnsi" w:cs="Segoe UI Light"/>
        </w:rPr>
        <w:t xml:space="preserve"> recommend that </w:t>
      </w:r>
      <w:r w:rsidR="00661811">
        <w:rPr>
          <w:rFonts w:asciiTheme="minorHAnsi" w:hAnsiTheme="minorHAnsi" w:cs="Segoe UI Light"/>
        </w:rPr>
        <w:t>consideration be given to</w:t>
      </w:r>
      <w:r w:rsidRPr="0063508B">
        <w:rPr>
          <w:rFonts w:asciiTheme="minorHAnsi" w:hAnsiTheme="minorHAnsi" w:cs="Segoe UI Light"/>
        </w:rPr>
        <w:t xml:space="preserve"> a range of approaches, including co-regulation and non-regulatory approaches, and those that reduce the burden imposed on business and/or the community.</w:t>
      </w:r>
    </w:p>
    <w:p w14:paraId="6DD43A15" w14:textId="77777777" w:rsidR="003B564F" w:rsidRPr="0066130A" w:rsidRDefault="003B564F" w:rsidP="005024F8">
      <w:pPr>
        <w:pStyle w:val="Heading3"/>
      </w:pPr>
      <w:r>
        <w:t>Process to develop options</w:t>
      </w:r>
    </w:p>
    <w:p w14:paraId="202651BD" w14:textId="0969297E" w:rsidR="0079764C" w:rsidRPr="00461B47" w:rsidRDefault="003B564F" w:rsidP="00EF4D2B">
      <w:pPr>
        <w:ind w:right="29"/>
      </w:pPr>
      <w:r w:rsidRPr="00461B47">
        <w:rPr>
          <w:rFonts w:asciiTheme="minorHAnsi" w:hAnsiTheme="minorHAnsi" w:cs="Segoe UI Light"/>
        </w:rPr>
        <w:t>A</w:t>
      </w:r>
      <w:r w:rsidR="00366F37" w:rsidRPr="00461B47">
        <w:rPr>
          <w:rFonts w:asciiTheme="minorHAnsi" w:hAnsiTheme="minorHAnsi" w:cs="Segoe UI Light"/>
        </w:rPr>
        <w:t>s part of the Government Response</w:t>
      </w:r>
      <w:r w:rsidR="00025F64" w:rsidRPr="00461B47">
        <w:rPr>
          <w:rFonts w:asciiTheme="minorHAnsi" w:hAnsiTheme="minorHAnsi" w:cs="Segoe UI Light"/>
        </w:rPr>
        <w:t xml:space="preserve"> to the </w:t>
      </w:r>
      <w:r w:rsidR="002A098B">
        <w:rPr>
          <w:rFonts w:asciiTheme="minorHAnsi" w:hAnsiTheme="minorHAnsi" w:cs="Segoe UI Light"/>
        </w:rPr>
        <w:t>2018 Coronial Inquest</w:t>
      </w:r>
      <w:r w:rsidRPr="002A098B">
        <w:rPr>
          <w:rFonts w:asciiTheme="minorHAnsi" w:hAnsiTheme="minorHAnsi" w:cs="Segoe UI Light"/>
        </w:rPr>
        <w:t>,</w:t>
      </w:r>
      <w:r w:rsidRPr="00461B47">
        <w:rPr>
          <w:rFonts w:asciiTheme="minorHAnsi" w:hAnsiTheme="minorHAnsi" w:cs="Segoe UI Light"/>
        </w:rPr>
        <w:t xml:space="preserve"> the Victorian </w:t>
      </w:r>
      <w:r w:rsidRPr="00461B47">
        <w:t xml:space="preserve">Government </w:t>
      </w:r>
      <w:r w:rsidR="00C47610" w:rsidRPr="00461B47">
        <w:t xml:space="preserve">committed to conduct a review of OFGSHs, </w:t>
      </w:r>
      <w:r w:rsidR="008650DA" w:rsidRPr="00461B47">
        <w:t xml:space="preserve">with options such as a phase out to be assessed. </w:t>
      </w:r>
      <w:r w:rsidR="00EF4D2B" w:rsidRPr="00461B47">
        <w:t xml:space="preserve">The Government also committed to consider mandating the installation of CO alarms where additional safeguards are required. While this RIS </w:t>
      </w:r>
      <w:r w:rsidR="00736699">
        <w:t>focuses on</w:t>
      </w:r>
      <w:r w:rsidR="00EF4D2B" w:rsidRPr="00461B47">
        <w:t xml:space="preserve"> phase out options </w:t>
      </w:r>
      <w:r w:rsidR="00736699">
        <w:t>to</w:t>
      </w:r>
      <w:r w:rsidR="00EF4D2B" w:rsidRPr="00461B47">
        <w:t xml:space="preserve"> best reduce</w:t>
      </w:r>
      <w:r w:rsidR="00FF681F">
        <w:t xml:space="preserve"> </w:t>
      </w:r>
      <w:r w:rsidR="00EF4D2B" w:rsidRPr="00461B47">
        <w:t xml:space="preserve">risks from </w:t>
      </w:r>
      <w:r w:rsidR="000932DA">
        <w:t>OFGSHs</w:t>
      </w:r>
      <w:r w:rsidR="00FF681F">
        <w:t>,</w:t>
      </w:r>
      <w:r w:rsidR="000932DA">
        <w:t xml:space="preserve"> </w:t>
      </w:r>
      <w:r w:rsidR="00EF4D2B" w:rsidRPr="00461B47">
        <w:t xml:space="preserve">it is acknowledged that </w:t>
      </w:r>
      <w:r w:rsidR="00B9531A">
        <w:t>several</w:t>
      </w:r>
      <w:r w:rsidR="00EF4D2B" w:rsidRPr="00461B47">
        <w:t xml:space="preserve"> other interventions </w:t>
      </w:r>
      <w:r w:rsidR="00B9531A">
        <w:t>could</w:t>
      </w:r>
      <w:r w:rsidR="00B9531A" w:rsidRPr="00461B47">
        <w:t xml:space="preserve"> </w:t>
      </w:r>
      <w:r w:rsidR="00EF4D2B" w:rsidRPr="00461B47">
        <w:t xml:space="preserve">feasibly contribute to reducing the risk of CO poisoning associated with OFGSHs. To identify all options available to reduce the risk of CO poisoning associated with OFGSHs, DELWP </w:t>
      </w:r>
      <w:r w:rsidR="00EF4D2B" w:rsidRPr="00461B47">
        <w:rPr>
          <w:rFonts w:asciiTheme="minorHAnsi" w:hAnsiTheme="minorHAnsi" w:cs="Segoe UI Light"/>
        </w:rPr>
        <w:t>adopted the following process</w:t>
      </w:r>
      <w:r w:rsidR="00EF4D2B" w:rsidRPr="00461B47">
        <w:t>:</w:t>
      </w:r>
    </w:p>
    <w:p w14:paraId="2CB96FEA" w14:textId="0DE200A9" w:rsidR="003B564F" w:rsidRPr="00461B47" w:rsidRDefault="0089011B" w:rsidP="00AD0DF0">
      <w:pPr>
        <w:numPr>
          <w:ilvl w:val="0"/>
          <w:numId w:val="36"/>
        </w:numPr>
        <w:spacing w:after="0" w:line="240" w:lineRule="auto"/>
        <w:rPr>
          <w:rFonts w:eastAsia="Times New Roman"/>
        </w:rPr>
      </w:pPr>
      <w:r w:rsidRPr="00461B47">
        <w:rPr>
          <w:rFonts w:eastAsia="Times New Roman"/>
        </w:rPr>
        <w:t>Preliminary engagement with industry to understand potential options to address the risk</w:t>
      </w:r>
    </w:p>
    <w:p w14:paraId="610727E4" w14:textId="626FA631" w:rsidR="003B564F" w:rsidRPr="00461B47" w:rsidRDefault="0089011B" w:rsidP="00E74AA1">
      <w:pPr>
        <w:numPr>
          <w:ilvl w:val="0"/>
          <w:numId w:val="36"/>
        </w:numPr>
        <w:spacing w:after="0" w:line="240" w:lineRule="auto"/>
        <w:rPr>
          <w:rFonts w:eastAsia="Times New Roman"/>
        </w:rPr>
      </w:pPr>
      <w:r w:rsidRPr="00461B47">
        <w:rPr>
          <w:rFonts w:eastAsia="Times New Roman"/>
        </w:rPr>
        <w:t xml:space="preserve">Seeking feedback </w:t>
      </w:r>
      <w:r w:rsidR="00F0520A" w:rsidRPr="00461B47">
        <w:rPr>
          <w:rFonts w:eastAsia="Times New Roman"/>
        </w:rPr>
        <w:t xml:space="preserve">on the problem options </w:t>
      </w:r>
      <w:r w:rsidRPr="00461B47">
        <w:rPr>
          <w:rFonts w:eastAsia="Times New Roman"/>
        </w:rPr>
        <w:t xml:space="preserve">via an </w:t>
      </w:r>
      <w:r w:rsidR="00F0520A" w:rsidRPr="00461B47">
        <w:rPr>
          <w:rFonts w:eastAsia="Times New Roman"/>
        </w:rPr>
        <w:t xml:space="preserve">Options Paper published on Engage Victoria and provided to stakeholders </w:t>
      </w:r>
    </w:p>
    <w:p w14:paraId="4B2542A7" w14:textId="77987F4F" w:rsidR="008017F8" w:rsidRPr="00461B47" w:rsidRDefault="00461B47" w:rsidP="00E74AA1">
      <w:pPr>
        <w:numPr>
          <w:ilvl w:val="0"/>
          <w:numId w:val="36"/>
        </w:numPr>
        <w:spacing w:after="0" w:line="240" w:lineRule="auto"/>
        <w:rPr>
          <w:rFonts w:eastAsia="Times New Roman"/>
        </w:rPr>
      </w:pPr>
      <w:r w:rsidRPr="00461B47">
        <w:rPr>
          <w:rFonts w:eastAsia="Times New Roman"/>
        </w:rPr>
        <w:t>Multiple</w:t>
      </w:r>
      <w:r w:rsidR="00844FD9" w:rsidRPr="00461B47">
        <w:rPr>
          <w:rFonts w:eastAsia="Times New Roman"/>
        </w:rPr>
        <w:t xml:space="preserve"> </w:t>
      </w:r>
      <w:r w:rsidR="00F0520A" w:rsidRPr="00461B47">
        <w:rPr>
          <w:rFonts w:eastAsia="Times New Roman"/>
        </w:rPr>
        <w:t>workshop</w:t>
      </w:r>
      <w:r w:rsidR="00844FD9" w:rsidRPr="00461B47">
        <w:rPr>
          <w:rFonts w:eastAsia="Times New Roman"/>
        </w:rPr>
        <w:t>s</w:t>
      </w:r>
      <w:r w:rsidR="00F0520A" w:rsidRPr="00461B47">
        <w:rPr>
          <w:rFonts w:eastAsia="Times New Roman"/>
        </w:rPr>
        <w:t xml:space="preserve"> with </w:t>
      </w:r>
      <w:r w:rsidR="008017F8" w:rsidRPr="00461B47">
        <w:rPr>
          <w:rFonts w:eastAsia="Times New Roman"/>
        </w:rPr>
        <w:t>manufacturing businesses and GAMAA to discuss options</w:t>
      </w:r>
    </w:p>
    <w:p w14:paraId="6A924565" w14:textId="7A65ACE1" w:rsidR="003B564F" w:rsidRPr="00461B47" w:rsidRDefault="008017F8" w:rsidP="00AD0DF0">
      <w:pPr>
        <w:numPr>
          <w:ilvl w:val="0"/>
          <w:numId w:val="36"/>
        </w:numPr>
        <w:spacing w:after="120" w:line="240" w:lineRule="auto"/>
        <w:rPr>
          <w:rFonts w:eastAsia="Times New Roman"/>
        </w:rPr>
      </w:pPr>
      <w:r w:rsidRPr="00461B47">
        <w:rPr>
          <w:rFonts w:eastAsia="Times New Roman"/>
        </w:rPr>
        <w:t xml:space="preserve">Seeking information on the potential costs of different options for businesses </w:t>
      </w:r>
      <w:r w:rsidR="00F5552B" w:rsidRPr="00461B47">
        <w:rPr>
          <w:rFonts w:eastAsia="Times New Roman"/>
        </w:rPr>
        <w:t>and forecast sales</w:t>
      </w:r>
      <w:r w:rsidR="00933241" w:rsidRPr="00461B47">
        <w:rPr>
          <w:rFonts w:eastAsia="Times New Roman"/>
        </w:rPr>
        <w:t>.</w:t>
      </w:r>
    </w:p>
    <w:p w14:paraId="209A2443" w14:textId="4C180B81" w:rsidR="00305BF4" w:rsidRPr="00461B47" w:rsidRDefault="000A5222" w:rsidP="0060003B">
      <w:pPr>
        <w:ind w:right="29"/>
        <w:rPr>
          <w:szCs w:val="17"/>
        </w:rPr>
      </w:pPr>
      <w:r w:rsidRPr="00461B47">
        <w:t xml:space="preserve">This </w:t>
      </w:r>
      <w:r w:rsidR="0060003B" w:rsidRPr="00461B47">
        <w:t>process enabled a set of feasible options to be developed for detailed analysis in this RIS</w:t>
      </w:r>
      <w:r w:rsidR="00266CB3">
        <w:t>, as well as</w:t>
      </w:r>
      <w:r w:rsidR="00000B80" w:rsidRPr="00461B47">
        <w:t xml:space="preserve"> </w:t>
      </w:r>
      <w:r w:rsidR="001E2C0C">
        <w:t xml:space="preserve">further </w:t>
      </w:r>
      <w:r w:rsidR="00FD0F3F" w:rsidRPr="00461B47">
        <w:t xml:space="preserve">refinement of the </w:t>
      </w:r>
      <w:r w:rsidR="00A07A2B">
        <w:t>standards-based</w:t>
      </w:r>
      <w:r w:rsidR="00DC26CE">
        <w:t xml:space="preserve"> approach</w:t>
      </w:r>
      <w:r w:rsidR="00461B47" w:rsidRPr="00461B47">
        <w:t xml:space="preserve"> (Option 2).</w:t>
      </w:r>
      <w:r w:rsidR="003A0CA7" w:rsidRPr="00461B47">
        <w:t xml:space="preserve"> </w:t>
      </w:r>
    </w:p>
    <w:p w14:paraId="2A922456" w14:textId="6EAF12FD" w:rsidR="00F513A5" w:rsidRPr="00FF5BFF" w:rsidRDefault="00092854" w:rsidP="00FF5BFF">
      <w:pPr>
        <w:pStyle w:val="Heading3"/>
        <w:numPr>
          <w:ilvl w:val="1"/>
          <w:numId w:val="172"/>
        </w:numPr>
        <w:rPr>
          <w:color w:val="62B5E5" w:themeColor="accent3"/>
        </w:rPr>
      </w:pPr>
      <w:bookmarkStart w:id="211" w:name="_Toc10111310"/>
      <w:bookmarkStart w:id="212" w:name="_Toc17892134"/>
      <w:bookmarkStart w:id="213" w:name="_Toc19092412"/>
      <w:bookmarkStart w:id="214" w:name="_Toc20138650"/>
      <w:r w:rsidRPr="00FF5BFF">
        <w:rPr>
          <w:color w:val="62B5E5" w:themeColor="accent3"/>
        </w:rPr>
        <w:t>O</w:t>
      </w:r>
      <w:r w:rsidR="00F513A5" w:rsidRPr="00FF5BFF">
        <w:rPr>
          <w:color w:val="62B5E5" w:themeColor="accent3"/>
        </w:rPr>
        <w:t>ptions</w:t>
      </w:r>
      <w:bookmarkEnd w:id="211"/>
      <w:bookmarkEnd w:id="212"/>
      <w:bookmarkEnd w:id="213"/>
      <w:bookmarkEnd w:id="214"/>
      <w:r w:rsidRPr="00FF5BFF">
        <w:rPr>
          <w:color w:val="62B5E5" w:themeColor="accent3"/>
        </w:rPr>
        <w:t xml:space="preserve"> considered in this RIS</w:t>
      </w:r>
    </w:p>
    <w:p w14:paraId="7ADEF166" w14:textId="1E541BB8" w:rsidR="000629F6" w:rsidRDefault="000629F6" w:rsidP="000629F6">
      <w:r>
        <w:t>As part of this RIS process, two types of option</w:t>
      </w:r>
      <w:r w:rsidR="0078108D">
        <w:t>s</w:t>
      </w:r>
      <w:r>
        <w:t xml:space="preserve"> have been considered:</w:t>
      </w:r>
    </w:p>
    <w:p w14:paraId="55DFCDB7" w14:textId="31EEEFD8" w:rsidR="000629F6" w:rsidRPr="000276F0" w:rsidRDefault="00E94FFF" w:rsidP="000F357C">
      <w:pPr>
        <w:pStyle w:val="ListParagraph"/>
        <w:numPr>
          <w:ilvl w:val="0"/>
          <w:numId w:val="34"/>
        </w:numPr>
        <w:rPr>
          <w:rFonts w:asciiTheme="minorHAnsi" w:hAnsiTheme="minorHAnsi" w:cs="Segoe UI Light"/>
        </w:rPr>
      </w:pPr>
      <w:r>
        <w:rPr>
          <w:b/>
        </w:rPr>
        <w:t>Phase out</w:t>
      </w:r>
      <w:r w:rsidR="000629F6" w:rsidRPr="007F3851">
        <w:rPr>
          <w:b/>
        </w:rPr>
        <w:t xml:space="preserve"> options</w:t>
      </w:r>
      <w:r w:rsidR="000629F6">
        <w:t xml:space="preserve"> – address the risk associated with any future installations of OFGSHs</w:t>
      </w:r>
      <w:r w:rsidR="003A4B7F">
        <w:t>.</w:t>
      </w:r>
      <w:r w:rsidR="003A4B7F" w:rsidRPr="003A4B7F">
        <w:rPr>
          <w:rFonts w:asciiTheme="minorHAnsi" w:hAnsiTheme="minorHAnsi" w:cs="Segoe UI Light"/>
        </w:rPr>
        <w:t xml:space="preserve"> These options are mutually exclusive, meaning that only one phase out option can be implemented at a time. Phase out options, on their own, do not address risks associated with OFGSHs that are already installed in buildings. </w:t>
      </w:r>
      <w:r w:rsidR="00661715">
        <w:rPr>
          <w:rFonts w:asciiTheme="minorHAnsi" w:hAnsiTheme="minorHAnsi" w:cs="Segoe UI Light"/>
        </w:rPr>
        <w:t>Two</w:t>
      </w:r>
      <w:r w:rsidR="003A4B7F">
        <w:rPr>
          <w:rFonts w:asciiTheme="minorHAnsi" w:hAnsiTheme="minorHAnsi" w:cs="Segoe UI Light"/>
        </w:rPr>
        <w:t xml:space="preserve"> phase</w:t>
      </w:r>
      <w:r w:rsidR="008049D5">
        <w:rPr>
          <w:rFonts w:asciiTheme="minorHAnsi" w:hAnsiTheme="minorHAnsi" w:cs="Segoe UI Light"/>
        </w:rPr>
        <w:t xml:space="preserve"> </w:t>
      </w:r>
      <w:r w:rsidR="003A4B7F">
        <w:rPr>
          <w:rFonts w:asciiTheme="minorHAnsi" w:hAnsiTheme="minorHAnsi" w:cs="Segoe UI Light"/>
        </w:rPr>
        <w:t>out options are considered in detail in this RIS</w:t>
      </w:r>
      <w:r w:rsidR="00B8426F">
        <w:rPr>
          <w:rFonts w:asciiTheme="minorHAnsi" w:hAnsiTheme="minorHAnsi" w:cs="Segoe UI Light"/>
        </w:rPr>
        <w:t>,</w:t>
      </w:r>
      <w:r w:rsidR="003A4B7F">
        <w:rPr>
          <w:rFonts w:asciiTheme="minorHAnsi" w:hAnsiTheme="minorHAnsi" w:cs="Segoe UI Light"/>
        </w:rPr>
        <w:t xml:space="preserve"> as well as the Base Case. </w:t>
      </w:r>
      <w:r w:rsidR="00AB3FBA" w:rsidRPr="00AB3FBA">
        <w:rPr>
          <w:rFonts w:asciiTheme="minorHAnsi" w:hAnsiTheme="minorHAnsi" w:cs="Segoe UI Light"/>
        </w:rPr>
        <w:t xml:space="preserve">For the purpose of estimating costs and benefits, </w:t>
      </w:r>
      <w:r w:rsidR="00CE4912">
        <w:rPr>
          <w:rFonts w:asciiTheme="minorHAnsi" w:hAnsiTheme="minorHAnsi" w:cs="Segoe UI Light"/>
        </w:rPr>
        <w:t>both</w:t>
      </w:r>
      <w:r w:rsidR="00CE4912" w:rsidRPr="00AB3FBA">
        <w:rPr>
          <w:rFonts w:asciiTheme="minorHAnsi" w:hAnsiTheme="minorHAnsi" w:cs="Segoe UI Light"/>
        </w:rPr>
        <w:t xml:space="preserve"> </w:t>
      </w:r>
      <w:r w:rsidR="00AB3FBA" w:rsidRPr="00AB3FBA">
        <w:rPr>
          <w:rFonts w:asciiTheme="minorHAnsi" w:hAnsiTheme="minorHAnsi" w:cs="Segoe UI Light"/>
        </w:rPr>
        <w:t>options result in no future installations of OFGSHs</w:t>
      </w:r>
      <w:r w:rsidR="00E73A6D">
        <w:rPr>
          <w:rFonts w:asciiTheme="minorHAnsi" w:hAnsiTheme="minorHAnsi" w:cs="Segoe UI Light"/>
        </w:rPr>
        <w:t xml:space="preserve"> over various time horizons</w:t>
      </w:r>
      <w:r w:rsidR="00264CF0">
        <w:rPr>
          <w:rFonts w:asciiTheme="minorHAnsi" w:hAnsiTheme="minorHAnsi" w:cs="Segoe UI Light"/>
        </w:rPr>
        <w:t xml:space="preserve"> (although they take effect at different times).</w:t>
      </w:r>
    </w:p>
    <w:p w14:paraId="31DECBBB" w14:textId="1956503E" w:rsidR="00CC0717" w:rsidRDefault="007407AB">
      <w:pPr>
        <w:pStyle w:val="ListParagraph"/>
        <w:numPr>
          <w:ilvl w:val="0"/>
          <w:numId w:val="34"/>
        </w:numPr>
      </w:pPr>
      <w:r w:rsidRPr="00CC0717">
        <w:rPr>
          <w:b/>
        </w:rPr>
        <w:t xml:space="preserve">Transitional </w:t>
      </w:r>
      <w:r w:rsidR="000629F6" w:rsidRPr="00CC0717">
        <w:rPr>
          <w:b/>
        </w:rPr>
        <w:t>measures</w:t>
      </w:r>
      <w:r w:rsidR="000629F6">
        <w:t xml:space="preserve"> –</w:t>
      </w:r>
      <w:r w:rsidR="001538E1">
        <w:t xml:space="preserve"> </w:t>
      </w:r>
      <w:r w:rsidR="00CC0717">
        <w:t>address the risk associated with OFGSHs that have already been installed.</w:t>
      </w:r>
      <w:r w:rsidR="00CC0717" w:rsidRPr="00237765">
        <w:t xml:space="preserve"> </w:t>
      </w:r>
      <w:r w:rsidR="003A4B7F">
        <w:rPr>
          <w:color w:val="363534"/>
        </w:rPr>
        <w:t xml:space="preserve">As such, transitional measures </w:t>
      </w:r>
      <w:r w:rsidR="003A4B7F" w:rsidRPr="00853C81">
        <w:rPr>
          <w:color w:val="363534"/>
        </w:rPr>
        <w:t xml:space="preserve">are intended to address the </w:t>
      </w:r>
      <w:r w:rsidR="003A4B7F">
        <w:rPr>
          <w:color w:val="363534"/>
        </w:rPr>
        <w:t>residual risk that remains after phase</w:t>
      </w:r>
      <w:r w:rsidR="008049D5">
        <w:rPr>
          <w:color w:val="363534"/>
        </w:rPr>
        <w:t xml:space="preserve"> </w:t>
      </w:r>
      <w:r w:rsidR="003A4B7F">
        <w:rPr>
          <w:color w:val="363534"/>
        </w:rPr>
        <w:t>out</w:t>
      </w:r>
      <w:r w:rsidR="003A4B7F" w:rsidRPr="00853C81">
        <w:rPr>
          <w:color w:val="363534"/>
        </w:rPr>
        <w:t xml:space="preserve"> options and are not intended to be implemented in isolation.</w:t>
      </w:r>
      <w:r w:rsidR="003A4B7F" w:rsidRPr="00217C17">
        <w:t xml:space="preserve"> </w:t>
      </w:r>
      <w:r w:rsidR="00CC0717">
        <w:t>CO alarms is the only transitional measure considered feasible and subject to detailed analysis.</w:t>
      </w:r>
    </w:p>
    <w:p w14:paraId="6B02690D" w14:textId="10B675E2" w:rsidR="00C03279" w:rsidRDefault="00397560">
      <w:pPr>
        <w:rPr>
          <w:rFonts w:asciiTheme="minorHAnsi" w:hAnsiTheme="minorHAnsi" w:cs="Segoe UI Light"/>
        </w:rPr>
      </w:pPr>
      <w:r>
        <w:rPr>
          <w:rFonts w:asciiTheme="minorHAnsi" w:hAnsiTheme="minorHAnsi" w:cs="Segoe UI Light"/>
        </w:rPr>
        <w:t>Other options were considered but not included for detailed analysis, mainly due to potential implementation difficulties.</w:t>
      </w:r>
      <w:r w:rsidR="006011BA">
        <w:rPr>
          <w:rFonts w:asciiTheme="minorHAnsi" w:hAnsiTheme="minorHAnsi" w:cs="Segoe UI Light"/>
        </w:rPr>
        <w:t xml:space="preserve"> These are discussed in </w:t>
      </w:r>
      <w:r w:rsidR="004D7A14">
        <w:rPr>
          <w:rFonts w:asciiTheme="minorHAnsi" w:hAnsiTheme="minorHAnsi" w:cs="Segoe UI Light"/>
        </w:rPr>
        <w:t>section</w:t>
      </w:r>
      <w:r w:rsidR="00461B47">
        <w:rPr>
          <w:rFonts w:asciiTheme="minorHAnsi" w:hAnsiTheme="minorHAnsi" w:cs="Segoe UI Light"/>
        </w:rPr>
        <w:t xml:space="preserve"> </w:t>
      </w:r>
      <w:r w:rsidR="00461B47">
        <w:rPr>
          <w:rFonts w:asciiTheme="minorHAnsi" w:hAnsiTheme="minorHAnsi" w:cs="Segoe UI Light"/>
        </w:rPr>
        <w:fldChar w:fldCharType="begin"/>
      </w:r>
      <w:r w:rsidR="00461B47">
        <w:rPr>
          <w:rFonts w:asciiTheme="minorHAnsi" w:hAnsiTheme="minorHAnsi" w:cs="Segoe UI Light"/>
        </w:rPr>
        <w:instrText xml:space="preserve"> REF _Ref25233445 \r \h </w:instrText>
      </w:r>
      <w:r w:rsidR="00461B47">
        <w:rPr>
          <w:rFonts w:asciiTheme="minorHAnsi" w:hAnsiTheme="minorHAnsi" w:cs="Segoe UI Light"/>
        </w:rPr>
      </w:r>
      <w:r w:rsidR="00461B47">
        <w:rPr>
          <w:rFonts w:asciiTheme="minorHAnsi" w:hAnsiTheme="minorHAnsi" w:cs="Segoe UI Light"/>
        </w:rPr>
        <w:fldChar w:fldCharType="separate"/>
      </w:r>
      <w:r w:rsidR="00CD0679">
        <w:rPr>
          <w:rFonts w:asciiTheme="minorHAnsi" w:hAnsiTheme="minorHAnsi" w:cs="Segoe UI Light"/>
        </w:rPr>
        <w:t>3.3</w:t>
      </w:r>
      <w:r w:rsidR="00461B47">
        <w:rPr>
          <w:rFonts w:asciiTheme="minorHAnsi" w:hAnsiTheme="minorHAnsi" w:cs="Segoe UI Light"/>
        </w:rPr>
        <w:fldChar w:fldCharType="end"/>
      </w:r>
      <w:r w:rsidR="00461B47">
        <w:rPr>
          <w:rFonts w:asciiTheme="minorHAnsi" w:hAnsiTheme="minorHAnsi" w:cs="Segoe UI Light"/>
        </w:rPr>
        <w:t>.</w:t>
      </w:r>
    </w:p>
    <w:p w14:paraId="5DB063A6" w14:textId="03312C13" w:rsidR="00271480" w:rsidRPr="00AD0DF0" w:rsidRDefault="003A4B7F" w:rsidP="00AD0DF0">
      <w:pPr>
        <w:pStyle w:val="Heading3"/>
      </w:pPr>
      <w:r w:rsidRPr="00AD0DF0">
        <w:lastRenderedPageBreak/>
        <w:t>Phase</w:t>
      </w:r>
      <w:r w:rsidR="008049D5">
        <w:t xml:space="preserve"> </w:t>
      </w:r>
      <w:r w:rsidRPr="00AD0DF0">
        <w:t>out options</w:t>
      </w:r>
    </w:p>
    <w:p w14:paraId="5FA2CA74" w14:textId="58EE6255" w:rsidR="00D64927" w:rsidRDefault="00C03279" w:rsidP="00AD0DF0">
      <w:pPr>
        <w:pStyle w:val="Heading4"/>
      </w:pPr>
      <w:r>
        <w:t xml:space="preserve">Base case </w:t>
      </w:r>
    </w:p>
    <w:p w14:paraId="559206F2" w14:textId="4A2C0E68" w:rsidR="002D3FED" w:rsidRPr="00AD0DF0" w:rsidRDefault="002D3FED" w:rsidP="00AD0DF0">
      <w:pPr>
        <w:spacing w:after="60"/>
        <w:rPr>
          <w:u w:val="single"/>
        </w:rPr>
      </w:pPr>
      <w:r w:rsidRPr="00AD0DF0">
        <w:rPr>
          <w:u w:val="single"/>
        </w:rPr>
        <w:t xml:space="preserve">Description </w:t>
      </w:r>
    </w:p>
    <w:p w14:paraId="3D04FE74" w14:textId="10747A98" w:rsidR="00522466" w:rsidRPr="00977CF4" w:rsidRDefault="00522466" w:rsidP="00AD0DF0">
      <w:pPr>
        <w:rPr>
          <w:u w:val="single"/>
        </w:rPr>
      </w:pPr>
      <w:r w:rsidRPr="001A2A01">
        <w:rPr>
          <w:szCs w:val="17"/>
        </w:rPr>
        <w:t xml:space="preserve">The Base Case is a counter-factual scenario used in a quantitative analysis to provide a common </w:t>
      </w:r>
      <w:r w:rsidRPr="00977CF4">
        <w:rPr>
          <w:szCs w:val="17"/>
        </w:rPr>
        <w:t xml:space="preserve">point of comparison for all options. The Base Case would maintain the current set of Victorian regulations relevant to OFGSHs, which aim to reduce the risk of CO poisoning. </w:t>
      </w:r>
      <w:r w:rsidR="00636DDA" w:rsidRPr="00977CF4">
        <w:rPr>
          <w:szCs w:val="17"/>
        </w:rPr>
        <w:t xml:space="preserve">In the Base Case, 22 present certifications for OFGSHs will remain current and continue to facilitate the sale of OFGSHs in Victoria. </w:t>
      </w:r>
      <w:r w:rsidRPr="00977CF4">
        <w:rPr>
          <w:szCs w:val="17"/>
        </w:rPr>
        <w:t xml:space="preserve">The installation of CO alarms and regular servicing of gas appliances would be recommended, but not mandated. </w:t>
      </w:r>
    </w:p>
    <w:p w14:paraId="6127556C" w14:textId="5802C58D" w:rsidR="00522466" w:rsidRPr="00977CF4" w:rsidRDefault="00522466" w:rsidP="00522466">
      <w:pPr>
        <w:rPr>
          <w:szCs w:val="17"/>
        </w:rPr>
      </w:pPr>
      <w:r w:rsidRPr="00977CF4">
        <w:rPr>
          <w:szCs w:val="17"/>
        </w:rPr>
        <w:t xml:space="preserve">Educational campaigns run by ESV </w:t>
      </w:r>
      <w:r w:rsidR="00B25695">
        <w:rPr>
          <w:szCs w:val="17"/>
        </w:rPr>
        <w:t>and</w:t>
      </w:r>
      <w:r w:rsidR="00143500">
        <w:rPr>
          <w:szCs w:val="17"/>
        </w:rPr>
        <w:t xml:space="preserve"> the</w:t>
      </w:r>
      <w:r w:rsidR="00B25695">
        <w:rPr>
          <w:szCs w:val="17"/>
        </w:rPr>
        <w:t xml:space="preserve"> VBA </w:t>
      </w:r>
      <w:r w:rsidRPr="00977CF4">
        <w:rPr>
          <w:szCs w:val="17"/>
        </w:rPr>
        <w:t xml:space="preserve">would continue to inform the public of the dangers associated with exposure to CO and encourage servicing of OFGSHs. The Base Case includes changes being made to the Residential Tenancies Act and the current program of removing </w:t>
      </w:r>
      <w:r w:rsidR="000932DA">
        <w:rPr>
          <w:szCs w:val="17"/>
        </w:rPr>
        <w:t xml:space="preserve">OFGSHs </w:t>
      </w:r>
      <w:r w:rsidRPr="00977CF4">
        <w:rPr>
          <w:szCs w:val="17"/>
        </w:rPr>
        <w:t>in public housing by DHHS</w:t>
      </w:r>
      <w:r w:rsidR="00264CF0">
        <w:rPr>
          <w:szCs w:val="17"/>
        </w:rPr>
        <w:t xml:space="preserve"> discussed in Chapter 1</w:t>
      </w:r>
      <w:r w:rsidR="00337EC9" w:rsidRPr="00977CF4">
        <w:rPr>
          <w:szCs w:val="17"/>
        </w:rPr>
        <w:t>.</w:t>
      </w:r>
    </w:p>
    <w:p w14:paraId="5D32FFEC" w14:textId="77777777" w:rsidR="009A4466" w:rsidRPr="00977CF4" w:rsidRDefault="009A4466" w:rsidP="00AD0DF0">
      <w:pPr>
        <w:spacing w:after="0"/>
        <w:rPr>
          <w:i/>
          <w:iCs/>
        </w:rPr>
      </w:pPr>
      <w:r w:rsidRPr="00977CF4">
        <w:rPr>
          <w:i/>
          <w:iCs/>
        </w:rPr>
        <w:t xml:space="preserve">Changes to the Residential Tenancies Act </w:t>
      </w:r>
    </w:p>
    <w:p w14:paraId="51FC9229" w14:textId="1B0341B2" w:rsidR="004A3D18" w:rsidRPr="00977CF4" w:rsidRDefault="004A3D18" w:rsidP="004A3D18">
      <w:pPr>
        <w:rPr>
          <w:lang w:eastAsia="en-AU"/>
        </w:rPr>
      </w:pPr>
      <w:r w:rsidRPr="00977CF4">
        <w:t xml:space="preserve">As outlined in </w:t>
      </w:r>
      <w:r w:rsidR="009B16B2">
        <w:t>C</w:t>
      </w:r>
      <w:r w:rsidRPr="00977CF4">
        <w:t>hapter 1, the RIS for the RTR examined the option of requiring</w:t>
      </w:r>
      <w:r w:rsidRPr="00977CF4" w:rsidDel="00CD6055">
        <w:t xml:space="preserve"> </w:t>
      </w:r>
      <w:r w:rsidRPr="00977CF4">
        <w:t xml:space="preserve">mandatory safety checks for gas fixtures, fittings and appliances in all rental properties every two years. The RTAA and the supporting RTR were originally intended to commence on </w:t>
      </w:r>
      <w:r w:rsidR="0011356F" w:rsidRPr="00977CF4">
        <w:t>1 July 2020 but</w:t>
      </w:r>
      <w:r w:rsidRPr="00977CF4">
        <w:t xml:space="preserve"> have been deferred due to </w:t>
      </w:r>
      <w:r w:rsidR="00922069">
        <w:t>coronavirus (</w:t>
      </w:r>
      <w:r w:rsidRPr="00977CF4">
        <w:t>COVID-19</w:t>
      </w:r>
      <w:r w:rsidR="00922069">
        <w:t>)</w:t>
      </w:r>
      <w:r w:rsidRPr="00977CF4">
        <w:t xml:space="preserve">. It is anticipated that the final RTR will commence at the same time as the RTAA, which will commence on </w:t>
      </w:r>
      <w:r w:rsidR="1D171524">
        <w:t>29 March 2021</w:t>
      </w:r>
      <w:r w:rsidR="33D1075D">
        <w:t>.</w:t>
      </w:r>
    </w:p>
    <w:p w14:paraId="61801312" w14:textId="78B36FF1" w:rsidR="004A3D18" w:rsidRPr="00977CF4" w:rsidRDefault="003E029E" w:rsidP="004A3D18">
      <w:pPr>
        <w:pStyle w:val="BodyText"/>
        <w:spacing w:after="120"/>
      </w:pPr>
      <w:r w:rsidRPr="00977CF4">
        <w:t xml:space="preserve">DELWP estimates </w:t>
      </w:r>
      <w:r w:rsidR="00421A1E" w:rsidRPr="00977CF4">
        <w:t xml:space="preserve">(based on Market research commissioned by </w:t>
      </w:r>
      <w:r w:rsidR="006213C0">
        <w:t>ESV</w:t>
      </w:r>
      <w:r w:rsidR="00421A1E" w:rsidRPr="00977CF4">
        <w:t xml:space="preserve"> in 2018) that </w:t>
      </w:r>
      <w:r w:rsidRPr="00977CF4">
        <w:t>t</w:t>
      </w:r>
      <w:r w:rsidR="004A3D18" w:rsidRPr="00977CF4">
        <w:t xml:space="preserve">hese regulatory changes </w:t>
      </w:r>
      <w:r w:rsidR="004A3D18" w:rsidRPr="00977CF4" w:rsidDel="00534B6F">
        <w:t xml:space="preserve">will </w:t>
      </w:r>
      <w:r w:rsidR="004A3D18" w:rsidRPr="00977CF4">
        <w:t xml:space="preserve">capture around 30 per cent of currently installed OFGSHs and protect many of those at </w:t>
      </w:r>
      <w:r w:rsidR="00F53C16">
        <w:t xml:space="preserve">a high risk </w:t>
      </w:r>
      <w:r w:rsidR="004A3D18" w:rsidRPr="00977CF4">
        <w:t>from OFGSH, as renters are less likely to have information about their heaters and associated risks, and are dependent on landlords and property managers for regular servicing.</w:t>
      </w:r>
    </w:p>
    <w:p w14:paraId="015CE4A9" w14:textId="1D18D6E4" w:rsidR="009A4466" w:rsidRPr="00977CF4" w:rsidRDefault="000932DA" w:rsidP="00AD0DF0">
      <w:pPr>
        <w:spacing w:after="0"/>
        <w:rPr>
          <w:i/>
          <w:iCs/>
        </w:rPr>
      </w:pPr>
      <w:r>
        <w:rPr>
          <w:i/>
          <w:iCs/>
        </w:rPr>
        <w:t xml:space="preserve">OFGSHs </w:t>
      </w:r>
      <w:r w:rsidR="009A4466" w:rsidRPr="00977CF4">
        <w:rPr>
          <w:i/>
          <w:iCs/>
        </w:rPr>
        <w:t xml:space="preserve">in public housing </w:t>
      </w:r>
    </w:p>
    <w:p w14:paraId="63BCD600" w14:textId="757CCAFA" w:rsidR="009A4466" w:rsidRPr="00853C81" w:rsidRDefault="009A4466" w:rsidP="009A4466">
      <w:pPr>
        <w:pStyle w:val="BodyText"/>
      </w:pPr>
      <w:r w:rsidRPr="00977CF4">
        <w:t>In the Base Case, DHHS will continue its</w:t>
      </w:r>
      <w:r w:rsidRPr="00853C81">
        <w:t xml:space="preserve"> current program to remove all OFGSHs from public housing, and to install CO alarms in all residences with gas heating appliances. This program is due to be completed in 2020.</w:t>
      </w:r>
      <w:r w:rsidR="00C153A3">
        <w:t xml:space="preserve"> This has been taken into account in modelling presented below.</w:t>
      </w:r>
    </w:p>
    <w:p w14:paraId="1C354489" w14:textId="2E39A37B" w:rsidR="009A4466" w:rsidRDefault="009A4466" w:rsidP="00AD0DF0">
      <w:pPr>
        <w:pStyle w:val="BodyText"/>
      </w:pPr>
      <w:r w:rsidRPr="00853C81">
        <w:t xml:space="preserve">The risk of CO exposure </w:t>
      </w:r>
      <w:r w:rsidR="00654F0B">
        <w:t xml:space="preserve">in </w:t>
      </w:r>
      <w:r w:rsidRPr="00853C81">
        <w:t xml:space="preserve">non-DHHS housing </w:t>
      </w:r>
      <w:r w:rsidR="00767FF3">
        <w:t>(i</w:t>
      </w:r>
      <w:r w:rsidR="0045234A">
        <w:t>.</w:t>
      </w:r>
      <w:r w:rsidR="00767FF3">
        <w:t>e</w:t>
      </w:r>
      <w:r w:rsidR="0045234A">
        <w:t>.</w:t>
      </w:r>
      <w:r w:rsidR="00767FF3">
        <w:t xml:space="preserve"> owner</w:t>
      </w:r>
      <w:r w:rsidR="00400B72">
        <w:t>-</w:t>
      </w:r>
      <w:r w:rsidR="00767FF3">
        <w:t xml:space="preserve">occupier households) </w:t>
      </w:r>
      <w:r w:rsidRPr="00853C81">
        <w:t xml:space="preserve">would continue to be addressed primarily through ongoing public awareness campaigns. Educational materials would focus on </w:t>
      </w:r>
      <w:r w:rsidR="00767FF3">
        <w:t xml:space="preserve">maintaining </w:t>
      </w:r>
      <w:r w:rsidR="00A756B0">
        <w:t xml:space="preserve">or </w:t>
      </w:r>
      <w:r w:rsidRPr="00853C81">
        <w:t xml:space="preserve">increasing awareness of the health impacts of CO exposure, circumstances that typically cause OFGSHs to malfunction and the </w:t>
      </w:r>
      <w:r w:rsidRPr="00710A88">
        <w:t xml:space="preserve">importance of having all gas appliances regularly serviced by qualified gasfitters. </w:t>
      </w:r>
    </w:p>
    <w:p w14:paraId="3852292E" w14:textId="66A70AE6" w:rsidR="00202F28" w:rsidRDefault="004D269D" w:rsidP="00ED3164">
      <w:pPr>
        <w:spacing w:after="0" w:line="240" w:lineRule="auto"/>
        <w:rPr>
          <w:rFonts w:eastAsia="Times New Roman"/>
        </w:rPr>
      </w:pPr>
      <w:r>
        <w:rPr>
          <w:rFonts w:eastAsia="Times New Roman"/>
          <w:i/>
          <w:iCs/>
        </w:rPr>
        <w:t>H</w:t>
      </w:r>
      <w:r w:rsidR="00A00B01">
        <w:rPr>
          <w:rFonts w:eastAsia="Times New Roman"/>
          <w:i/>
          <w:iCs/>
        </w:rPr>
        <w:t xml:space="preserve">ousehold energy efficiency </w:t>
      </w:r>
      <w:r w:rsidR="006C3DF6">
        <w:rPr>
          <w:rFonts w:eastAsia="Times New Roman"/>
          <w:i/>
          <w:iCs/>
        </w:rPr>
        <w:t>package</w:t>
      </w:r>
    </w:p>
    <w:p w14:paraId="6B568C84" w14:textId="4E847C40" w:rsidR="005407C3" w:rsidRDefault="0032625C" w:rsidP="000276F0">
      <w:pPr>
        <w:rPr>
          <w:rFonts w:eastAsia="Times New Roman"/>
        </w:rPr>
      </w:pPr>
      <w:r>
        <w:rPr>
          <w:rFonts w:eastAsia="Times New Roman"/>
        </w:rPr>
        <w:t>T</w:t>
      </w:r>
      <w:r w:rsidR="00ED3164">
        <w:rPr>
          <w:rFonts w:eastAsia="Times New Roman"/>
        </w:rPr>
        <w:t>he Victorian Government</w:t>
      </w:r>
      <w:r>
        <w:rPr>
          <w:rFonts w:eastAsia="Times New Roman"/>
        </w:rPr>
        <w:t xml:space="preserve"> in its FY2</w:t>
      </w:r>
      <w:r w:rsidR="00997893">
        <w:rPr>
          <w:rFonts w:eastAsia="Times New Roman"/>
        </w:rPr>
        <w:t>02</w:t>
      </w:r>
      <w:r>
        <w:rPr>
          <w:rFonts w:eastAsia="Times New Roman"/>
        </w:rPr>
        <w:t>1 budget</w:t>
      </w:r>
      <w:r w:rsidR="00ED3164">
        <w:rPr>
          <w:rFonts w:eastAsia="Times New Roman"/>
        </w:rPr>
        <w:t xml:space="preserve"> committed </w:t>
      </w:r>
      <w:r w:rsidR="00ED3164" w:rsidRPr="00081DC4">
        <w:rPr>
          <w:rFonts w:eastAsia="Times New Roman"/>
        </w:rPr>
        <w:t>$335 million</w:t>
      </w:r>
      <w:r w:rsidR="00ED3164">
        <w:rPr>
          <w:rFonts w:eastAsia="Times New Roman"/>
        </w:rPr>
        <w:t xml:space="preserve"> to assist consumers in</w:t>
      </w:r>
      <w:r w:rsidR="00ED3164" w:rsidRPr="00081DC4">
        <w:rPr>
          <w:rFonts w:eastAsia="Times New Roman"/>
        </w:rPr>
        <w:t xml:space="preserve"> replac</w:t>
      </w:r>
      <w:r w:rsidR="00ED3164">
        <w:rPr>
          <w:rFonts w:eastAsia="Times New Roman"/>
        </w:rPr>
        <w:t>ing</w:t>
      </w:r>
      <w:r w:rsidR="00ED3164" w:rsidRPr="00081DC4">
        <w:rPr>
          <w:rFonts w:eastAsia="Times New Roman"/>
        </w:rPr>
        <w:t xml:space="preserve"> old wood, electric or gas fired heaters with new energy-efficient systems that are safer</w:t>
      </w:r>
      <w:r w:rsidR="00ED3164">
        <w:rPr>
          <w:rFonts w:eastAsia="Times New Roman"/>
        </w:rPr>
        <w:t xml:space="preserve">, </w:t>
      </w:r>
      <w:r w:rsidR="00ED3164" w:rsidRPr="00081DC4">
        <w:rPr>
          <w:rFonts w:eastAsia="Times New Roman"/>
        </w:rPr>
        <w:t>cheaper to run</w:t>
      </w:r>
      <w:r w:rsidR="00ED3164">
        <w:rPr>
          <w:rFonts w:eastAsia="Times New Roman"/>
        </w:rPr>
        <w:t xml:space="preserve"> and reduce </w:t>
      </w:r>
      <w:r w:rsidR="00ED3164" w:rsidRPr="00081DC4">
        <w:rPr>
          <w:rFonts w:eastAsia="Times New Roman"/>
        </w:rPr>
        <w:t>emissions.</w:t>
      </w:r>
      <w:r w:rsidR="00ED3164">
        <w:rPr>
          <w:rStyle w:val="FootnoteReference"/>
          <w:rFonts w:eastAsia="Times New Roman"/>
        </w:rPr>
        <w:footnoteReference w:id="103"/>
      </w:r>
      <w:r w:rsidR="001F245F">
        <w:rPr>
          <w:rFonts w:eastAsia="Times New Roman"/>
        </w:rPr>
        <w:t xml:space="preserve"> </w:t>
      </w:r>
      <w:r w:rsidR="0024032E">
        <w:rPr>
          <w:rFonts w:eastAsia="Times New Roman"/>
        </w:rPr>
        <w:t>While the</w:t>
      </w:r>
      <w:r w:rsidR="00B65195">
        <w:rPr>
          <w:rFonts w:eastAsia="Times New Roman"/>
        </w:rPr>
        <w:t xml:space="preserve"> </w:t>
      </w:r>
      <w:r w:rsidR="00B65195">
        <w:rPr>
          <w:rFonts w:asciiTheme="minorHAnsi" w:hAnsiTheme="minorHAnsi" w:cs="Segoe UI Light"/>
        </w:rPr>
        <w:t>full details of the program are yet to be released,</w:t>
      </w:r>
      <w:r>
        <w:rPr>
          <w:rFonts w:asciiTheme="minorHAnsi" w:hAnsiTheme="minorHAnsi" w:cs="Segoe UI Light"/>
        </w:rPr>
        <w:t xml:space="preserve"> it is </w:t>
      </w:r>
      <w:r w:rsidR="00430812">
        <w:rPr>
          <w:rFonts w:asciiTheme="minorHAnsi" w:hAnsiTheme="minorHAnsi" w:cs="Segoe UI Light"/>
        </w:rPr>
        <w:t>anticipated</w:t>
      </w:r>
      <w:r w:rsidR="00B65195" w:rsidRPr="007B28CA">
        <w:rPr>
          <w:rFonts w:asciiTheme="minorHAnsi" w:hAnsiTheme="minorHAnsi" w:cs="Segoe UI Light"/>
        </w:rPr>
        <w:t xml:space="preserve"> </w:t>
      </w:r>
      <w:r>
        <w:rPr>
          <w:rFonts w:asciiTheme="minorHAnsi" w:hAnsiTheme="minorHAnsi" w:cs="Segoe UI Light"/>
        </w:rPr>
        <w:t xml:space="preserve">that approximately </w:t>
      </w:r>
      <w:r w:rsidR="00B65195" w:rsidRPr="007B28CA">
        <w:rPr>
          <w:rFonts w:asciiTheme="minorHAnsi" w:hAnsiTheme="minorHAnsi" w:cs="Segoe UI Light"/>
        </w:rPr>
        <w:t xml:space="preserve">100,000 OFGSHs </w:t>
      </w:r>
      <w:r>
        <w:rPr>
          <w:rFonts w:asciiTheme="minorHAnsi" w:hAnsiTheme="minorHAnsi" w:cs="Segoe UI Light"/>
        </w:rPr>
        <w:t>will be</w:t>
      </w:r>
      <w:r w:rsidR="00B65195" w:rsidRPr="007B28CA">
        <w:rPr>
          <w:rFonts w:asciiTheme="minorHAnsi" w:hAnsiTheme="minorHAnsi" w:cs="Segoe UI Light"/>
        </w:rPr>
        <w:t xml:space="preserve"> removed</w:t>
      </w:r>
      <w:r w:rsidR="001F245F">
        <w:rPr>
          <w:rFonts w:eastAsia="Times New Roman"/>
        </w:rPr>
        <w:t xml:space="preserve"> </w:t>
      </w:r>
      <w:r>
        <w:rPr>
          <w:rFonts w:eastAsia="Times New Roman"/>
        </w:rPr>
        <w:t>and replaced as a result</w:t>
      </w:r>
      <w:r w:rsidR="0024032E">
        <w:rPr>
          <w:rFonts w:eastAsia="Times New Roman"/>
        </w:rPr>
        <w:t xml:space="preserve"> of the </w:t>
      </w:r>
      <w:r w:rsidR="00603CA1">
        <w:rPr>
          <w:rFonts w:eastAsia="Times New Roman"/>
        </w:rPr>
        <w:t>package</w:t>
      </w:r>
      <w:r>
        <w:rPr>
          <w:rFonts w:eastAsia="Times New Roman"/>
        </w:rPr>
        <w:t xml:space="preserve">. </w:t>
      </w:r>
    </w:p>
    <w:p w14:paraId="13F9A412" w14:textId="06733D7D" w:rsidR="00ED3164" w:rsidRPr="00D379E5" w:rsidRDefault="0080487C" w:rsidP="000276F0">
      <w:r>
        <w:t>It is assumed that this</w:t>
      </w:r>
      <w:r w:rsidR="00946C48">
        <w:t xml:space="preserve"> household energy efficiency package </w:t>
      </w:r>
      <w:r>
        <w:t>will be delivered</w:t>
      </w:r>
      <w:r w:rsidR="00946C48">
        <w:t xml:space="preserve"> under the Base Case</w:t>
      </w:r>
      <w:r w:rsidR="00DA1A6A">
        <w:t xml:space="preserve">. </w:t>
      </w:r>
      <w:r w:rsidR="00CF521D">
        <w:t>However,</w:t>
      </w:r>
      <w:r w:rsidR="00DA1A6A">
        <w:t xml:space="preserve"> </w:t>
      </w:r>
      <w:r w:rsidR="00075465">
        <w:t>it</w:t>
      </w:r>
      <w:r w:rsidR="00DA1A6A">
        <w:t xml:space="preserve"> </w:t>
      </w:r>
      <w:r w:rsidR="00075465">
        <w:t>remains un</w:t>
      </w:r>
      <w:r w:rsidR="00603CA1">
        <w:t>certai</w:t>
      </w:r>
      <w:r w:rsidR="00075465">
        <w:t>n</w:t>
      </w:r>
      <w:r w:rsidR="00603CA1">
        <w:t xml:space="preserve"> exactly how the p</w:t>
      </w:r>
      <w:r w:rsidR="00E16D47">
        <w:t>ackage will affect the future stock of OFGSHs installed across Victoria</w:t>
      </w:r>
      <w:r w:rsidR="00F627F5">
        <w:t>. As a result,</w:t>
      </w:r>
      <w:r w:rsidR="00FD2147">
        <w:t xml:space="preserve"> potential impacts </w:t>
      </w:r>
      <w:r w:rsidR="00F627F5">
        <w:t>from</w:t>
      </w:r>
      <w:r w:rsidR="00FD2147">
        <w:t xml:space="preserve"> the </w:t>
      </w:r>
      <w:r w:rsidR="004D42A6">
        <w:t xml:space="preserve">package </w:t>
      </w:r>
      <w:r w:rsidR="00CF521D">
        <w:t>are</w:t>
      </w:r>
      <w:r w:rsidR="004D42A6">
        <w:t xml:space="preserve"> not considered in the </w:t>
      </w:r>
      <w:r w:rsidR="00CF521D">
        <w:t xml:space="preserve">quantitative assessment </w:t>
      </w:r>
      <w:r w:rsidR="004D42A6">
        <w:t xml:space="preserve">of options </w:t>
      </w:r>
      <w:r w:rsidR="00DF5F2C">
        <w:t>in this RIS.</w:t>
      </w:r>
    </w:p>
    <w:p w14:paraId="574F454D" w14:textId="597D4FD4" w:rsidR="00C03279" w:rsidRPr="00403D84" w:rsidRDefault="002827E2" w:rsidP="00AD0DF0">
      <w:pPr>
        <w:pStyle w:val="Heading4"/>
      </w:pPr>
      <w:r w:rsidRPr="00403D84">
        <w:t xml:space="preserve">Option 1 - </w:t>
      </w:r>
      <w:r w:rsidR="00094142" w:rsidRPr="00403D84">
        <w:t>Restriction on</w:t>
      </w:r>
      <w:r w:rsidRPr="00403D84">
        <w:t xml:space="preserve"> future installations</w:t>
      </w:r>
      <w:r w:rsidR="00094142" w:rsidRPr="00403D84">
        <w:t xml:space="preserve"> of OFGSHs</w:t>
      </w:r>
    </w:p>
    <w:p w14:paraId="7A4EDD7E" w14:textId="77777777" w:rsidR="002D3FED" w:rsidRPr="00AB0E79" w:rsidRDefault="002827E2" w:rsidP="002D3FED">
      <w:pPr>
        <w:spacing w:after="60"/>
        <w:rPr>
          <w:u w:val="single"/>
        </w:rPr>
      </w:pPr>
      <w:r w:rsidRPr="00AB0E79">
        <w:rPr>
          <w:u w:val="single"/>
        </w:rPr>
        <w:t>Description</w:t>
      </w:r>
    </w:p>
    <w:p w14:paraId="6776CD01" w14:textId="38D0E600" w:rsidR="00447BF6" w:rsidRDefault="00660FE2" w:rsidP="00447BF6">
      <w:pPr>
        <w:spacing w:after="160" w:line="259" w:lineRule="auto"/>
      </w:pPr>
      <w:r w:rsidRPr="00AB0E79">
        <w:t xml:space="preserve">No </w:t>
      </w:r>
      <w:r w:rsidR="00B276D5" w:rsidRPr="00AB0E79">
        <w:t xml:space="preserve">new </w:t>
      </w:r>
      <w:r w:rsidR="00893E0E">
        <w:t>or</w:t>
      </w:r>
      <w:r w:rsidR="00B276D5" w:rsidRPr="00AB0E79">
        <w:t xml:space="preserve"> replacement installations of</w:t>
      </w:r>
      <w:r w:rsidR="002D3FED" w:rsidRPr="00AB0E79">
        <w:t xml:space="preserve"> </w:t>
      </w:r>
      <w:r w:rsidR="000932DA">
        <w:t xml:space="preserve">OFGSHs </w:t>
      </w:r>
      <w:r w:rsidR="00B276D5" w:rsidRPr="00AB0E79">
        <w:t xml:space="preserve">will be permitted </w:t>
      </w:r>
      <w:r w:rsidR="002D3FED" w:rsidRPr="00AB0E79">
        <w:t>in Victoria</w:t>
      </w:r>
      <w:r w:rsidR="00030EB1" w:rsidRPr="00AB0E79">
        <w:t xml:space="preserve"> under </w:t>
      </w:r>
      <w:r w:rsidR="002D3FED" w:rsidRPr="00AB0E79">
        <w:t>amendments to the Gas Safety (Gas Installation) Regulations.</w:t>
      </w:r>
      <w:r w:rsidR="00E55568" w:rsidRPr="00AB0E79">
        <w:t xml:space="preserve"> </w:t>
      </w:r>
      <w:r w:rsidR="00030EB1" w:rsidRPr="00AB0E79">
        <w:t xml:space="preserve">This would include </w:t>
      </w:r>
      <w:r w:rsidR="009C727A">
        <w:t xml:space="preserve">both </w:t>
      </w:r>
      <w:r w:rsidR="00030EB1" w:rsidRPr="00AB0E79">
        <w:t>new and like</w:t>
      </w:r>
      <w:r w:rsidR="009C727A">
        <w:t>-</w:t>
      </w:r>
      <w:r w:rsidR="00030EB1" w:rsidRPr="00AB0E79">
        <w:t>for</w:t>
      </w:r>
      <w:r w:rsidR="009C727A">
        <w:t>-</w:t>
      </w:r>
      <w:r w:rsidR="00030EB1" w:rsidRPr="00AB0E79">
        <w:t xml:space="preserve">like replacements. </w:t>
      </w:r>
      <w:r w:rsidR="00C85B57">
        <w:t>From the date of implementation</w:t>
      </w:r>
      <w:r w:rsidR="00E50007">
        <w:t xml:space="preserve">, </w:t>
      </w:r>
      <w:r w:rsidR="004064A7">
        <w:t>licen</w:t>
      </w:r>
      <w:r w:rsidR="00220F78">
        <w:t>s</w:t>
      </w:r>
      <w:r w:rsidR="004064A7">
        <w:t xml:space="preserve">ed </w:t>
      </w:r>
      <w:r w:rsidR="00220F78">
        <w:t>gasfitters would no longer</w:t>
      </w:r>
      <w:r w:rsidR="009954B0">
        <w:t xml:space="preserve"> be able to install</w:t>
      </w:r>
      <w:r w:rsidR="00F57ADB">
        <w:t xml:space="preserve"> </w:t>
      </w:r>
      <w:r w:rsidR="00EE1C4D">
        <w:t>OFGSHs.</w:t>
      </w:r>
      <w:r w:rsidR="00447BF6" w:rsidRPr="00AB0E79">
        <w:t xml:space="preserve"> </w:t>
      </w:r>
      <w:r w:rsidR="00E55568" w:rsidRPr="00AB0E79">
        <w:t xml:space="preserve">Proposed amendments </w:t>
      </w:r>
      <w:r w:rsidR="00E704C6" w:rsidRPr="00AB0E79">
        <w:t>are to insert a new regulation</w:t>
      </w:r>
      <w:r w:rsidR="00030EB1" w:rsidRPr="00AB0E79">
        <w:t xml:space="preserve"> (</w:t>
      </w:r>
      <w:r w:rsidR="00E704C6" w:rsidRPr="00AB0E79">
        <w:t>25A</w:t>
      </w:r>
      <w:r w:rsidR="00030EB1" w:rsidRPr="00AB0E79">
        <w:t>)</w:t>
      </w:r>
      <w:r w:rsidR="00E704C6" w:rsidRPr="00AB0E79">
        <w:t xml:space="preserve"> </w:t>
      </w:r>
      <w:r w:rsidR="00A97183">
        <w:t xml:space="preserve">stating </w:t>
      </w:r>
      <w:r w:rsidR="00E704C6" w:rsidRPr="00AB0E79">
        <w:t xml:space="preserve">that a gasfitter </w:t>
      </w:r>
      <w:r w:rsidR="00E704C6" w:rsidRPr="00AB0E79">
        <w:lastRenderedPageBreak/>
        <w:t xml:space="preserve">must not install </w:t>
      </w:r>
      <w:r w:rsidR="00326729" w:rsidRPr="00AB0E79">
        <w:t xml:space="preserve">an </w:t>
      </w:r>
      <w:r w:rsidR="00351925">
        <w:t>OFGSH</w:t>
      </w:r>
      <w:r w:rsidR="00326729" w:rsidRPr="00AB0E79">
        <w:t xml:space="preserve"> in any premises, except if the gasfitter is carrying out a repair or </w:t>
      </w:r>
      <w:r w:rsidR="00F96EDB" w:rsidRPr="00AB0E79">
        <w:t xml:space="preserve">service or if the heater is an exempt fan-assisted </w:t>
      </w:r>
      <w:r w:rsidR="000932DA">
        <w:t xml:space="preserve">OFGSH </w:t>
      </w:r>
      <w:r w:rsidR="00F96EDB" w:rsidRPr="00AB0E79">
        <w:t xml:space="preserve">with a fail-safe interlock (see draft regulation </w:t>
      </w:r>
      <w:r w:rsidR="008E6FAF" w:rsidRPr="00AB0E79">
        <w:t xml:space="preserve">in full </w:t>
      </w:r>
      <w:r w:rsidR="003F7CBD">
        <w:t>in</w:t>
      </w:r>
      <w:r w:rsidR="00F96EDB" w:rsidRPr="00AB0E79">
        <w:t xml:space="preserve"> Attachment </w:t>
      </w:r>
      <w:r w:rsidR="001A3DB7">
        <w:t>D</w:t>
      </w:r>
      <w:r w:rsidR="00F96EDB" w:rsidRPr="00AB0E79">
        <w:t xml:space="preserve">). </w:t>
      </w:r>
      <w:r w:rsidR="000932DA">
        <w:t xml:space="preserve">OFGSHs </w:t>
      </w:r>
      <w:r w:rsidR="002D3FED" w:rsidRPr="00AB0E79">
        <w:t>already installed would not be affected</w:t>
      </w:r>
      <w:r w:rsidR="00F96EDB" w:rsidRPr="00AB0E79">
        <w:t xml:space="preserve"> by proposed regulations.</w:t>
      </w:r>
      <w:r w:rsidR="00F96EDB" w:rsidRPr="00AB0E79" w:rsidDel="004F20F6">
        <w:t xml:space="preserve"> </w:t>
      </w:r>
    </w:p>
    <w:p w14:paraId="2E0E2348" w14:textId="6437E85E" w:rsidR="002D3FED" w:rsidRPr="00AB0E79" w:rsidRDefault="002D3FED" w:rsidP="00AD0DF0">
      <w:r w:rsidRPr="00AB0E79">
        <w:t xml:space="preserve">The </w:t>
      </w:r>
      <w:r w:rsidR="002C469D" w:rsidRPr="00AB0E79">
        <w:t>G</w:t>
      </w:r>
      <w:r w:rsidR="00653621">
        <w:t>S</w:t>
      </w:r>
      <w:r w:rsidRPr="00AB0E79">
        <w:t xml:space="preserve"> Act provides the relevant Minister (</w:t>
      </w:r>
      <w:r w:rsidR="00756063">
        <w:t xml:space="preserve">the </w:t>
      </w:r>
      <w:r w:rsidRPr="00AB0E79">
        <w:t xml:space="preserve">Minister for Energy, Environment and Climate Change) powers to recommend regulations to </w:t>
      </w:r>
      <w:r w:rsidR="002C1705">
        <w:t>restrict</w:t>
      </w:r>
      <w:r w:rsidRPr="00AB0E79">
        <w:t xml:space="preserve"> the installation of </w:t>
      </w:r>
      <w:r w:rsidR="000932DA">
        <w:t>OFGSHs.</w:t>
      </w:r>
      <w:r w:rsidRPr="00AB0E79">
        <w:t xml:space="preserve"> The </w:t>
      </w:r>
      <w:r w:rsidR="00E64E90" w:rsidRPr="00AB0E79">
        <w:t>GS</w:t>
      </w:r>
      <w:r w:rsidR="002C469D" w:rsidRPr="00AB0E79">
        <w:t xml:space="preserve"> </w:t>
      </w:r>
      <w:r w:rsidRPr="00AB0E79">
        <w:t xml:space="preserve">Act also provides </w:t>
      </w:r>
      <w:r w:rsidR="00B62717" w:rsidRPr="00AB0E79">
        <w:t xml:space="preserve">ESV </w:t>
      </w:r>
      <w:r w:rsidRPr="00AB0E79">
        <w:t xml:space="preserve">with powers to declare the non-acceptance of </w:t>
      </w:r>
      <w:r w:rsidR="000932DA">
        <w:t xml:space="preserve">OFGSHs </w:t>
      </w:r>
      <w:r w:rsidR="00883438" w:rsidRPr="00AB0E79">
        <w:t>(which means these appliances could not be certified for use in Victoria and therefore it would be an offence to sell, supply or install them)</w:t>
      </w:r>
      <w:r w:rsidRPr="00AB0E79">
        <w:t xml:space="preserve">, and to prohibit the sale and supply of </w:t>
      </w:r>
      <w:r w:rsidR="000932DA">
        <w:t>OFGSHs.</w:t>
      </w:r>
      <w:r w:rsidRPr="00AB0E79">
        <w:t xml:space="preserve"> </w:t>
      </w:r>
    </w:p>
    <w:p w14:paraId="6F6C4736" w14:textId="4FDA477F" w:rsidR="002D3FED" w:rsidRPr="00AB0E79" w:rsidRDefault="002D3FED" w:rsidP="00AD0DF0">
      <w:r w:rsidRPr="00AB0E79">
        <w:t xml:space="preserve">ESV’s powers and the Minister’s powers complement each other but are distinct </w:t>
      </w:r>
      <w:r w:rsidR="00AE1D67">
        <w:t>and require</w:t>
      </w:r>
      <w:r w:rsidRPr="00AB0E79">
        <w:t xml:space="preserve"> decisions </w:t>
      </w:r>
      <w:r w:rsidR="00AE1D67">
        <w:t>to be made separately and by</w:t>
      </w:r>
      <w:r w:rsidR="00AE1D67" w:rsidRPr="00AB0E79">
        <w:t xml:space="preserve"> </w:t>
      </w:r>
      <w:r w:rsidRPr="00AB0E79">
        <w:t xml:space="preserve">different persons. </w:t>
      </w:r>
    </w:p>
    <w:p w14:paraId="5221A717" w14:textId="77777777" w:rsidR="004B155E" w:rsidRPr="00B02E1D" w:rsidRDefault="004B155E" w:rsidP="00066864">
      <w:pPr>
        <w:spacing w:before="120" w:after="120" w:line="240" w:lineRule="auto"/>
      </w:pPr>
      <w:r w:rsidRPr="00B02E1D">
        <w:t>It is possible that ESV may consider exercising its own powers separately t</w:t>
      </w:r>
      <w:r>
        <w:t>o</w:t>
      </w:r>
      <w:r w:rsidRPr="00B02E1D">
        <w:t xml:space="preserve"> </w:t>
      </w:r>
      <w:r>
        <w:t xml:space="preserve">declare non- </w:t>
      </w:r>
      <w:r w:rsidRPr="00B02E1D">
        <w:t xml:space="preserve">acceptance and/or </w:t>
      </w:r>
      <w:r>
        <w:t xml:space="preserve">prohibit </w:t>
      </w:r>
      <w:r w:rsidRPr="00B02E1D">
        <w:t>sale and supply of OFGSHs. This would be a separate decision by the Director, Energy Safety, ESV, which may take into account relevant information and stakeholder feedback through this RIS process.</w:t>
      </w:r>
    </w:p>
    <w:p w14:paraId="70140D72" w14:textId="77777777" w:rsidR="004B155E" w:rsidRPr="00B02E1D" w:rsidRDefault="004B155E" w:rsidP="00066864">
      <w:pPr>
        <w:spacing w:before="120" w:after="120" w:line="240" w:lineRule="auto"/>
      </w:pPr>
      <w:r w:rsidRPr="00B02E1D">
        <w:t xml:space="preserve">Given it is possible that ESV may consider exercising its own powers, assessment of </w:t>
      </w:r>
      <w:r>
        <w:t>Option 1</w:t>
      </w:r>
      <w:r w:rsidRPr="00B02E1D">
        <w:t xml:space="preserve"> takes into account the two different scenarios under which regulations could be made. These include: </w:t>
      </w:r>
    </w:p>
    <w:p w14:paraId="78E81C51" w14:textId="13C46EA0" w:rsidR="0002725C" w:rsidRPr="00AB0E79" w:rsidRDefault="008E6FAF" w:rsidP="008E6FAF">
      <w:pPr>
        <w:pStyle w:val="ListParagraph"/>
        <w:numPr>
          <w:ilvl w:val="0"/>
          <w:numId w:val="120"/>
        </w:numPr>
        <w:spacing w:after="160" w:line="259" w:lineRule="auto"/>
      </w:pPr>
      <w:r w:rsidRPr="00AB0E79">
        <w:rPr>
          <w:b/>
          <w:bCs/>
        </w:rPr>
        <w:t>Scenario 1</w:t>
      </w:r>
      <w:r w:rsidRPr="00AB0E79">
        <w:t xml:space="preserve"> - standalone </w:t>
      </w:r>
      <w:r w:rsidR="009C01AC" w:rsidRPr="00AB0E79">
        <w:t>R</w:t>
      </w:r>
      <w:r w:rsidRPr="00AB0E79">
        <w:t>egulations</w:t>
      </w:r>
      <w:r w:rsidR="0002725C" w:rsidRPr="00AB0E79">
        <w:t xml:space="preserve"> implementing a restriction on future installations of OFGSHs</w:t>
      </w:r>
    </w:p>
    <w:p w14:paraId="7C64A2AF" w14:textId="0532EAE4" w:rsidR="008E6FAF" w:rsidRPr="00AB0E79" w:rsidRDefault="008E6FAF" w:rsidP="0002725C">
      <w:pPr>
        <w:pStyle w:val="ListParagraph"/>
        <w:numPr>
          <w:ilvl w:val="0"/>
          <w:numId w:val="120"/>
        </w:numPr>
        <w:spacing w:after="160" w:line="259" w:lineRule="auto"/>
      </w:pPr>
      <w:r w:rsidRPr="00AB0E79">
        <w:rPr>
          <w:b/>
          <w:bCs/>
        </w:rPr>
        <w:t>Scenario 2</w:t>
      </w:r>
      <w:r w:rsidRPr="00AB0E79">
        <w:t xml:space="preserve"> - </w:t>
      </w:r>
      <w:r w:rsidR="009C01AC" w:rsidRPr="00AB0E79">
        <w:t>R</w:t>
      </w:r>
      <w:r w:rsidRPr="00AB0E79">
        <w:t xml:space="preserve">egulations </w:t>
      </w:r>
      <w:r w:rsidR="0002725C" w:rsidRPr="000276F0">
        <w:t>(</w:t>
      </w:r>
      <w:r w:rsidR="00235828" w:rsidRPr="000276F0">
        <w:t>S</w:t>
      </w:r>
      <w:r w:rsidR="0002725C" w:rsidRPr="000276F0">
        <w:t>cenario 1)</w:t>
      </w:r>
      <w:r w:rsidR="0002725C" w:rsidRPr="00AB0E79">
        <w:rPr>
          <w:b/>
          <w:bCs/>
        </w:rPr>
        <w:t xml:space="preserve"> </w:t>
      </w:r>
      <w:r w:rsidRPr="00AB0E79">
        <w:t xml:space="preserve">together with a separate decision by ESV to </w:t>
      </w:r>
      <w:r w:rsidR="002C3EAC">
        <w:t>cease</w:t>
      </w:r>
      <w:r w:rsidRPr="00AB0E79">
        <w:t xml:space="preserve"> certification and/or sale and supply. Within scenario </w:t>
      </w:r>
      <w:r w:rsidR="0002725C" w:rsidRPr="00AB0E79">
        <w:t>2</w:t>
      </w:r>
      <w:r w:rsidRPr="00AB0E79">
        <w:t xml:space="preserve"> there are two possibilities: </w:t>
      </w:r>
    </w:p>
    <w:p w14:paraId="3BC2005F" w14:textId="77777777" w:rsidR="008E6FAF" w:rsidRPr="00AB0E79" w:rsidRDefault="008E6FAF" w:rsidP="008E6FAF">
      <w:pPr>
        <w:pStyle w:val="ListParagraph"/>
        <w:numPr>
          <w:ilvl w:val="1"/>
          <w:numId w:val="120"/>
        </w:numPr>
        <w:spacing w:after="160" w:line="259" w:lineRule="auto"/>
      </w:pPr>
      <w:r w:rsidRPr="00AB0E79">
        <w:t>Regulations are made before any ESV decision (Scenario 2a);</w:t>
      </w:r>
    </w:p>
    <w:p w14:paraId="1C950C76" w14:textId="71D4A5EC" w:rsidR="008E6FAF" w:rsidRPr="00AB0E79" w:rsidRDefault="008E6FAF" w:rsidP="008E6FAF">
      <w:pPr>
        <w:pStyle w:val="ListParagraph"/>
        <w:numPr>
          <w:ilvl w:val="1"/>
          <w:numId w:val="120"/>
        </w:numPr>
        <w:spacing w:after="160" w:line="259" w:lineRule="auto"/>
      </w:pPr>
      <w:r w:rsidRPr="00AB0E79">
        <w:t>Any ESV decision/s is made before the Regulations (Scenario 2b).</w:t>
      </w:r>
    </w:p>
    <w:p w14:paraId="2CD545D4" w14:textId="05EE389D" w:rsidR="008E6FAF" w:rsidRDefault="0010149B" w:rsidP="00AD0DF0">
      <w:pPr>
        <w:spacing w:after="120"/>
      </w:pPr>
      <w:r>
        <w:t>A restriction</w:t>
      </w:r>
      <w:r w:rsidR="008E6FAF" w:rsidRPr="00AB0E79">
        <w:t xml:space="preserve"> on the installation of OFGSHs by the Minster, or declaration by ESV of non-acceptance </w:t>
      </w:r>
      <w:r w:rsidR="000A41A7">
        <w:t>of</w:t>
      </w:r>
      <w:r w:rsidR="00B917DD" w:rsidRPr="00AB0E79">
        <w:t xml:space="preserve"> </w:t>
      </w:r>
      <w:r w:rsidR="000932DA">
        <w:t xml:space="preserve">OFGSHs </w:t>
      </w:r>
      <w:r w:rsidR="008E6FAF" w:rsidRPr="00AB0E79">
        <w:t>and/or prohibition of the sale and supply of OFGSH, or a combination of both, would result in the same or similar costs and benefits occurring</w:t>
      </w:r>
      <w:r w:rsidR="004824C3" w:rsidRPr="00AB0E79">
        <w:t>,</w:t>
      </w:r>
      <w:r w:rsidR="004824C3" w:rsidRPr="00AB0E79" w:rsidDel="0010149B">
        <w:t xml:space="preserve"> </w:t>
      </w:r>
      <w:r w:rsidR="004824C3" w:rsidRPr="00AB0E79">
        <w:t xml:space="preserve">however, Scenario 2a and 2b would provide a more comprehensive and consistent regulatory regime, covering acceptance, sale and supply directly in addition to the </w:t>
      </w:r>
      <w:r w:rsidR="009C01AC" w:rsidRPr="00AB0E79">
        <w:t>R</w:t>
      </w:r>
      <w:r w:rsidR="004824C3" w:rsidRPr="00AB0E79">
        <w:t>egulations covering installation</w:t>
      </w:r>
      <w:r w:rsidR="008E6FAF" w:rsidRPr="00AB0E79">
        <w:t xml:space="preserve">. </w:t>
      </w:r>
      <w:r w:rsidR="00954EC7">
        <w:t>Due to the similarity of the scenarios, the analysis presented in this RIS for Option 1 is applicable to all scenarios.</w:t>
      </w:r>
    </w:p>
    <w:p w14:paraId="40945F40" w14:textId="226989B0" w:rsidR="00E26F43" w:rsidRDefault="00E26F43" w:rsidP="00E26F43">
      <w:pPr>
        <w:spacing w:before="120" w:after="0" w:line="240" w:lineRule="auto"/>
      </w:pPr>
      <w:r>
        <w:t>It is important to note that Option 1, like Option 2, only address</w:t>
      </w:r>
      <w:r w:rsidR="00264CF0">
        <w:t>es</w:t>
      </w:r>
      <w:r>
        <w:t xml:space="preserve"> the risks associated with future installations of OFGSH</w:t>
      </w:r>
      <w:r w:rsidR="00A24AB9">
        <w:t>s in Victoria</w:t>
      </w:r>
      <w:r w:rsidR="0073438F">
        <w:t xml:space="preserve">. </w:t>
      </w:r>
      <w:r w:rsidR="00A6445C">
        <w:t>Both options are</w:t>
      </w:r>
      <w:r>
        <w:t xml:space="preserve"> not </w:t>
      </w:r>
      <w:r w:rsidR="006B3DED">
        <w:t xml:space="preserve">expected to reduce the risk posed by </w:t>
      </w:r>
      <w:r>
        <w:t>OFGSHs already installed.</w:t>
      </w:r>
    </w:p>
    <w:p w14:paraId="5DC4A6F2" w14:textId="77777777" w:rsidR="002D3FED" w:rsidRPr="00AB0E79" w:rsidRDefault="002D3FED" w:rsidP="00066864">
      <w:pPr>
        <w:spacing w:before="170" w:after="60"/>
      </w:pPr>
      <w:r w:rsidRPr="00AB0E79">
        <w:rPr>
          <w:u w:val="single"/>
        </w:rPr>
        <w:t>Timing</w:t>
      </w:r>
    </w:p>
    <w:p w14:paraId="0372AA0A" w14:textId="1EFE857A" w:rsidR="00A24C46" w:rsidRPr="00AB0E79" w:rsidRDefault="00A24C46" w:rsidP="000276F0">
      <w:pPr>
        <w:spacing w:after="240"/>
      </w:pPr>
      <w:r w:rsidRPr="00AB0E79">
        <w:t>Regulations</w:t>
      </w:r>
      <w:r w:rsidR="002D3FED" w:rsidRPr="00AB0E79">
        <w:t xml:space="preserve"> </w:t>
      </w:r>
      <w:r w:rsidR="00417064">
        <w:t>would</w:t>
      </w:r>
      <w:r w:rsidR="002D3FED" w:rsidRPr="00AB0E79">
        <w:t xml:space="preserve"> commence from 1 </w:t>
      </w:r>
      <w:r w:rsidR="00425EAE" w:rsidRPr="00AB0E79">
        <w:t>June</w:t>
      </w:r>
      <w:r w:rsidR="002D3FED" w:rsidRPr="00AB0E79">
        <w:t xml:space="preserve"> </w:t>
      </w:r>
      <w:r w:rsidR="002D3FED" w:rsidRPr="00066864">
        <w:t>202</w:t>
      </w:r>
      <w:r w:rsidR="00CE027D" w:rsidRPr="00066864">
        <w:t>1</w:t>
      </w:r>
      <w:r w:rsidR="002D3FED" w:rsidRPr="00AB0E79">
        <w:t xml:space="preserve"> </w:t>
      </w:r>
      <w:r w:rsidR="007E55EA">
        <w:t>(</w:t>
      </w:r>
      <w:r w:rsidR="00993CD6">
        <w:t>six months prior to the implementation</w:t>
      </w:r>
      <w:r w:rsidR="00736E9D">
        <w:t xml:space="preserve"> of Option 2</w:t>
      </w:r>
      <w:r w:rsidR="00B203D3">
        <w:t xml:space="preserve"> a fast-tracked standards</w:t>
      </w:r>
      <w:r w:rsidR="0083269F">
        <w:t>-</w:t>
      </w:r>
      <w:r w:rsidR="00B203D3">
        <w:t>based approach)</w:t>
      </w:r>
      <w:r w:rsidR="002D3FED" w:rsidRPr="00AB0E79">
        <w:t xml:space="preserve">. </w:t>
      </w:r>
      <w:r w:rsidR="007E55EA">
        <w:t>From this date, OFGSHs would no longer be allowed to be installed in Victoria</w:t>
      </w:r>
      <w:r w:rsidR="007E55EA" w:rsidRPr="00785CA0">
        <w:t>.</w:t>
      </w:r>
    </w:p>
    <w:p w14:paraId="5B8A81F5" w14:textId="77777777" w:rsidR="00A24C46" w:rsidRPr="00AB0E79" w:rsidRDefault="00A24C46" w:rsidP="002D3FED">
      <w:pPr>
        <w:spacing w:after="60"/>
        <w:rPr>
          <w:u w:val="single"/>
        </w:rPr>
      </w:pPr>
      <w:r w:rsidRPr="00AB0E79">
        <w:rPr>
          <w:u w:val="single"/>
        </w:rPr>
        <w:t>Compliance</w:t>
      </w:r>
    </w:p>
    <w:p w14:paraId="7609C70B" w14:textId="325EB173" w:rsidR="000736CE" w:rsidRPr="007B28CA" w:rsidRDefault="00D71879" w:rsidP="000736CE">
      <w:r w:rsidRPr="00AB0E79">
        <w:t xml:space="preserve">Gasfitters would be required to comply with proposed </w:t>
      </w:r>
      <w:r w:rsidR="00AD5066" w:rsidRPr="00AB0E79">
        <w:t>regulations and</w:t>
      </w:r>
      <w:r w:rsidR="00C13563" w:rsidRPr="00AB0E79">
        <w:t xml:space="preserve"> would not be allowed to install OFGSH</w:t>
      </w:r>
      <w:r w:rsidR="00CE027D" w:rsidRPr="00AB0E79">
        <w:t>s</w:t>
      </w:r>
      <w:r w:rsidRPr="00AB0E79">
        <w:t xml:space="preserve">. </w:t>
      </w:r>
      <w:r w:rsidR="004D218D">
        <w:t>There would be a role for the</w:t>
      </w:r>
      <w:r w:rsidRPr="00AB0E79">
        <w:t xml:space="preserve"> </w:t>
      </w:r>
      <w:r w:rsidR="000736CE">
        <w:t xml:space="preserve">VBA in monitoring </w:t>
      </w:r>
      <w:r w:rsidR="0007280F">
        <w:t xml:space="preserve">gasfitter </w:t>
      </w:r>
      <w:r w:rsidR="000736CE">
        <w:t xml:space="preserve">compliance and enforcing gasfitting installation standards under the Victorian plumbing regulatory framework. </w:t>
      </w:r>
      <w:r w:rsidR="00143500">
        <w:t xml:space="preserve">The </w:t>
      </w:r>
      <w:r w:rsidR="000736CE">
        <w:t xml:space="preserve">VBA would also provide information to practitioners outlining </w:t>
      </w:r>
      <w:r w:rsidR="00756063">
        <w:t>its</w:t>
      </w:r>
      <w:r w:rsidR="000736CE">
        <w:t xml:space="preserve"> regulatory requirements.</w:t>
      </w:r>
    </w:p>
    <w:p w14:paraId="33901B86" w14:textId="7025F265" w:rsidR="002D3FED" w:rsidRPr="00AB0E79" w:rsidRDefault="00D71879" w:rsidP="00066864">
      <w:r w:rsidRPr="00AB0E79">
        <w:t>Penalties for non-compliance</w:t>
      </w:r>
      <w:r w:rsidR="005C7740" w:rsidRPr="00AB0E79">
        <w:t xml:space="preserve"> would </w:t>
      </w:r>
      <w:r w:rsidRPr="00AB0E79">
        <w:t xml:space="preserve">apply under the </w:t>
      </w:r>
      <w:r w:rsidR="00736612" w:rsidRPr="00AB0E79">
        <w:t xml:space="preserve">GS Act </w:t>
      </w:r>
      <w:r w:rsidRPr="00AB0E79">
        <w:t>(40 penalty units apply in the case of a natural person and 200 penalty units apply in the case of a body corporate)</w:t>
      </w:r>
      <w:r w:rsidR="00A24C46" w:rsidRPr="00AB0E79">
        <w:t xml:space="preserve">. ESV would also </w:t>
      </w:r>
      <w:r w:rsidRPr="00AB0E79">
        <w:t xml:space="preserve">ensure retailers are </w:t>
      </w:r>
      <w:r w:rsidR="00CE027D" w:rsidRPr="00AB0E79">
        <w:t>aware</w:t>
      </w:r>
      <w:r w:rsidR="002D3FED" w:rsidRPr="00AB0E79">
        <w:t xml:space="preserve"> of regulations and point of sale would be monitored to </w:t>
      </w:r>
      <w:r w:rsidR="002D3FED" w:rsidRPr="00066864">
        <w:t xml:space="preserve">ensure </w:t>
      </w:r>
      <w:r w:rsidR="003D5F5A" w:rsidRPr="00066864">
        <w:t>retailers are aware certain heaters cannot be installed in Victoria.</w:t>
      </w:r>
    </w:p>
    <w:p w14:paraId="43045D8C" w14:textId="4027FAF2" w:rsidR="002827E2" w:rsidRPr="00D807E8" w:rsidRDefault="007D7C7D">
      <w:r w:rsidRPr="00AB0E79">
        <w:t xml:space="preserve">If regulations are made under a scenario where ESV has also made a decision to declare non-acceptance of </w:t>
      </w:r>
      <w:r w:rsidR="000932DA">
        <w:t xml:space="preserve">OFGSHs </w:t>
      </w:r>
      <w:r w:rsidRPr="00AB0E79">
        <w:t xml:space="preserve">or prohibit their sale and supply, then </w:t>
      </w:r>
      <w:r w:rsidR="0036572E" w:rsidRPr="00066864">
        <w:t>ESV would ensure that manufacturers, retailers and suppliers are aware of the point of sale legislation.</w:t>
      </w:r>
      <w:r w:rsidR="0036572E" w:rsidRPr="00AB0E79">
        <w:t xml:space="preserve"> </w:t>
      </w:r>
      <w:r w:rsidR="000B3E45" w:rsidRPr="00AB0E79">
        <w:t xml:space="preserve">In addition, </w:t>
      </w:r>
      <w:r w:rsidR="002D3FED" w:rsidRPr="00AB0E79">
        <w:t xml:space="preserve">manufacturers, </w:t>
      </w:r>
      <w:r w:rsidR="009F252F" w:rsidRPr="00AB0E79">
        <w:t xml:space="preserve">retailers, </w:t>
      </w:r>
      <w:r w:rsidR="002D3FED" w:rsidRPr="00AB0E79">
        <w:t>suppliers</w:t>
      </w:r>
      <w:r w:rsidR="000B3E45" w:rsidRPr="00AB0E79">
        <w:t xml:space="preserve"> would not be permitted to </w:t>
      </w:r>
      <w:r w:rsidR="00CE753D" w:rsidRPr="00AB0E79">
        <w:t>sell or supply OFGSH</w:t>
      </w:r>
      <w:r w:rsidR="0036572E" w:rsidRPr="00AB0E79">
        <w:t>s</w:t>
      </w:r>
      <w:r w:rsidR="00CE753D" w:rsidRPr="00AB0E79">
        <w:t xml:space="preserve"> for use in </w:t>
      </w:r>
      <w:r w:rsidR="00CE753D" w:rsidRPr="00AB0E79">
        <w:lastRenderedPageBreak/>
        <w:t>Victoria, and penalties for non</w:t>
      </w:r>
      <w:r w:rsidR="00C02CEE">
        <w:t>-</w:t>
      </w:r>
      <w:r w:rsidR="00CE753D" w:rsidRPr="00AB0E79">
        <w:t xml:space="preserve">compliance would apply under the </w:t>
      </w:r>
      <w:r w:rsidR="00736612" w:rsidRPr="00AB0E79">
        <w:t>GS Act</w:t>
      </w:r>
      <w:r w:rsidR="00D807E8" w:rsidRPr="00AB0E79">
        <w:rPr>
          <w:i/>
          <w:iCs/>
        </w:rPr>
        <w:t xml:space="preserve"> </w:t>
      </w:r>
      <w:r w:rsidR="00D807E8" w:rsidRPr="00AB0E79">
        <w:t>(40 penalty units apply in the case of a natural person and 200 penalty units apply in the case of a body corporate).</w:t>
      </w:r>
      <w:r w:rsidR="00656ED3">
        <w:rPr>
          <w:rStyle w:val="FootnoteReference"/>
        </w:rPr>
        <w:footnoteReference w:id="104"/>
      </w:r>
    </w:p>
    <w:p w14:paraId="060B3F82" w14:textId="3E159F5E" w:rsidR="00487E7C" w:rsidRDefault="00487E7C" w:rsidP="00BC17BC">
      <w:pPr>
        <w:pStyle w:val="Heading4"/>
      </w:pPr>
      <w:r w:rsidRPr="00E050F6">
        <w:t xml:space="preserve">Option 2 - </w:t>
      </w:r>
      <w:r w:rsidR="00D06178">
        <w:t>Fast-tracked s</w:t>
      </w:r>
      <w:r w:rsidRPr="005A2840">
        <w:t>tandards</w:t>
      </w:r>
      <w:r w:rsidR="0083269F">
        <w:t>-</w:t>
      </w:r>
      <w:r w:rsidRPr="005A2840">
        <w:t>based approach</w:t>
      </w:r>
    </w:p>
    <w:p w14:paraId="601D583B" w14:textId="50522371" w:rsidR="006A1E18" w:rsidRPr="00BC17BC" w:rsidRDefault="006A1E18" w:rsidP="00BC17BC">
      <w:pPr>
        <w:spacing w:after="60"/>
        <w:rPr>
          <w:u w:val="single"/>
        </w:rPr>
      </w:pPr>
      <w:r w:rsidRPr="00BC17BC">
        <w:rPr>
          <w:u w:val="single"/>
        </w:rPr>
        <w:t xml:space="preserve">Description </w:t>
      </w:r>
    </w:p>
    <w:p w14:paraId="15BC6739" w14:textId="7DCD385B" w:rsidR="006F30A5" w:rsidRPr="00785CA0" w:rsidRDefault="006F30A5" w:rsidP="006F30A5">
      <w:pPr>
        <w:spacing w:line="252" w:lineRule="auto"/>
      </w:pPr>
      <w:r>
        <w:t>In Option 2</w:t>
      </w:r>
      <w:r w:rsidRPr="00785CA0">
        <w:t xml:space="preserve"> amendments </w:t>
      </w:r>
      <w:r>
        <w:t xml:space="preserve">would be introduced </w:t>
      </w:r>
      <w:r w:rsidRPr="00785CA0">
        <w:t xml:space="preserve">to the relevant Australian Standards (AS/NZS5263.1.3 </w:t>
      </w:r>
      <w:r>
        <w:t xml:space="preserve">and AS/NZS5263.1.8) </w:t>
      </w:r>
      <w:r w:rsidRPr="00785CA0">
        <w:t xml:space="preserve">to require OFGSHs </w:t>
      </w:r>
      <w:r>
        <w:t xml:space="preserve">and Type 2 decorative effect appliances that meet thermal efficiency requirements respectively </w:t>
      </w:r>
      <w:r w:rsidRPr="00785CA0">
        <w:t xml:space="preserve">to shut down safely in a negative pressure environment. </w:t>
      </w:r>
      <w:r>
        <w:t>The a</w:t>
      </w:r>
      <w:r w:rsidRPr="00785CA0">
        <w:t xml:space="preserve">mended standards would apply to all Australian jurisdictions </w:t>
      </w:r>
      <w:r>
        <w:t>that</w:t>
      </w:r>
      <w:r w:rsidRPr="00785CA0">
        <w:t xml:space="preserve"> recognise those standards, not just Victoria. </w:t>
      </w:r>
      <w:r>
        <w:t>Any a</w:t>
      </w:r>
      <w:r w:rsidRPr="00066864">
        <w:t>mendments to the Australian Standard would only apply to newly manufactured appliances</w:t>
      </w:r>
      <w:r>
        <w:t xml:space="preserve"> and</w:t>
      </w:r>
      <w:r w:rsidRPr="00066864">
        <w:t xml:space="preserve"> would not apply to appliances already installed. Retrofitting installed appliances is out of </w:t>
      </w:r>
      <w:r>
        <w:t xml:space="preserve">the </w:t>
      </w:r>
      <w:r w:rsidRPr="00066864">
        <w:t xml:space="preserve">scope of the </w:t>
      </w:r>
      <w:r>
        <w:t>s</w:t>
      </w:r>
      <w:r w:rsidRPr="00066864">
        <w:t>tandards process.</w:t>
      </w:r>
      <w:r>
        <w:t xml:space="preserve"> Any </w:t>
      </w:r>
      <w:r w:rsidRPr="00785CA0">
        <w:t>OFGSH that meet</w:t>
      </w:r>
      <w:r>
        <w:t>s</w:t>
      </w:r>
      <w:r w:rsidRPr="00785CA0">
        <w:t xml:space="preserve"> the requirements could be sold, supplied, and installed.</w:t>
      </w:r>
      <w:r w:rsidRPr="00785CA0">
        <w:rPr>
          <w:rStyle w:val="FootnoteReference"/>
        </w:rPr>
        <w:footnoteReference w:id="105"/>
      </w:r>
    </w:p>
    <w:p w14:paraId="77D0BE62" w14:textId="44DB8B41" w:rsidR="006F30A5" w:rsidRDefault="006F30A5" w:rsidP="006F30A5">
      <w:pPr>
        <w:rPr>
          <w:highlight w:val="yellow"/>
        </w:rPr>
      </w:pPr>
      <w:r w:rsidRPr="007B28CA">
        <w:t xml:space="preserve">The amendment to the standard would </w:t>
      </w:r>
      <w:r w:rsidRPr="00543DB5">
        <w:t>require</w:t>
      </w:r>
      <w:r w:rsidRPr="00853CE1">
        <w:t xml:space="preserve"> OFGSHs to shut down within 15 minutes in a negative pressure environment. The shut-down condition </w:t>
      </w:r>
      <w:r>
        <w:t>would be</w:t>
      </w:r>
      <w:r w:rsidRPr="00853CE1">
        <w:t xml:space="preserve"> a non-volatile lockout; i.e. the appliance </w:t>
      </w:r>
      <w:r>
        <w:t>would not</w:t>
      </w:r>
      <w:r w:rsidRPr="00853CE1">
        <w:t xml:space="preserve"> automatically restart but rather would require manual intervention with the use of a tool by a qualified practitioner </w:t>
      </w:r>
      <w:r>
        <w:t xml:space="preserve">in order </w:t>
      </w:r>
      <w:r w:rsidRPr="00853CE1">
        <w:t>to reset.</w:t>
      </w:r>
    </w:p>
    <w:p w14:paraId="0C463D28" w14:textId="20EB6E32" w:rsidR="005E5B1C" w:rsidRPr="005E5B1C" w:rsidRDefault="006F30A5" w:rsidP="005E5B1C">
      <w:pPr>
        <w:spacing w:after="0"/>
        <w:rPr>
          <w:rFonts w:eastAsia="Times New Roman" w:cs="Times New Roman"/>
          <w:lang w:eastAsia="en-AU"/>
        </w:rPr>
      </w:pPr>
      <w:r>
        <w:t>Option 2’s amended standard would require</w:t>
      </w:r>
      <w:r w:rsidRPr="00785CA0">
        <w:t xml:space="preserve"> all new models to meet </w:t>
      </w:r>
      <w:r>
        <w:t xml:space="preserve">the </w:t>
      </w:r>
      <w:r w:rsidRPr="00785CA0">
        <w:t xml:space="preserve">amended certification testing standards and industry </w:t>
      </w:r>
      <w:r>
        <w:t>would</w:t>
      </w:r>
      <w:r w:rsidRPr="00785CA0">
        <w:t xml:space="preserve"> not be able to manufacture non-compliant stock. </w:t>
      </w:r>
      <w:r>
        <w:t>Under this option</w:t>
      </w:r>
      <w:r w:rsidR="009B6D89">
        <w:t>, to assist transition,</w:t>
      </w:r>
      <w:r>
        <w:t xml:space="preserve"> i</w:t>
      </w:r>
      <w:r w:rsidRPr="00785CA0">
        <w:t xml:space="preserve">ndustry could sell existing </w:t>
      </w:r>
      <w:r>
        <w:t xml:space="preserve">OFGSHs </w:t>
      </w:r>
      <w:r w:rsidRPr="00785CA0">
        <w:t xml:space="preserve">stock after this date, however it is </w:t>
      </w:r>
      <w:r>
        <w:t>likely</w:t>
      </w:r>
      <w:r w:rsidRPr="00785CA0">
        <w:t xml:space="preserve"> that such sales </w:t>
      </w:r>
      <w:r>
        <w:t>would</w:t>
      </w:r>
      <w:r w:rsidRPr="00785CA0">
        <w:t xml:space="preserve"> be low because manufacturers are expected to sell down existing </w:t>
      </w:r>
      <w:r>
        <w:t xml:space="preserve">OFGSHs </w:t>
      </w:r>
      <w:r w:rsidRPr="00785CA0">
        <w:t>stock prior to the change, alongside already decreasing sales (discussed in detail in Chapter 5).</w:t>
      </w:r>
      <w:r w:rsidR="00475ABE" w:rsidRPr="00475ABE">
        <w:t xml:space="preserve"> </w:t>
      </w:r>
      <w:r w:rsidR="00475ABE" w:rsidRPr="00475ABE">
        <w:rPr>
          <w:rFonts w:eastAsia="Times New Roman" w:cs="Times New Roman"/>
          <w:lang w:eastAsia="en-AU"/>
        </w:rPr>
        <w:t xml:space="preserve">Industry has also </w:t>
      </w:r>
      <w:r w:rsidR="004D3716">
        <w:rPr>
          <w:rFonts w:eastAsia="Times New Roman" w:cs="Times New Roman"/>
          <w:lang w:eastAsia="en-AU"/>
        </w:rPr>
        <w:t>indicated</w:t>
      </w:r>
      <w:r w:rsidR="00475ABE" w:rsidRPr="00475ABE">
        <w:rPr>
          <w:rFonts w:eastAsia="Times New Roman" w:cs="Times New Roman"/>
          <w:lang w:eastAsia="en-AU"/>
        </w:rPr>
        <w:t xml:space="preserve"> that the</w:t>
      </w:r>
      <w:r w:rsidR="00475ABE">
        <w:rPr>
          <w:rFonts w:eastAsia="Times New Roman" w:cs="Times New Roman"/>
          <w:lang w:eastAsia="en-AU"/>
        </w:rPr>
        <w:t xml:space="preserve"> </w:t>
      </w:r>
      <w:r w:rsidR="000931D4">
        <w:rPr>
          <w:rFonts w:eastAsia="Times New Roman" w:cs="Times New Roman"/>
          <w:lang w:eastAsia="en-AU"/>
        </w:rPr>
        <w:t>B</w:t>
      </w:r>
      <w:r w:rsidR="00475ABE">
        <w:rPr>
          <w:rFonts w:eastAsia="Times New Roman" w:cs="Times New Roman"/>
          <w:lang w:eastAsia="en-AU"/>
        </w:rPr>
        <w:t xml:space="preserve">ase </w:t>
      </w:r>
      <w:r w:rsidR="000931D4">
        <w:rPr>
          <w:rFonts w:eastAsia="Times New Roman" w:cs="Times New Roman"/>
          <w:lang w:eastAsia="en-AU"/>
        </w:rPr>
        <w:t>C</w:t>
      </w:r>
      <w:r w:rsidR="00475ABE">
        <w:rPr>
          <w:rFonts w:eastAsia="Times New Roman" w:cs="Times New Roman"/>
          <w:lang w:eastAsia="en-AU"/>
        </w:rPr>
        <w:t>ase</w:t>
      </w:r>
      <w:r w:rsidR="00475ABE" w:rsidRPr="00475ABE">
        <w:rPr>
          <w:rFonts w:eastAsia="Times New Roman" w:cs="Times New Roman"/>
          <w:lang w:eastAsia="en-AU"/>
        </w:rPr>
        <w:t xml:space="preserve"> forecast OFGSH sales for 2021-22 are unlikely to change if this approach is adopted. </w:t>
      </w:r>
      <w:r w:rsidR="00C1269A">
        <w:rPr>
          <w:rFonts w:eastAsia="Times New Roman" w:cs="Times New Roman"/>
          <w:lang w:eastAsia="en-AU"/>
        </w:rPr>
        <w:t xml:space="preserve">Under Option 2, </w:t>
      </w:r>
      <w:r w:rsidR="00826F8B">
        <w:rPr>
          <w:rFonts w:eastAsia="Times New Roman" w:cs="Times New Roman"/>
          <w:lang w:eastAsia="en-AU"/>
        </w:rPr>
        <w:t>they reach zero</w:t>
      </w:r>
      <w:r w:rsidR="005E5B1C" w:rsidRPr="005E5B1C">
        <w:rPr>
          <w:rFonts w:eastAsia="Times New Roman" w:cs="Times New Roman"/>
          <w:lang w:eastAsia="en-AU"/>
        </w:rPr>
        <w:t xml:space="preserve"> five years earlier than the </w:t>
      </w:r>
      <w:r w:rsidR="00B1546D">
        <w:rPr>
          <w:rFonts w:eastAsia="Times New Roman" w:cs="Times New Roman"/>
          <w:lang w:eastAsia="en-AU"/>
        </w:rPr>
        <w:t>B</w:t>
      </w:r>
      <w:r w:rsidR="005E5B1C" w:rsidRPr="005E5B1C">
        <w:rPr>
          <w:rFonts w:eastAsia="Times New Roman" w:cs="Times New Roman"/>
          <w:lang w:eastAsia="en-AU"/>
        </w:rPr>
        <w:t xml:space="preserve">ase </w:t>
      </w:r>
      <w:r w:rsidR="00B1546D">
        <w:rPr>
          <w:rFonts w:eastAsia="Times New Roman" w:cs="Times New Roman"/>
          <w:lang w:eastAsia="en-AU"/>
        </w:rPr>
        <w:t>C</w:t>
      </w:r>
      <w:r w:rsidR="005E5B1C" w:rsidRPr="005E5B1C">
        <w:rPr>
          <w:rFonts w:eastAsia="Times New Roman" w:cs="Times New Roman"/>
          <w:lang w:eastAsia="en-AU"/>
        </w:rPr>
        <w:t xml:space="preserve">ase </w:t>
      </w:r>
      <w:r w:rsidR="005E5B1C">
        <w:rPr>
          <w:rFonts w:eastAsia="Times New Roman" w:cs="Times New Roman"/>
          <w:lang w:eastAsia="en-AU"/>
        </w:rPr>
        <w:t>and</w:t>
      </w:r>
      <w:r w:rsidR="008B6A5A">
        <w:rPr>
          <w:rFonts w:eastAsia="Times New Roman" w:cs="Times New Roman"/>
          <w:lang w:eastAsia="en-AU"/>
        </w:rPr>
        <w:t xml:space="preserve"> seven months later than </w:t>
      </w:r>
      <w:r w:rsidR="009B6D89">
        <w:rPr>
          <w:rFonts w:eastAsia="Times New Roman" w:cs="Times New Roman"/>
          <w:lang w:eastAsia="en-AU"/>
        </w:rPr>
        <w:t>O</w:t>
      </w:r>
      <w:r w:rsidR="008B6A5A">
        <w:rPr>
          <w:rFonts w:eastAsia="Times New Roman" w:cs="Times New Roman"/>
          <w:lang w:eastAsia="en-AU"/>
        </w:rPr>
        <w:t>ption 1</w:t>
      </w:r>
      <w:r w:rsidR="005E5B1C" w:rsidRPr="005E5B1C">
        <w:rPr>
          <w:rFonts w:eastAsia="Times New Roman" w:cs="Times New Roman"/>
          <w:lang w:eastAsia="en-AU"/>
        </w:rPr>
        <w:t>.</w:t>
      </w:r>
    </w:p>
    <w:p w14:paraId="6E3FE122" w14:textId="77777777" w:rsidR="00475ABE" w:rsidRPr="000276F0" w:rsidRDefault="00475ABE" w:rsidP="000276F0">
      <w:pPr>
        <w:spacing w:after="0"/>
        <w:rPr>
          <w:rFonts w:eastAsia="Times New Roman" w:cs="Times New Roman"/>
          <w:lang w:eastAsia="en-AU"/>
        </w:rPr>
      </w:pPr>
    </w:p>
    <w:p w14:paraId="027924EA" w14:textId="3CFB4D47" w:rsidR="006F30A5" w:rsidRPr="00785CA0" w:rsidRDefault="006F30A5" w:rsidP="006F30A5">
      <w:r>
        <w:t xml:space="preserve">Typically, amending a standard requires a proposal to be submitted to Standards Australia for consideration, and if the amendment is progressed it would usually take </w:t>
      </w:r>
      <w:r w:rsidRPr="008B66C9">
        <w:t xml:space="preserve">18 to 24 months to </w:t>
      </w:r>
      <w:r>
        <w:t>amend the standard after which manufacturers would be given an additional 2 years to comply.</w:t>
      </w:r>
      <w:r>
        <w:rPr>
          <w:rStyle w:val="FootnoteReference"/>
        </w:rPr>
        <w:footnoteReference w:id="106"/>
      </w:r>
      <w:r>
        <w:t xml:space="preserve"> Under Option 2</w:t>
      </w:r>
      <w:r w:rsidRPr="00BA0838">
        <w:t xml:space="preserve"> </w:t>
      </w:r>
      <w:r>
        <w:t>however,</w:t>
      </w:r>
      <w:r w:rsidRPr="00BA0838">
        <w:t xml:space="preserve"> </w:t>
      </w:r>
      <w:r>
        <w:t xml:space="preserve">industry, manufacturers and regulators have already established a working group to initiate this process and Standards Australia has already developed a draft of the proposed amendments. Industry stakeholders, including those in the working group, have agreed in-principal to support the proposed amendments. These amendments would </w:t>
      </w:r>
      <w:r w:rsidRPr="00785CA0">
        <w:t xml:space="preserve">be used by </w:t>
      </w:r>
      <w:r>
        <w:t>conformity assessment bodies (</w:t>
      </w:r>
      <w:r w:rsidRPr="00785CA0">
        <w:t>CABs</w:t>
      </w:r>
      <w:r>
        <w:t>)</w:t>
      </w:r>
      <w:r w:rsidRPr="00785CA0">
        <w:t xml:space="preserve"> to check whether OF</w:t>
      </w:r>
      <w:r>
        <w:t>GS</w:t>
      </w:r>
      <w:r w:rsidRPr="00785CA0">
        <w:t>H</w:t>
      </w:r>
      <w:r>
        <w:t>s</w:t>
      </w:r>
      <w:r w:rsidRPr="00785CA0">
        <w:t xml:space="preserve"> shut down under negative pressure. </w:t>
      </w:r>
      <w:r w:rsidR="00DE3136">
        <w:t>The test would</w:t>
      </w:r>
      <w:r w:rsidRPr="00066864">
        <w:t xml:space="preserve"> also apply to open flued Type 2</w:t>
      </w:r>
      <w:r w:rsidRPr="00785CA0">
        <w:t xml:space="preserve"> Decorative effect appliances </w:t>
      </w:r>
      <w:r>
        <w:t>which</w:t>
      </w:r>
      <w:r w:rsidRPr="00785CA0">
        <w:t xml:space="preserve"> meet the efficiency requirements of space heaters outlined in (AS/NZS5263.1.3).</w:t>
      </w:r>
      <w:r>
        <w:t xml:space="preserve"> </w:t>
      </w:r>
    </w:p>
    <w:p w14:paraId="14811217" w14:textId="00EB7244" w:rsidR="00D646E1" w:rsidRPr="00BC17BC" w:rsidRDefault="00D646E1" w:rsidP="000276F0">
      <w:pPr>
        <w:rPr>
          <w:u w:val="single"/>
        </w:rPr>
      </w:pPr>
      <w:r w:rsidRPr="00BC17BC">
        <w:rPr>
          <w:u w:val="single"/>
        </w:rPr>
        <w:t xml:space="preserve">Timing </w:t>
      </w:r>
    </w:p>
    <w:p w14:paraId="681EA753" w14:textId="77777777" w:rsidR="008D3A32" w:rsidRDefault="008D3A32" w:rsidP="008D3A32">
      <w:r>
        <w:t>There are two timing considerations in Option 2:</w:t>
      </w:r>
    </w:p>
    <w:p w14:paraId="7B0616DB" w14:textId="77777777" w:rsidR="008D3A32" w:rsidRDefault="008D3A32" w:rsidP="008D3A32">
      <w:pPr>
        <w:pStyle w:val="ListParagraph"/>
        <w:numPr>
          <w:ilvl w:val="0"/>
          <w:numId w:val="259"/>
        </w:numPr>
      </w:pPr>
      <w:r>
        <w:t xml:space="preserve">The timelines in which to establish the amended standards and </w:t>
      </w:r>
    </w:p>
    <w:p w14:paraId="33A7CB7E" w14:textId="77777777" w:rsidR="008D3A32" w:rsidRDefault="008D3A32" w:rsidP="008D3A32">
      <w:pPr>
        <w:pStyle w:val="ListParagraph"/>
        <w:numPr>
          <w:ilvl w:val="0"/>
          <w:numId w:val="259"/>
        </w:numPr>
      </w:pPr>
      <w:r>
        <w:t>The timeframe in which industry would be given to comply with the amendments.</w:t>
      </w:r>
    </w:p>
    <w:p w14:paraId="47366508" w14:textId="319EB893" w:rsidR="008D3A32" w:rsidRDefault="008D3A32" w:rsidP="008D3A32">
      <w:r>
        <w:t>In Option 2</w:t>
      </w:r>
      <w:r w:rsidR="005E3C33">
        <w:t>,</w:t>
      </w:r>
      <w:r>
        <w:t xml:space="preserve"> Standards Australia has already developed a draft of the proposed amendments. It is still expected that around 12-24 months would be required to establish the amended standard implying the amendments would likely be published around 2022 or 2023</w:t>
      </w:r>
      <w:r w:rsidR="003D7E47">
        <w:t>, assuming</w:t>
      </w:r>
      <w:r>
        <w:t xml:space="preserve"> Standards Australia commence</w:t>
      </w:r>
      <w:r w:rsidR="00756063">
        <w:t>s</w:t>
      </w:r>
      <w:r>
        <w:t xml:space="preserve"> this project in early 2021.</w:t>
      </w:r>
    </w:p>
    <w:p w14:paraId="0CCECFF5" w14:textId="5552F1B1" w:rsidR="008D3A32" w:rsidRDefault="008D3A32" w:rsidP="008D3A32">
      <w:r>
        <w:t>Typically, once a standard is amended manufacturers would be given two years to comply with the revised standard. In Option 2 however</w:t>
      </w:r>
      <w:r w:rsidRPr="00D74195">
        <w:t xml:space="preserve"> </w:t>
      </w:r>
      <w:r>
        <w:t xml:space="preserve">implementation is fast-tracked because </w:t>
      </w:r>
      <w:r w:rsidRPr="00785CA0">
        <w:t xml:space="preserve">ESV </w:t>
      </w:r>
      <w:r>
        <w:t>w</w:t>
      </w:r>
      <w:r w:rsidRPr="00785CA0">
        <w:t xml:space="preserve">ould </w:t>
      </w:r>
      <w:r w:rsidRPr="007B28CA">
        <w:t>specify</w:t>
      </w:r>
      <w:r w:rsidRPr="00785CA0">
        <w:t xml:space="preserve"> a </w:t>
      </w:r>
      <w:r w:rsidRPr="00785CA0">
        <w:lastRenderedPageBreak/>
        <w:t>shorter implementation time frame in a GTRC Technical Guidance Bulletin</w:t>
      </w:r>
      <w:r>
        <w:t>.</w:t>
      </w:r>
      <w:r w:rsidR="0079571C" w:rsidDel="0079571C">
        <w:rPr>
          <w:rStyle w:val="FootnoteReference"/>
        </w:rPr>
        <w:t xml:space="preserve"> </w:t>
      </w:r>
      <w:r w:rsidR="0079571C">
        <w:rPr>
          <w:rStyle w:val="FootnoteReference"/>
        </w:rPr>
        <w:footnoteReference w:id="107"/>
      </w:r>
      <w:r w:rsidRPr="00785CA0">
        <w:t xml:space="preserve"> </w:t>
      </w:r>
      <w:r>
        <w:t>T</w:t>
      </w:r>
      <w:r w:rsidRPr="00061021">
        <w:t>he Gas Technical Regulators of Australia scheme rules</w:t>
      </w:r>
      <w:r>
        <w:t xml:space="preserve"> require CABs to take into account any information published in a Technical Guidance Bulletin when processing the certification of gas equipment. </w:t>
      </w:r>
      <w:r w:rsidR="00397147" w:rsidRPr="00066864">
        <w:t xml:space="preserve">Technical Guidance Bulletins are the method Technical Regulators use to require the implementation of changes without waiting for </w:t>
      </w:r>
      <w:r w:rsidR="00397147" w:rsidRPr="00B84FD5" w:rsidDel="0058130A">
        <w:t xml:space="preserve">standards </w:t>
      </w:r>
      <w:r w:rsidR="00397147" w:rsidRPr="00066864">
        <w:t xml:space="preserve">to be amended or revised. </w:t>
      </w:r>
      <w:r>
        <w:t xml:space="preserve">If CABs cancel or suspend the certification of OFGSHs on the basis of the Technical Guidance Bulletin, OFGSHs </w:t>
      </w:r>
      <w:r w:rsidRPr="007C6321">
        <w:t>manufactured from the date of suspension or cancellation of certification</w:t>
      </w:r>
      <w:r>
        <w:t xml:space="preserve"> would</w:t>
      </w:r>
      <w:r w:rsidRPr="007C6321">
        <w:t xml:space="preserve"> being considered uncertified</w:t>
      </w:r>
      <w:r>
        <w:t xml:space="preserve">. </w:t>
      </w:r>
    </w:p>
    <w:p w14:paraId="750C9AA1" w14:textId="082367C0" w:rsidR="008D3A32" w:rsidRDefault="008D3A32" w:rsidP="008D3A32">
      <w:r>
        <w:t xml:space="preserve">As such, the GTRC </w:t>
      </w:r>
      <w:r w:rsidRPr="00785CA0">
        <w:t>Technical Guidance Bulletin</w:t>
      </w:r>
      <w:r>
        <w:t xml:space="preserve"> is the instrument through which Option 2’s fast-tracked standards-based approach is implemented. In Option 2</w:t>
      </w:r>
      <w:r w:rsidR="003226A0">
        <w:t>, the GTRC</w:t>
      </w:r>
      <w:r>
        <w:t xml:space="preserve"> is assumed to </w:t>
      </w:r>
      <w:r w:rsidRPr="00066864">
        <w:t>release a Technical Guidance Bulletin with a compliance date of 1 January 2022.</w:t>
      </w:r>
      <w:r>
        <w:rPr>
          <w:rStyle w:val="FootnoteReference"/>
        </w:rPr>
        <w:footnoteReference w:id="108"/>
      </w:r>
      <w:r>
        <w:t xml:space="preserve">  </w:t>
      </w:r>
    </w:p>
    <w:p w14:paraId="60A84B2A" w14:textId="0B005F60" w:rsidR="006A2C99" w:rsidRDefault="006A2C99" w:rsidP="00C05212">
      <w:pPr>
        <w:spacing w:line="252" w:lineRule="auto"/>
      </w:pPr>
      <w:r>
        <w:t>However</w:t>
      </w:r>
      <w:r w:rsidRPr="00332104">
        <w:t xml:space="preserve">, if the Minister is not satisfied that the Australian Standards amendments and GTRC process are </w:t>
      </w:r>
      <w:r>
        <w:t>progressing reasonably towards a</w:t>
      </w:r>
      <w:r w:rsidRPr="00332104">
        <w:t xml:space="preserve"> </w:t>
      </w:r>
      <w:r>
        <w:t xml:space="preserve">compliance date of </w:t>
      </w:r>
      <w:r w:rsidRPr="00332104">
        <w:t>1 January 2022,</w:t>
      </w:r>
      <w:r>
        <w:t xml:space="preserve"> or if the approach appears to be unfeasible or ineffective,</w:t>
      </w:r>
      <w:r w:rsidRPr="00332104">
        <w:t xml:space="preserve"> she will consider </w:t>
      </w:r>
      <w:r>
        <w:t>recommending that</w:t>
      </w:r>
      <w:r w:rsidRPr="00332104">
        <w:t xml:space="preserve"> the regulations set out in Option 1 </w:t>
      </w:r>
      <w:r>
        <w:t>be implemented with a</w:t>
      </w:r>
      <w:r w:rsidRPr="00332104">
        <w:t xml:space="preserve"> commence</w:t>
      </w:r>
      <w:r>
        <w:t>ment date either</w:t>
      </w:r>
      <w:r w:rsidRPr="00332104">
        <w:t xml:space="preserve"> on or before 1 Jan</w:t>
      </w:r>
      <w:r>
        <w:t>uary</w:t>
      </w:r>
      <w:r w:rsidRPr="00332104">
        <w:t xml:space="preserve"> 2022.</w:t>
      </w:r>
      <w:r>
        <w:t xml:space="preserve"> </w:t>
      </w:r>
      <w:r w:rsidR="003437C0">
        <w:t>Reserving the flexibility to implement the regulations specified under Option 1 limits the potential impact that might result from uncertainty in timelines under Option 2.</w:t>
      </w:r>
    </w:p>
    <w:p w14:paraId="6B2EEB57" w14:textId="27930730" w:rsidR="0058130A" w:rsidRDefault="00785CA0">
      <w:r>
        <w:t>It should be noted that the</w:t>
      </w:r>
      <w:r w:rsidR="0058130A">
        <w:t xml:space="preserve"> </w:t>
      </w:r>
      <w:r w:rsidR="00DC26CE">
        <w:t>standards</w:t>
      </w:r>
      <w:r w:rsidR="00F756EB">
        <w:t>-</w:t>
      </w:r>
      <w:r w:rsidR="00DC26CE">
        <w:t>based approach</w:t>
      </w:r>
      <w:r w:rsidR="005D6A05" w:rsidRPr="00B84FD5">
        <w:t xml:space="preserve"> is expected to progress</w:t>
      </w:r>
      <w:r w:rsidR="0023456E">
        <w:t xml:space="preserve"> regardless of the </w:t>
      </w:r>
      <w:r w:rsidR="0058130A">
        <w:t xml:space="preserve">Victorian Government’s decision on new regulations, </w:t>
      </w:r>
      <w:r w:rsidR="005D6A05" w:rsidRPr="00B84FD5">
        <w:t>but is not being assessed as part of the Base Case because it is still to be finalised and was not in progress until mid-way through the RIS process.</w:t>
      </w:r>
    </w:p>
    <w:p w14:paraId="31985F80" w14:textId="15C00B0E" w:rsidR="00FB604E" w:rsidRDefault="00FB604E" w:rsidP="00FB604E">
      <w:pPr>
        <w:spacing w:after="60"/>
        <w:rPr>
          <w:u w:val="single"/>
        </w:rPr>
      </w:pPr>
      <w:r w:rsidRPr="00BC17BC">
        <w:rPr>
          <w:u w:val="single"/>
        </w:rPr>
        <w:t xml:space="preserve">Compliance </w:t>
      </w:r>
    </w:p>
    <w:p w14:paraId="0467F28D" w14:textId="4E5B52A1" w:rsidR="008B4CF6" w:rsidRDefault="008B4CF6" w:rsidP="008B4CF6">
      <w:r>
        <w:t xml:space="preserve">Option 2 assumes that </w:t>
      </w:r>
      <w:r w:rsidR="00DE3A3F">
        <w:t>the GTRC publishes</w:t>
      </w:r>
      <w:r>
        <w:t xml:space="preserve"> </w:t>
      </w:r>
      <w:r w:rsidRPr="00066864">
        <w:t>Technical Guidance Bulletin with a compliance date of 1 January 2022</w:t>
      </w:r>
      <w:r>
        <w:t xml:space="preserve">. </w:t>
      </w:r>
      <w:r w:rsidR="00164F4B">
        <w:t>By</w:t>
      </w:r>
      <w:r>
        <w:t xml:space="preserve"> this date, </w:t>
      </w:r>
      <w:r w:rsidRPr="00785CA0">
        <w:t xml:space="preserve">CABs would be required to assess whether </w:t>
      </w:r>
      <w:r>
        <w:t>OFGSHs meet the revised standards and are expected to cancel or suspend the certification of any OFGSH that doesn’t comply.</w:t>
      </w:r>
      <w:r>
        <w:rPr>
          <w:rStyle w:val="FootnoteReference"/>
        </w:rPr>
        <w:footnoteReference w:id="109"/>
      </w:r>
      <w:r>
        <w:t xml:space="preserve"> The cancellation or suspension of an OFGSH’s certification would classify that OFGSH as uncertified and the installation of an uncertified OFGSH</w:t>
      </w:r>
      <w:r w:rsidRPr="004C1101">
        <w:t xml:space="preserve"> is an offence under section 70(1) of the GSA 1997</w:t>
      </w:r>
      <w:r>
        <w:t xml:space="preserve">. An offence under section 70(1) of the GSA 1997 is punishable by </w:t>
      </w:r>
      <w:r w:rsidRPr="00A827FF">
        <w:t>a maximum penalty of $6,608.80 for a natural person and $33,044.00 for a body corporate following prosecution</w:t>
      </w:r>
      <w:r>
        <w:t>.</w:t>
      </w:r>
      <w:r>
        <w:rPr>
          <w:rStyle w:val="FootnoteReference"/>
        </w:rPr>
        <w:footnoteReference w:id="110"/>
      </w:r>
      <w:r>
        <w:t xml:space="preserve"> In addition, affixing a certification label on an uncertified OFGSH is an offence under section 71B of the GSA 1997 punishable by a maximum penalty of $6,608.80 for a natural person or $33,044.00 for a body corporate following prosecution.</w:t>
      </w:r>
      <w:r w:rsidRPr="00ED03BE">
        <w:t xml:space="preserve"> </w:t>
      </w:r>
      <w:r>
        <w:t>However, in Option 2, any OFGSHs that are manufactured before the GTRC Technical Bulletin</w:t>
      </w:r>
      <w:r w:rsidR="00DE3A3F">
        <w:t xml:space="preserve"> compliance date </w:t>
      </w:r>
      <w:r>
        <w:t>would be regarded as certified units which can be sold, supplied or installed.</w:t>
      </w:r>
    </w:p>
    <w:p w14:paraId="3524C361" w14:textId="334C6144" w:rsidR="00095E83" w:rsidRDefault="008B4CF6" w:rsidP="00530DA5">
      <w:r>
        <w:t xml:space="preserve">Given these regulatory mechanisms it is assumed that any uncertified OFGSHs would cease to be accepted in Victoria under Option 2. Once the revised standard is released all non-conforming OFGSHs would be phased-out across Australia. </w:t>
      </w:r>
      <w:r w:rsidR="00095E83">
        <w:t>In addition, the VBA has powers under the Victorian plumbing industry framework to monitor and enforce installations by gasfitters.</w:t>
      </w:r>
    </w:p>
    <w:p w14:paraId="3DE89185" w14:textId="7EF677D9" w:rsidR="00C81293" w:rsidRPr="00610329" w:rsidRDefault="00C81293" w:rsidP="00577655">
      <w:pPr>
        <w:pStyle w:val="Heading3"/>
      </w:pPr>
      <w:r w:rsidRPr="00610329">
        <w:lastRenderedPageBreak/>
        <w:t xml:space="preserve">Transitional measure </w:t>
      </w:r>
    </w:p>
    <w:p w14:paraId="2E1C1228" w14:textId="1E422C59" w:rsidR="00DB6B35" w:rsidRPr="00610329" w:rsidRDefault="00DB6B35" w:rsidP="00BC17BC">
      <w:pPr>
        <w:pStyle w:val="Heading4"/>
      </w:pPr>
      <w:r w:rsidRPr="00610329">
        <w:t xml:space="preserve">Regulations to mandate the installation of CO alarms </w:t>
      </w:r>
    </w:p>
    <w:p w14:paraId="2DD509C4" w14:textId="256E302E" w:rsidR="00C81293" w:rsidRPr="00610329" w:rsidRDefault="00C81293" w:rsidP="00C81293">
      <w:pPr>
        <w:rPr>
          <w:u w:val="single"/>
        </w:rPr>
      </w:pPr>
      <w:r w:rsidRPr="00610329">
        <w:rPr>
          <w:u w:val="single"/>
        </w:rPr>
        <w:t>Description</w:t>
      </w:r>
    </w:p>
    <w:p w14:paraId="16C245C6" w14:textId="0F47F1A0" w:rsidR="007C3B0D" w:rsidRPr="00610329" w:rsidRDefault="00C81293" w:rsidP="00C81293">
      <w:pPr>
        <w:ind w:right="148"/>
        <w:rPr>
          <w:bCs/>
          <w:szCs w:val="17"/>
        </w:rPr>
      </w:pPr>
      <w:r w:rsidRPr="00610329">
        <w:rPr>
          <w:bCs/>
          <w:szCs w:val="17"/>
        </w:rPr>
        <w:t>This measure would mandate the installation of CO alarms in buildings where OFGSHs are installed</w:t>
      </w:r>
      <w:r w:rsidR="007C3B0D" w:rsidRPr="00610329">
        <w:rPr>
          <w:bCs/>
          <w:szCs w:val="17"/>
        </w:rPr>
        <w:t xml:space="preserve"> under the Building Regulations</w:t>
      </w:r>
      <w:r w:rsidR="003D26C3" w:rsidRPr="00610329">
        <w:rPr>
          <w:bCs/>
          <w:szCs w:val="17"/>
        </w:rPr>
        <w:t>.</w:t>
      </w:r>
    </w:p>
    <w:p w14:paraId="2272DB1A" w14:textId="6CBF57C2" w:rsidR="00C81293" w:rsidRPr="00610329" w:rsidRDefault="005F4B11" w:rsidP="00C81293">
      <w:pPr>
        <w:ind w:right="148"/>
        <w:rPr>
          <w:bCs/>
          <w:szCs w:val="17"/>
        </w:rPr>
      </w:pPr>
      <w:r w:rsidRPr="00096B3A">
        <w:rPr>
          <w:szCs w:val="17"/>
        </w:rPr>
        <w:t>Currently</w:t>
      </w:r>
      <w:r w:rsidR="00C81293" w:rsidRPr="00096B3A">
        <w:rPr>
          <w:szCs w:val="17"/>
        </w:rPr>
        <w:t>,</w:t>
      </w:r>
      <w:r w:rsidR="00C81293" w:rsidRPr="00610329">
        <w:rPr>
          <w:bCs/>
          <w:szCs w:val="17"/>
        </w:rPr>
        <w:t xml:space="preserve"> CO alarms are recommended</w:t>
      </w:r>
      <w:r w:rsidR="00C81293" w:rsidRPr="00610329">
        <w:rPr>
          <w:szCs w:val="17"/>
        </w:rPr>
        <w:t>, but not required. CO alarms are similar in function and appearance to smoke alarms</w:t>
      </w:r>
      <w:r w:rsidR="00C81293" w:rsidRPr="00610329">
        <w:rPr>
          <w:rStyle w:val="FootnoteReference"/>
          <w:szCs w:val="17"/>
        </w:rPr>
        <w:footnoteReference w:id="111"/>
      </w:r>
      <w:r w:rsidR="00C81293" w:rsidRPr="00610329">
        <w:rPr>
          <w:szCs w:val="17"/>
        </w:rPr>
        <w:t>. They monitor the concentration of CO in the air, providing a visual and audible alarm where a certain concentration of CO has been detected</w:t>
      </w:r>
      <w:r w:rsidR="003B5C7D" w:rsidRPr="00610329">
        <w:rPr>
          <w:szCs w:val="17"/>
        </w:rPr>
        <w:t xml:space="preserve"> </w:t>
      </w:r>
      <w:r w:rsidR="003B5C7D" w:rsidRPr="00096B3A">
        <w:rPr>
          <w:szCs w:val="17"/>
        </w:rPr>
        <w:t>over a specified time</w:t>
      </w:r>
      <w:r w:rsidR="00C81293" w:rsidRPr="00610329">
        <w:rPr>
          <w:szCs w:val="17"/>
        </w:rPr>
        <w:t>. By alerting building occupants to the presence of CO</w:t>
      </w:r>
      <w:r w:rsidR="00C81293" w:rsidRPr="00610329">
        <w:rPr>
          <w:szCs w:val="17"/>
          <w:lang w:eastAsia="en-AU"/>
        </w:rPr>
        <w:t>, occupants are given the opportunity to turn off the appliance and seek fresh air.</w:t>
      </w:r>
      <w:r w:rsidR="00C81293" w:rsidRPr="00610329">
        <w:rPr>
          <w:szCs w:val="17"/>
        </w:rPr>
        <w:t xml:space="preserve"> This can reduce the likelihood of fatal or non-fatal incidents of CO exposure and other associated harms.</w:t>
      </w:r>
    </w:p>
    <w:p w14:paraId="6BD4B022" w14:textId="53DB85CC" w:rsidR="00C81293" w:rsidRPr="00610329" w:rsidRDefault="00C81293" w:rsidP="00C81293">
      <w:pPr>
        <w:rPr>
          <w:u w:val="single"/>
        </w:rPr>
      </w:pPr>
      <w:r w:rsidRPr="00610329">
        <w:rPr>
          <w:u w:val="single"/>
        </w:rPr>
        <w:t>Timing</w:t>
      </w:r>
    </w:p>
    <w:p w14:paraId="2DB7613C" w14:textId="766A6630" w:rsidR="00C81293" w:rsidRPr="00610329" w:rsidRDefault="00C81293" w:rsidP="00C81293">
      <w:r w:rsidRPr="00610329">
        <w:t xml:space="preserve">Regulations commencing from </w:t>
      </w:r>
      <w:r w:rsidRPr="00096B3A">
        <w:t xml:space="preserve">1 </w:t>
      </w:r>
      <w:r w:rsidR="00425EAE" w:rsidRPr="00096B3A">
        <w:t xml:space="preserve">June </w:t>
      </w:r>
      <w:r w:rsidRPr="00096B3A">
        <w:t>202</w:t>
      </w:r>
      <w:r w:rsidR="008839FD" w:rsidRPr="00096B3A">
        <w:t>1</w:t>
      </w:r>
      <w:r w:rsidRPr="00610329">
        <w:t xml:space="preserve"> have been modelled for this RIS. If </w:t>
      </w:r>
      <w:r w:rsidR="004D3B88" w:rsidRPr="00610329">
        <w:t xml:space="preserve">these regulations were </w:t>
      </w:r>
      <w:r w:rsidRPr="00610329">
        <w:t xml:space="preserve">implemented </w:t>
      </w:r>
      <w:r w:rsidR="004D3B88" w:rsidRPr="00610329">
        <w:t xml:space="preserve">a transition period would need to be introduced to manage the introduction of these requirements. </w:t>
      </w:r>
    </w:p>
    <w:p w14:paraId="1003A0D7" w14:textId="45497138" w:rsidR="00C81293" w:rsidRPr="00610329" w:rsidRDefault="00C81293" w:rsidP="00C81293">
      <w:pPr>
        <w:rPr>
          <w:u w:val="single"/>
        </w:rPr>
      </w:pPr>
      <w:r w:rsidRPr="00610329">
        <w:rPr>
          <w:u w:val="single"/>
        </w:rPr>
        <w:t xml:space="preserve">Compliance </w:t>
      </w:r>
    </w:p>
    <w:p w14:paraId="1C55BA8F" w14:textId="34459DF9" w:rsidR="00C81293" w:rsidRPr="00610329" w:rsidRDefault="0028331C">
      <w:pPr>
        <w:rPr>
          <w:szCs w:val="17"/>
        </w:rPr>
      </w:pPr>
      <w:r w:rsidRPr="00096B3A">
        <w:rPr>
          <w:szCs w:val="17"/>
        </w:rPr>
        <w:t>Building owners would</w:t>
      </w:r>
      <w:r w:rsidRPr="00610329">
        <w:rPr>
          <w:szCs w:val="17"/>
        </w:rPr>
        <w:t xml:space="preserve"> be required to comply with </w:t>
      </w:r>
      <w:r w:rsidR="00DB6B35" w:rsidRPr="00610329">
        <w:rPr>
          <w:szCs w:val="17"/>
        </w:rPr>
        <w:t>these</w:t>
      </w:r>
      <w:r w:rsidR="007C3B0D" w:rsidRPr="00610329">
        <w:rPr>
          <w:szCs w:val="17"/>
        </w:rPr>
        <w:t xml:space="preserve"> regulations. </w:t>
      </w:r>
      <w:r w:rsidR="00C81293" w:rsidRPr="00610329">
        <w:rPr>
          <w:szCs w:val="17"/>
        </w:rPr>
        <w:t xml:space="preserve">The analysis </w:t>
      </w:r>
      <w:r w:rsidR="007C3B0D" w:rsidRPr="00610329">
        <w:rPr>
          <w:szCs w:val="17"/>
        </w:rPr>
        <w:t xml:space="preserve">in this RIS </w:t>
      </w:r>
      <w:r w:rsidR="00C81293" w:rsidRPr="00610329">
        <w:rPr>
          <w:szCs w:val="17"/>
        </w:rPr>
        <w:t>considers the costs and benefits of mandatory installation in only rental buildings because it is considered that compliance in rental buildings is less difficult to monitor and enforce than in owner-occupied buildings</w:t>
      </w:r>
      <w:r w:rsidR="00DE76CE" w:rsidRPr="00610329">
        <w:rPr>
          <w:szCs w:val="17"/>
        </w:rPr>
        <w:t>.</w:t>
      </w:r>
    </w:p>
    <w:p w14:paraId="52E1D91F" w14:textId="2E33895A" w:rsidR="00A541B3" w:rsidRPr="00FF5BFF" w:rsidRDefault="00A541B3" w:rsidP="00FF5BFF">
      <w:pPr>
        <w:pStyle w:val="Heading3"/>
        <w:numPr>
          <w:ilvl w:val="1"/>
          <w:numId w:val="172"/>
        </w:numPr>
        <w:rPr>
          <w:color w:val="62B5E5" w:themeColor="accent3"/>
        </w:rPr>
      </w:pPr>
      <w:bookmarkStart w:id="215" w:name="_Toc44513737"/>
      <w:bookmarkStart w:id="216" w:name="_Toc44513738"/>
      <w:bookmarkStart w:id="217" w:name="_Toc44513739"/>
      <w:bookmarkStart w:id="218" w:name="_Toc44513740"/>
      <w:bookmarkStart w:id="219" w:name="_Toc44513741"/>
      <w:bookmarkStart w:id="220" w:name="_Toc44513742"/>
      <w:bookmarkStart w:id="221" w:name="_Ref25233445"/>
      <w:bookmarkEnd w:id="215"/>
      <w:bookmarkEnd w:id="216"/>
      <w:bookmarkEnd w:id="217"/>
      <w:bookmarkEnd w:id="218"/>
      <w:bookmarkEnd w:id="219"/>
      <w:bookmarkEnd w:id="220"/>
      <w:r w:rsidRPr="00FF5BFF">
        <w:rPr>
          <w:color w:val="62B5E5" w:themeColor="accent3"/>
        </w:rPr>
        <w:t>Options not included in this RIS</w:t>
      </w:r>
      <w:bookmarkEnd w:id="221"/>
    </w:p>
    <w:p w14:paraId="381212DE" w14:textId="49DE0FBB" w:rsidR="0009222C" w:rsidRPr="00610329" w:rsidRDefault="0007250B" w:rsidP="001F0F0B">
      <w:r w:rsidRPr="00610329">
        <w:t xml:space="preserve">Throughout the process of developing the set of </w:t>
      </w:r>
      <w:r w:rsidR="000A675C" w:rsidRPr="00610329">
        <w:t>phase</w:t>
      </w:r>
      <w:r w:rsidR="008049D5">
        <w:t xml:space="preserve"> </w:t>
      </w:r>
      <w:r w:rsidR="000A675C" w:rsidRPr="00610329">
        <w:t>out</w:t>
      </w:r>
      <w:r w:rsidRPr="00610329">
        <w:t xml:space="preserve"> options and </w:t>
      </w:r>
      <w:r w:rsidR="002668F8" w:rsidRPr="00610329">
        <w:t xml:space="preserve">transitional </w:t>
      </w:r>
      <w:r w:rsidRPr="00610329">
        <w:t xml:space="preserve">measures, a number of other options were identified and carefully considered but were determined not to </w:t>
      </w:r>
      <w:r w:rsidR="005703D0">
        <w:t>be</w:t>
      </w:r>
      <w:r w:rsidRPr="00610329">
        <w:t xml:space="preserve"> feasible because they do not meet the objectives of the reforms</w:t>
      </w:r>
      <w:r w:rsidR="003977AF" w:rsidRPr="00610329">
        <w:t xml:space="preserve">. The following options were </w:t>
      </w:r>
      <w:r w:rsidR="003F2DA7" w:rsidRPr="00610329">
        <w:t xml:space="preserve">considered in the discussion paper </w:t>
      </w:r>
      <w:r w:rsidR="009E7A37" w:rsidRPr="00610329">
        <w:t xml:space="preserve">released in December 2019 </w:t>
      </w:r>
      <w:r w:rsidR="003F2DA7" w:rsidRPr="00610329">
        <w:t>but</w:t>
      </w:r>
      <w:r w:rsidR="003977AF" w:rsidRPr="00610329">
        <w:t xml:space="preserve"> were </w:t>
      </w:r>
      <w:r w:rsidR="00766BF5" w:rsidRPr="00610329">
        <w:t>not included in this RIS:</w:t>
      </w:r>
    </w:p>
    <w:p w14:paraId="290BB813" w14:textId="6E4D5051" w:rsidR="001F0F0B" w:rsidRPr="00610329" w:rsidRDefault="001F0F0B" w:rsidP="001F0F0B">
      <w:pPr>
        <w:pStyle w:val="Caption"/>
      </w:pPr>
      <w:r w:rsidRPr="00610329">
        <w:t xml:space="preserve">Table </w:t>
      </w:r>
      <w:r w:rsidR="008358B0" w:rsidRPr="00610329">
        <w:fldChar w:fldCharType="begin"/>
      </w:r>
      <w:r w:rsidR="008358B0" w:rsidRPr="00610329">
        <w:instrText xml:space="preserve"> STYLEREF 1 \s </w:instrText>
      </w:r>
      <w:r w:rsidR="008358B0" w:rsidRPr="00610329">
        <w:fldChar w:fldCharType="separate"/>
      </w:r>
      <w:r w:rsidR="00CD0679">
        <w:rPr>
          <w:noProof/>
        </w:rPr>
        <w:t>3</w:t>
      </w:r>
      <w:r w:rsidR="008358B0" w:rsidRPr="00610329">
        <w:fldChar w:fldCharType="end"/>
      </w:r>
      <w:r w:rsidR="008358B0" w:rsidRPr="00610329">
        <w:noBreakHyphen/>
      </w:r>
      <w:r w:rsidR="008358B0" w:rsidRPr="00610329">
        <w:fldChar w:fldCharType="begin"/>
      </w:r>
      <w:r w:rsidR="008358B0" w:rsidRPr="00610329">
        <w:instrText xml:space="preserve"> SEQ Table \* ARABIC \s 1 </w:instrText>
      </w:r>
      <w:r w:rsidR="008358B0" w:rsidRPr="00610329">
        <w:fldChar w:fldCharType="separate"/>
      </w:r>
      <w:r w:rsidR="00CD0679">
        <w:rPr>
          <w:noProof/>
        </w:rPr>
        <w:t>1</w:t>
      </w:r>
      <w:r w:rsidR="008358B0" w:rsidRPr="00610329">
        <w:fldChar w:fldCharType="end"/>
      </w:r>
      <w:r w:rsidRPr="00610329">
        <w:t xml:space="preserve"> Summary of options not </w:t>
      </w:r>
      <w:r w:rsidR="00F20161" w:rsidRPr="00610329">
        <w:t>included for detailed analysis</w:t>
      </w:r>
    </w:p>
    <w:tbl>
      <w:tblPr>
        <w:tblStyle w:val="Deloittetable12"/>
        <w:tblW w:w="8901" w:type="dxa"/>
        <w:tblCellMar>
          <w:left w:w="57" w:type="dxa"/>
          <w:right w:w="57" w:type="dxa"/>
        </w:tblCellMar>
        <w:tblLook w:val="04A0" w:firstRow="1" w:lastRow="0" w:firstColumn="1" w:lastColumn="0" w:noHBand="0" w:noVBand="1"/>
      </w:tblPr>
      <w:tblGrid>
        <w:gridCol w:w="4422"/>
        <w:gridCol w:w="4479"/>
      </w:tblGrid>
      <w:tr w:rsidR="005D67A9" w:rsidRPr="00610329" w14:paraId="474DE4DF" w14:textId="77777777" w:rsidTr="000276F0">
        <w:trPr>
          <w:cnfStyle w:val="100000000000" w:firstRow="1" w:lastRow="0" w:firstColumn="0" w:lastColumn="0" w:oddVBand="0" w:evenVBand="0" w:oddHBand="0" w:evenHBand="0" w:firstRowFirstColumn="0" w:firstRowLastColumn="0" w:lastRowFirstColumn="0" w:lastRowLastColumn="0"/>
          <w:trHeight w:val="410"/>
          <w:tblHeader/>
        </w:trPr>
        <w:tc>
          <w:tcPr>
            <w:tcW w:w="4422" w:type="dxa"/>
          </w:tcPr>
          <w:p w14:paraId="37B76FFE" w14:textId="0BBD5561" w:rsidR="005D67A9" w:rsidRPr="00610329" w:rsidRDefault="005D67A9" w:rsidP="00B82B04">
            <w:pPr>
              <w:rPr>
                <w:b/>
              </w:rPr>
            </w:pPr>
            <w:r w:rsidRPr="00610329">
              <w:rPr>
                <w:b/>
              </w:rPr>
              <w:t>Non-feasible option</w:t>
            </w:r>
          </w:p>
        </w:tc>
        <w:tc>
          <w:tcPr>
            <w:tcW w:w="4479" w:type="dxa"/>
          </w:tcPr>
          <w:p w14:paraId="06E982DC" w14:textId="6D581029" w:rsidR="005D67A9" w:rsidRPr="00610329" w:rsidRDefault="005D67A9" w:rsidP="00B82B04">
            <w:pPr>
              <w:rPr>
                <w:b/>
              </w:rPr>
            </w:pPr>
            <w:r w:rsidRPr="00610329">
              <w:rPr>
                <w:b/>
              </w:rPr>
              <w:t xml:space="preserve">Reason not included for further consideration </w:t>
            </w:r>
          </w:p>
        </w:tc>
      </w:tr>
      <w:tr w:rsidR="00657965" w:rsidRPr="00610329" w14:paraId="67870534" w14:textId="77777777" w:rsidTr="000276F0">
        <w:trPr>
          <w:trHeight w:val="3556"/>
        </w:trPr>
        <w:tc>
          <w:tcPr>
            <w:tcW w:w="4422" w:type="dxa"/>
          </w:tcPr>
          <w:p w14:paraId="1CAE70DC" w14:textId="77777777" w:rsidR="00657965" w:rsidRDefault="00657965" w:rsidP="00657965">
            <w:pPr>
              <w:rPr>
                <w:b/>
              </w:rPr>
            </w:pPr>
            <w:r w:rsidRPr="00657965">
              <w:rPr>
                <w:b/>
              </w:rPr>
              <w:t xml:space="preserve">Phase out of OFGSHs through additional safety requirements prescribed in regulation </w:t>
            </w:r>
          </w:p>
          <w:p w14:paraId="4F5CA685" w14:textId="7E619F1B" w:rsidR="00657965" w:rsidRDefault="00657965" w:rsidP="00C05212">
            <w:pPr>
              <w:rPr>
                <w:b/>
              </w:rPr>
            </w:pPr>
            <w:r w:rsidRPr="00657965">
              <w:t>In this option, the Victorian Government would prescribe the shut-down requirements agreed in principle by the Australian Standards committee (AG</w:t>
            </w:r>
            <w:r w:rsidR="00E95635">
              <w:t>-</w:t>
            </w:r>
            <w:r w:rsidRPr="00657965">
              <w:t xml:space="preserve">001) and published in the GTRC Bulletin (if this has occurred) in Victorian regulation. </w:t>
            </w:r>
          </w:p>
        </w:tc>
        <w:tc>
          <w:tcPr>
            <w:tcW w:w="4479" w:type="dxa"/>
          </w:tcPr>
          <w:p w14:paraId="306D2DE9" w14:textId="18824AD0" w:rsidR="00657965" w:rsidRPr="00610329" w:rsidRDefault="00657965" w:rsidP="008C2371">
            <w:r w:rsidRPr="00332104">
              <w:t xml:space="preserve">GTRC bulletins are interim documents with limited life spans. If a standard is published, then the bulletin would be withdrawn from the GTRC website. Therefore, legislation would refer to a document that no longer exists, making this option </w:t>
            </w:r>
            <w:r w:rsidR="003C711F">
              <w:t>impractical</w:t>
            </w:r>
            <w:r w:rsidRPr="00332104">
              <w:t>.</w:t>
            </w:r>
          </w:p>
        </w:tc>
      </w:tr>
      <w:tr w:rsidR="005D67A9" w:rsidRPr="00610329" w14:paraId="6524B100" w14:textId="77777777" w:rsidTr="000276F0">
        <w:trPr>
          <w:trHeight w:val="3556"/>
        </w:trPr>
        <w:tc>
          <w:tcPr>
            <w:tcW w:w="4422" w:type="dxa"/>
          </w:tcPr>
          <w:p w14:paraId="72046C0B" w14:textId="3A972677" w:rsidR="005D67A9" w:rsidRPr="00610329" w:rsidRDefault="00180DB2" w:rsidP="008C2371">
            <w:pPr>
              <w:ind w:right="110"/>
              <w:rPr>
                <w:b/>
              </w:rPr>
            </w:pPr>
            <w:r>
              <w:rPr>
                <w:b/>
              </w:rPr>
              <w:lastRenderedPageBreak/>
              <w:t>Removal</w:t>
            </w:r>
            <w:r w:rsidR="005D67A9" w:rsidRPr="00610329">
              <w:rPr>
                <w:b/>
              </w:rPr>
              <w:t xml:space="preserve"> o</w:t>
            </w:r>
            <w:r>
              <w:rPr>
                <w:b/>
              </w:rPr>
              <w:t>f</w:t>
            </w:r>
            <w:r w:rsidR="005D67A9" w:rsidRPr="00610329">
              <w:rPr>
                <w:b/>
              </w:rPr>
              <w:t xml:space="preserve"> all OFGSHs already installed (existing heaters)</w:t>
            </w:r>
          </w:p>
          <w:p w14:paraId="44E40CF7" w14:textId="53AB75F3" w:rsidR="005D67A9" w:rsidRPr="00610329" w:rsidRDefault="005D67A9" w:rsidP="008C2371">
            <w:pPr>
              <w:ind w:right="110"/>
              <w:rPr>
                <w:b/>
              </w:rPr>
            </w:pPr>
            <w:r w:rsidRPr="00610329">
              <w:t xml:space="preserve">This option would </w:t>
            </w:r>
            <w:r w:rsidR="00180DB2">
              <w:t>remove</w:t>
            </w:r>
            <w:r w:rsidRPr="00610329">
              <w:t xml:space="preserve"> the existing installations of OFGSHs in households where they were already installed. This would remove the risk of CO poisoning as a result of old, poorly serviced heaters or environmental factors.</w:t>
            </w:r>
          </w:p>
        </w:tc>
        <w:tc>
          <w:tcPr>
            <w:tcW w:w="4479" w:type="dxa"/>
          </w:tcPr>
          <w:p w14:paraId="4A1A11AB" w14:textId="1FFE75FB" w:rsidR="005D67A9" w:rsidRPr="00610329" w:rsidRDefault="005D67A9" w:rsidP="008C2371">
            <w:r w:rsidRPr="00610329">
              <w:t xml:space="preserve">This option would be difficult to enforce, particularly in owner-occupied homes – it would need considerable enforcement resources to be committed, and there could be issues with monitoring compliance in people’s homes. It could also potentially cause affordability issues and lead to unintended consequences such as vulnerable people not having warmth in cold weather if they are not able to afford a replacement. </w:t>
            </w:r>
            <w:r w:rsidRPr="00096B3A">
              <w:t xml:space="preserve">One of the unintended consequences is the use of outdoor gas heating appliances indoors. An example was in August 2012 where a patio heater designed for outdoor use was used inside an apartment where there was no other form of heating. This resulted in the death of a </w:t>
            </w:r>
            <w:r w:rsidR="00DA503E" w:rsidRPr="00096B3A">
              <w:t>40-year-old</w:t>
            </w:r>
            <w:r w:rsidRPr="00096B3A">
              <w:t xml:space="preserve"> male from </w:t>
            </w:r>
            <w:r w:rsidR="00736A2E">
              <w:t>CO</w:t>
            </w:r>
            <w:r w:rsidR="00875E31">
              <w:t xml:space="preserve"> </w:t>
            </w:r>
            <w:r w:rsidRPr="00096B3A">
              <w:t>poisoning.</w:t>
            </w:r>
            <w:r w:rsidRPr="00610329">
              <w:t xml:space="preserve"> Where there was non-compliance, it could </w:t>
            </w:r>
            <w:r w:rsidR="00095E83">
              <w:t xml:space="preserve">also </w:t>
            </w:r>
            <w:r w:rsidRPr="00610329">
              <w:t xml:space="preserve">mean that heaters do not get serviced and the risk is increased. </w:t>
            </w:r>
          </w:p>
        </w:tc>
      </w:tr>
      <w:tr w:rsidR="005D67A9" w:rsidRPr="00610329" w14:paraId="6F92BD76" w14:textId="77777777" w:rsidTr="000276F0">
        <w:trPr>
          <w:trHeight w:val="2586"/>
        </w:trPr>
        <w:tc>
          <w:tcPr>
            <w:tcW w:w="4422" w:type="dxa"/>
          </w:tcPr>
          <w:p w14:paraId="12522CA3" w14:textId="611CBE64" w:rsidR="005D67A9" w:rsidRPr="00610329" w:rsidRDefault="00180DB2" w:rsidP="008C2371">
            <w:pPr>
              <w:ind w:right="110"/>
              <w:rPr>
                <w:b/>
              </w:rPr>
            </w:pPr>
            <w:r>
              <w:rPr>
                <w:b/>
              </w:rPr>
              <w:t>Restriction</w:t>
            </w:r>
            <w:r w:rsidR="005D67A9" w:rsidRPr="00610329">
              <w:rPr>
                <w:b/>
              </w:rPr>
              <w:t xml:space="preserve"> on future installations </w:t>
            </w:r>
            <w:r w:rsidR="005D67A9" w:rsidRPr="00610329">
              <w:rPr>
                <w:b/>
              </w:rPr>
              <w:br/>
              <w:t xml:space="preserve">(excluding like for like replacements) </w:t>
            </w:r>
            <w:r w:rsidR="005D67A9" w:rsidRPr="00610329">
              <w:rPr>
                <w:bCs/>
              </w:rPr>
              <w:t xml:space="preserve">This option would </w:t>
            </w:r>
            <w:r w:rsidR="00873954">
              <w:rPr>
                <w:bCs/>
              </w:rPr>
              <w:t>restrict</w:t>
            </w:r>
            <w:r w:rsidR="005D67A9" w:rsidRPr="00610329">
              <w:rPr>
                <w:bCs/>
              </w:rPr>
              <w:t xml:space="preserve"> the installation of OFGSHs in households where they were not already installed. Installation of </w:t>
            </w:r>
            <w:r w:rsidR="000932DA">
              <w:rPr>
                <w:bCs/>
              </w:rPr>
              <w:t xml:space="preserve">OFGSHs </w:t>
            </w:r>
            <w:r w:rsidR="005D67A9" w:rsidRPr="00610329">
              <w:rPr>
                <w:bCs/>
              </w:rPr>
              <w:t xml:space="preserve">would continue to be permitted where they replace an existing </w:t>
            </w:r>
            <w:r w:rsidR="000932DA">
              <w:rPr>
                <w:bCs/>
              </w:rPr>
              <w:t xml:space="preserve">OFGSHs </w:t>
            </w:r>
            <w:r w:rsidR="005D67A9" w:rsidRPr="00610329">
              <w:rPr>
                <w:bCs/>
              </w:rPr>
              <w:t>(a “like for like replacement”).</w:t>
            </w:r>
          </w:p>
        </w:tc>
        <w:tc>
          <w:tcPr>
            <w:tcW w:w="4479" w:type="dxa"/>
          </w:tcPr>
          <w:p w14:paraId="59E6352C" w14:textId="18A4B53F" w:rsidR="005D67A9" w:rsidRPr="00610329" w:rsidRDefault="005D67A9" w:rsidP="008C2371">
            <w:pPr>
              <w:rPr>
                <w:b/>
              </w:rPr>
            </w:pPr>
            <w:r w:rsidRPr="00610329">
              <w:t xml:space="preserve">This option would address a very small part of the problem because most new installations are “like for like replacements”. </w:t>
            </w:r>
          </w:p>
        </w:tc>
      </w:tr>
      <w:tr w:rsidR="005D67A9" w:rsidRPr="00610329" w14:paraId="7625884D" w14:textId="77777777" w:rsidTr="000276F0">
        <w:trPr>
          <w:trHeight w:val="672"/>
        </w:trPr>
        <w:tc>
          <w:tcPr>
            <w:tcW w:w="4422" w:type="dxa"/>
          </w:tcPr>
          <w:p w14:paraId="2DEA9258" w14:textId="38D75995" w:rsidR="005D67A9" w:rsidRPr="00610329" w:rsidRDefault="005D67A9" w:rsidP="005D67A9">
            <w:pPr>
              <w:spacing w:after="0"/>
              <w:rPr>
                <w:b/>
                <w:bCs/>
              </w:rPr>
            </w:pPr>
            <w:r w:rsidRPr="00610329">
              <w:rPr>
                <w:b/>
                <w:bCs/>
              </w:rPr>
              <w:t xml:space="preserve">Mandatory servicing requirements </w:t>
            </w:r>
          </w:p>
          <w:p w14:paraId="555D587F" w14:textId="51225A2F" w:rsidR="005D67A9" w:rsidRPr="00610329" w:rsidRDefault="005D67A9" w:rsidP="005D67A9">
            <w:pPr>
              <w:spacing w:after="0"/>
            </w:pPr>
            <w:r w:rsidRPr="00610329">
              <w:t>This measure would mandate regular servicing of OFGSHs in all buildings where OFGSHs are installed. Servicing intervals will be every two years, as per ESV’s recommendations. A service has an estimated cost of $250.</w:t>
            </w:r>
          </w:p>
          <w:p w14:paraId="7918D22E" w14:textId="77777777" w:rsidR="005D67A9" w:rsidRPr="00610329" w:rsidRDefault="005D67A9" w:rsidP="005D67A9">
            <w:pPr>
              <w:spacing w:after="0"/>
            </w:pPr>
            <w:r w:rsidRPr="00610329">
              <w:t xml:space="preserve">Under the current regulations in Australia, servicing OFGSHs is voluntary. At present, servicing is encouraged through increased public awareness campaigns which encourage consumers to service all gas heaters once every two years. </w:t>
            </w:r>
          </w:p>
          <w:p w14:paraId="6B7B47F5" w14:textId="38852276" w:rsidR="005D67A9" w:rsidRPr="00610329" w:rsidRDefault="005D67A9" w:rsidP="005D67A9">
            <w:pPr>
              <w:spacing w:after="0"/>
              <w:rPr>
                <w:b/>
              </w:rPr>
            </w:pPr>
            <w:r w:rsidRPr="00610329">
              <w:t xml:space="preserve">Regular servicing of </w:t>
            </w:r>
            <w:r w:rsidR="000932DA">
              <w:t xml:space="preserve">OFGSHs </w:t>
            </w:r>
            <w:r w:rsidRPr="00610329">
              <w:t>ensures that these appliances are in working condition and operating safely.</w:t>
            </w:r>
          </w:p>
        </w:tc>
        <w:tc>
          <w:tcPr>
            <w:tcW w:w="4479" w:type="dxa"/>
          </w:tcPr>
          <w:p w14:paraId="51D20824" w14:textId="452693AB" w:rsidR="005D67A9" w:rsidRPr="00610329" w:rsidRDefault="005D67A9" w:rsidP="00FB7E2B">
            <w:r w:rsidRPr="00610329">
              <w:t xml:space="preserve">Mandatory servicing requirements are not considered to be feasible because they would be difficult to monitor and enforce in owner-occupied buildings. </w:t>
            </w:r>
          </w:p>
          <w:p w14:paraId="73FBEEBE" w14:textId="74D0372E" w:rsidR="005D67A9" w:rsidRPr="00610329" w:rsidRDefault="005D67A9" w:rsidP="00FB7E2B">
            <w:r w:rsidRPr="00610329">
              <w:t xml:space="preserve">Mandatory gas safety checks are being considered </w:t>
            </w:r>
            <w:r w:rsidRPr="00096B3A">
              <w:t>through changes to the Residential Tenancies Regulations</w:t>
            </w:r>
            <w:r w:rsidRPr="00610329">
              <w:t xml:space="preserve"> which will address some of the risk of CO exposure from OFGSHs in rental homes.</w:t>
            </w:r>
          </w:p>
          <w:p w14:paraId="3BFD0E97" w14:textId="0F478F0C" w:rsidR="005D67A9" w:rsidRPr="00610329" w:rsidRDefault="005D67A9" w:rsidP="00FB7E2B">
            <w:pPr>
              <w:rPr>
                <w:b/>
              </w:rPr>
            </w:pPr>
            <w:r w:rsidRPr="00610329">
              <w:t>While the mandatory measures described above in tenanted properties are appropriate and enforceable alongside other safety requirements for landlords, mandating measures in owner</w:t>
            </w:r>
            <w:r w:rsidR="00400B72">
              <w:t>-</w:t>
            </w:r>
            <w:r w:rsidRPr="00610329">
              <w:t xml:space="preserve">occupied properties that are specific only to OFGSHs will be more challenging and difficult to enforce, particularly with regard to one class of heater such as OFGSHs. Market research indicates 50 per cent of people with gas space heaters are unsure as to whether these are open flued, and the building regulatory framework is not established to locate types of gas heaters or monitor servicing work. For these reasons a voluntary approach to servicing OFGSHs </w:t>
            </w:r>
            <w:r w:rsidR="00095E83">
              <w:t xml:space="preserve">in </w:t>
            </w:r>
            <w:r w:rsidRPr="00610329">
              <w:t>owner</w:t>
            </w:r>
            <w:r w:rsidR="00400B72">
              <w:t>-</w:t>
            </w:r>
            <w:r w:rsidRPr="00610329">
              <w:lastRenderedPageBreak/>
              <w:t>occupied properties is appropriate alongside awareness raising.</w:t>
            </w:r>
          </w:p>
        </w:tc>
      </w:tr>
      <w:tr w:rsidR="005D67A9" w:rsidRPr="00610329" w14:paraId="4210005A" w14:textId="77777777" w:rsidTr="000276F0">
        <w:trPr>
          <w:trHeight w:val="1047"/>
        </w:trPr>
        <w:tc>
          <w:tcPr>
            <w:tcW w:w="4422" w:type="dxa"/>
          </w:tcPr>
          <w:p w14:paraId="64B318F1" w14:textId="7C80DCD2" w:rsidR="00BC2941" w:rsidRDefault="005D67A9" w:rsidP="00766BF5">
            <w:r w:rsidRPr="00610329">
              <w:rPr>
                <w:b/>
                <w:bCs/>
              </w:rPr>
              <w:lastRenderedPageBreak/>
              <w:t>Potential change to compliance certificates</w:t>
            </w:r>
            <w:r w:rsidRPr="00610329">
              <w:t xml:space="preserve"> Under the Building Act a certificate of compliance is required to be issued to consumers and lodged with the VBA by a licensed plumber (including gasfitters), where the total value of work is $750 </w:t>
            </w:r>
            <w:r w:rsidR="00E47EA6">
              <w:t xml:space="preserve">as well as where a gas appliance is installed, relocated or replaced, </w:t>
            </w:r>
            <w:r w:rsidRPr="00610329">
              <w:t xml:space="preserve">or more as well as in other </w:t>
            </w:r>
            <w:r w:rsidR="008B1793">
              <w:t>specified</w:t>
            </w:r>
            <w:r w:rsidR="008B1793" w:rsidRPr="00610329">
              <w:t xml:space="preserve"> </w:t>
            </w:r>
            <w:r w:rsidRPr="00610329">
              <w:t>circumstances.</w:t>
            </w:r>
            <w:r w:rsidR="008B1793">
              <w:t xml:space="preserve"> In the case of </w:t>
            </w:r>
            <w:r w:rsidR="009E317B">
              <w:t>the installation, relocation or replacement of a gas appliance, the lodgement of</w:t>
            </w:r>
            <w:r w:rsidR="000006D5">
              <w:t xml:space="preserve"> a compliance certificate is mandatory regardless of the value of the work.</w:t>
            </w:r>
          </w:p>
          <w:p w14:paraId="5908231E" w14:textId="4F8FBE49" w:rsidR="005D67A9" w:rsidRPr="00610329" w:rsidRDefault="00BC2941" w:rsidP="00766BF5">
            <w:r>
              <w:t xml:space="preserve">In the case of servicing gas appliances, a compliance certificate is required when the total value of the work exceeds $750. </w:t>
            </w:r>
            <w:r w:rsidR="005D67A9" w:rsidRPr="00610329">
              <w:t xml:space="preserve"> To support either the Base Case or implementation of mandatory servicing, a supporting action could be investigated which could mandate compliance certificates for any maintenance and servicing works performed on gas heaters, including </w:t>
            </w:r>
            <w:r w:rsidR="000932DA">
              <w:t>OFGSHs.</w:t>
            </w:r>
            <w:r w:rsidR="005D67A9" w:rsidRPr="00610329">
              <w:t xml:space="preserve"> Under this approach, servicing work would be subject to the VBA’s auditing regime, creating a level of accountability for work undertaken by gasfitters. It would also give the VBA broader oversight on the location of OFGSH, providing an opportunity to create a register and remind consumers to service their heater or to send out education materials regarding CO poisoning risks.</w:t>
            </w:r>
          </w:p>
        </w:tc>
        <w:tc>
          <w:tcPr>
            <w:tcW w:w="4479" w:type="dxa"/>
          </w:tcPr>
          <w:p w14:paraId="0BB1E0F6" w14:textId="69338F65" w:rsidR="005D67A9" w:rsidRPr="00096B3A" w:rsidRDefault="005D67A9" w:rsidP="00766BF5">
            <w:r w:rsidRPr="00610329">
              <w:t>Any change to the requirements for compliance certificates is outside the scope of this RIS process, as implementation would require an amendment to the Building Act and would depend on Parliamentary processes and decisions. It would therefore need to be investigated as part of a separate Government process</w:t>
            </w:r>
            <w:r w:rsidRPr="00610329">
              <w:rPr>
                <w:lang w:eastAsia="en-AU"/>
              </w:rPr>
              <w:t xml:space="preserve">. </w:t>
            </w:r>
          </w:p>
        </w:tc>
      </w:tr>
      <w:tr w:rsidR="005D67A9" w14:paraId="61C00DFA" w14:textId="77777777" w:rsidTr="000276F0">
        <w:trPr>
          <w:trHeight w:val="1792"/>
        </w:trPr>
        <w:tc>
          <w:tcPr>
            <w:tcW w:w="4422" w:type="dxa"/>
            <w:shd w:val="clear" w:color="auto" w:fill="auto"/>
          </w:tcPr>
          <w:p w14:paraId="7B74A68B" w14:textId="77777777" w:rsidR="005D67A9" w:rsidRPr="00610329" w:rsidRDefault="005D67A9" w:rsidP="009F4241">
            <w:pPr>
              <w:rPr>
                <w:b/>
              </w:rPr>
            </w:pPr>
            <w:r w:rsidRPr="00610329">
              <w:rPr>
                <w:b/>
              </w:rPr>
              <w:t>Education</w:t>
            </w:r>
          </w:p>
          <w:p w14:paraId="71D1EB59" w14:textId="4944856E" w:rsidR="005D67A9" w:rsidRPr="00610329" w:rsidRDefault="005D67A9" w:rsidP="009F4241">
            <w:pPr>
              <w:rPr>
                <w:b/>
              </w:rPr>
            </w:pPr>
            <w:r w:rsidRPr="00610329">
              <w:t>This option would include public education on the risks of CO poisoning and measures the households could take such as servicing and installation of CO alarms.</w:t>
            </w:r>
          </w:p>
        </w:tc>
        <w:tc>
          <w:tcPr>
            <w:tcW w:w="4479" w:type="dxa"/>
            <w:shd w:val="clear" w:color="auto" w:fill="auto"/>
          </w:tcPr>
          <w:p w14:paraId="71BBBC2E" w14:textId="08AA8DCD" w:rsidR="005D67A9" w:rsidRDefault="005D67A9" w:rsidP="009F4241">
            <w:r w:rsidRPr="00103FCD">
              <w:t xml:space="preserve">As described in </w:t>
            </w:r>
            <w:r w:rsidR="00A40B94">
              <w:t>S</w:t>
            </w:r>
            <w:r w:rsidRPr="00435E98">
              <w:t>ection</w:t>
            </w:r>
            <w:r w:rsidR="00103FCD" w:rsidRPr="00435E98">
              <w:t xml:space="preserve"> </w:t>
            </w:r>
            <w:r w:rsidR="00103FCD" w:rsidRPr="00435E98">
              <w:fldChar w:fldCharType="begin"/>
            </w:r>
            <w:r w:rsidR="00103FCD" w:rsidRPr="00435E98">
              <w:instrText xml:space="preserve"> REF _Ref56456062 \r \h </w:instrText>
            </w:r>
            <w:r w:rsidR="00103FCD">
              <w:instrText xml:space="preserve"> \* MERGEFORMAT </w:instrText>
            </w:r>
            <w:r w:rsidR="00103FCD" w:rsidRPr="00435E98">
              <w:fldChar w:fldCharType="separate"/>
            </w:r>
            <w:r w:rsidR="00CD0679">
              <w:t>1.4</w:t>
            </w:r>
            <w:r w:rsidR="00103FCD" w:rsidRPr="00435E98">
              <w:fldChar w:fldCharType="end"/>
            </w:r>
            <w:r w:rsidRPr="00435E98">
              <w:t>,</w:t>
            </w:r>
            <w:r w:rsidRPr="00103FCD">
              <w:t xml:space="preserve"> ESV has </w:t>
            </w:r>
            <w:r w:rsidR="007A619C">
              <w:t>delivered</w:t>
            </w:r>
            <w:r w:rsidRPr="00103FCD">
              <w:t xml:space="preserve"> substantial public awareness campaigns</w:t>
            </w:r>
            <w:r w:rsidR="007A619C">
              <w:t xml:space="preserve"> since </w:t>
            </w:r>
            <w:r w:rsidR="00756063">
              <w:t>2011</w:t>
            </w:r>
            <w:r w:rsidRPr="00103FCD">
              <w:t>. Continuing public education campaigns will be</w:t>
            </w:r>
            <w:r w:rsidRPr="00435E98">
              <w:t xml:space="preserve"> a part of the Base Case. Additional public education is not likely to lead to significant reduction in risks.</w:t>
            </w:r>
          </w:p>
          <w:p w14:paraId="092EC173" w14:textId="48B003F6" w:rsidR="005D67A9" w:rsidRDefault="000250BC" w:rsidP="009F4241">
            <w:r>
              <w:t>The VBA also plays a role in educating and informing licensed gasfitters, as well as consumers, regarding regulatory requirements</w:t>
            </w:r>
            <w:r w:rsidR="00EE481C">
              <w:t xml:space="preserve"> relevant to OFGSHs.</w:t>
            </w:r>
          </w:p>
        </w:tc>
      </w:tr>
    </w:tbl>
    <w:p w14:paraId="2A922494" w14:textId="598A64BE" w:rsidR="00293EE0" w:rsidRPr="00293EE0" w:rsidRDefault="00E05B57" w:rsidP="005024F8">
      <w:pPr>
        <w:pStyle w:val="Heading1"/>
        <w:ind w:left="709" w:hanging="709"/>
      </w:pPr>
      <w:bookmarkStart w:id="222" w:name="_Toc44058063"/>
      <w:bookmarkStart w:id="223" w:name="_Toc44058064"/>
      <w:bookmarkStart w:id="224" w:name="_Toc10111311"/>
      <w:bookmarkStart w:id="225" w:name="_Toc17892135"/>
      <w:bookmarkStart w:id="226" w:name="_Toc59612288"/>
      <w:bookmarkEnd w:id="222"/>
      <w:bookmarkEnd w:id="223"/>
      <w:r>
        <w:lastRenderedPageBreak/>
        <w:t>O</w:t>
      </w:r>
      <w:r w:rsidR="00293EE0">
        <w:t xml:space="preserve">ptions </w:t>
      </w:r>
      <w:r w:rsidR="00293EE0" w:rsidRPr="00CD6F30">
        <w:t>analysis</w:t>
      </w:r>
      <w:bookmarkEnd w:id="224"/>
      <w:bookmarkEnd w:id="225"/>
      <w:bookmarkEnd w:id="226"/>
    </w:p>
    <w:p w14:paraId="652AF103" w14:textId="1A8D3116" w:rsidR="000E0B9D" w:rsidRPr="00FF5BFF" w:rsidRDefault="00AB4A82" w:rsidP="00FF5BFF">
      <w:pPr>
        <w:pStyle w:val="Heading3"/>
        <w:numPr>
          <w:ilvl w:val="1"/>
          <w:numId w:val="172"/>
        </w:numPr>
        <w:rPr>
          <w:color w:val="62B5E5" w:themeColor="accent3"/>
        </w:rPr>
      </w:pPr>
      <w:bookmarkStart w:id="227" w:name="_Toc17892136"/>
      <w:bookmarkStart w:id="228" w:name="_Toc19092414"/>
      <w:bookmarkStart w:id="229" w:name="_Toc20138652"/>
      <w:r w:rsidRPr="00FF5BFF">
        <w:rPr>
          <w:color w:val="62B5E5" w:themeColor="accent3"/>
        </w:rPr>
        <w:t>Methodology</w:t>
      </w:r>
    </w:p>
    <w:p w14:paraId="65E42F71" w14:textId="1DFA9680" w:rsidR="00894FA4" w:rsidRPr="00BC17BC" w:rsidRDefault="00894FA4" w:rsidP="00BC17BC">
      <w:pPr>
        <w:pStyle w:val="Heading3"/>
      </w:pPr>
      <w:r w:rsidRPr="00BC17BC">
        <w:t>Two staged approach</w:t>
      </w:r>
    </w:p>
    <w:p w14:paraId="08903553" w14:textId="12F1EB7F" w:rsidR="0006583D" w:rsidRDefault="0006583D" w:rsidP="0006583D">
      <w:r w:rsidRPr="009B02E6">
        <w:t xml:space="preserve">A two staged approach </w:t>
      </w:r>
      <w:r>
        <w:t>to assessing options is used:</w:t>
      </w:r>
    </w:p>
    <w:p w14:paraId="1F5A54F8" w14:textId="106AAD6B" w:rsidR="0006583D" w:rsidRDefault="0006583D" w:rsidP="00E74AA1">
      <w:pPr>
        <w:pStyle w:val="ListParagraph"/>
        <w:numPr>
          <w:ilvl w:val="0"/>
          <w:numId w:val="40"/>
        </w:numPr>
      </w:pPr>
      <w:r>
        <w:t xml:space="preserve">Assess </w:t>
      </w:r>
      <w:r w:rsidR="00E94D18">
        <w:t>phase out</w:t>
      </w:r>
      <w:r>
        <w:t xml:space="preserve"> options to identify a preferred </w:t>
      </w:r>
      <w:r w:rsidR="00E94D18">
        <w:t xml:space="preserve">phase out </w:t>
      </w:r>
      <w:r>
        <w:t>option</w:t>
      </w:r>
    </w:p>
    <w:p w14:paraId="5CF4805D" w14:textId="2C8442D7" w:rsidR="0006583D" w:rsidRDefault="0006583D" w:rsidP="00E74AA1">
      <w:pPr>
        <w:pStyle w:val="ListParagraph"/>
        <w:numPr>
          <w:ilvl w:val="0"/>
          <w:numId w:val="40"/>
        </w:numPr>
      </w:pPr>
      <w:r>
        <w:t xml:space="preserve">Assess the </w:t>
      </w:r>
      <w:r w:rsidR="000F1E3C">
        <w:t xml:space="preserve">option of </w:t>
      </w:r>
      <w:r>
        <w:t xml:space="preserve">mandatory installation of </w:t>
      </w:r>
      <w:r w:rsidRPr="009B02E6">
        <w:t>CO alarms</w:t>
      </w:r>
      <w:r w:rsidR="00AB1BBD">
        <w:t xml:space="preserve"> in</w:t>
      </w:r>
      <w:r w:rsidRPr="009B02E6">
        <w:t xml:space="preserve"> properties</w:t>
      </w:r>
      <w:r>
        <w:t xml:space="preserve"> with </w:t>
      </w:r>
      <w:r w:rsidR="000F1E3C">
        <w:t xml:space="preserve">an </w:t>
      </w:r>
      <w:r>
        <w:t>OFGSH</w:t>
      </w:r>
      <w:r w:rsidR="00864EBF">
        <w:t xml:space="preserve">, which is </w:t>
      </w:r>
      <w:r w:rsidR="00A530EB">
        <w:t xml:space="preserve">a </w:t>
      </w:r>
      <w:r w:rsidR="00480AAD">
        <w:t>transitional</w:t>
      </w:r>
      <w:r w:rsidR="00A530EB">
        <w:t xml:space="preserve"> measure.</w:t>
      </w:r>
    </w:p>
    <w:p w14:paraId="79418C9D" w14:textId="692DD3FF" w:rsidR="0039689D" w:rsidRPr="00E050F6" w:rsidRDefault="0039689D" w:rsidP="00BC17BC">
      <w:pPr>
        <w:pStyle w:val="Heading3"/>
      </w:pPr>
      <w:r w:rsidRPr="00BC17BC">
        <w:t>Breakeven analysis</w:t>
      </w:r>
    </w:p>
    <w:p w14:paraId="1D8D2E3C" w14:textId="073A1FEF" w:rsidR="00197BD0" w:rsidRDefault="00197BD0" w:rsidP="00197BD0">
      <w:r>
        <w:t xml:space="preserve">Options have been assessed using a breakeven approach. Breakeven has been chosen as the preferred analysis tool because of the nature of benefits (reduction in fatalities/injuries) combined with the uncertain and episodic nature of such incidents. </w:t>
      </w:r>
    </w:p>
    <w:p w14:paraId="4C336B05" w14:textId="078F8B3D" w:rsidR="00197BD0" w:rsidRPr="00442679" w:rsidRDefault="00197BD0" w:rsidP="00197BD0">
      <w:r>
        <w:t>In practice, given that a large number of the benefits and costs have been quantified, the analysis is similar to a full cost-benefit analysis. However</w:t>
      </w:r>
      <w:r w:rsidR="00EF00A6">
        <w:t>,</w:t>
      </w:r>
      <w:r>
        <w:t xml:space="preserve"> given the uncertainty around some of the quantification (e.g. the low level illness number), it is expressed as breakeven analysis. </w:t>
      </w:r>
      <w:r w:rsidRPr="00583ED9">
        <w:t>Importantly, the findings would be the same regardless of method and terminology used.</w:t>
      </w:r>
    </w:p>
    <w:p w14:paraId="6555E37E" w14:textId="6F53289A" w:rsidR="00F0064F" w:rsidRDefault="00F0064F" w:rsidP="00F0064F">
      <w:pPr>
        <w:pStyle w:val="Heading4"/>
      </w:pPr>
      <w:r>
        <w:t xml:space="preserve">Impact of </w:t>
      </w:r>
      <w:r w:rsidR="007146F5">
        <w:t>coronavirus (</w:t>
      </w:r>
      <w:r>
        <w:t>Covid-19</w:t>
      </w:r>
      <w:r w:rsidR="007146F5">
        <w:t>)</w:t>
      </w:r>
    </w:p>
    <w:p w14:paraId="39BBDF77" w14:textId="3693BB37" w:rsidR="00CE4120" w:rsidRDefault="00CE4120" w:rsidP="00E74AA1">
      <w:pPr>
        <w:spacing w:before="120" w:line="240" w:lineRule="auto"/>
      </w:pPr>
      <w:r>
        <w:t xml:space="preserve">Much of the analysis in this report is based on </w:t>
      </w:r>
      <w:r w:rsidR="006139B0">
        <w:t xml:space="preserve">data and </w:t>
      </w:r>
      <w:r>
        <w:t xml:space="preserve">analysis </w:t>
      </w:r>
      <w:r w:rsidR="006139B0">
        <w:t xml:space="preserve">undertaken </w:t>
      </w:r>
      <w:r>
        <w:t xml:space="preserve">prior to the </w:t>
      </w:r>
      <w:r w:rsidR="007146F5">
        <w:t>coronavirus (COVID-19)</w:t>
      </w:r>
      <w:r>
        <w:t xml:space="preserve"> situation. </w:t>
      </w:r>
      <w:r w:rsidR="007146F5">
        <w:t xml:space="preserve">Coronavirus (COVID-19) </w:t>
      </w:r>
      <w:r>
        <w:t xml:space="preserve">has the potential to impact the analysis, </w:t>
      </w:r>
      <w:r w:rsidR="00702279">
        <w:t>particularly with</w:t>
      </w:r>
      <w:r>
        <w:t xml:space="preserve"> regard to relative energy prices (notably lower gas prices) and consumer choices. </w:t>
      </w:r>
      <w:r w:rsidR="00A84A49">
        <w:t>Some individuals</w:t>
      </w:r>
      <w:r>
        <w:t xml:space="preserve"> </w:t>
      </w:r>
      <w:r w:rsidR="003915DD">
        <w:t>may</w:t>
      </w:r>
      <w:r w:rsidR="00B51203">
        <w:t xml:space="preserve"> spend greater </w:t>
      </w:r>
      <w:r w:rsidR="00154A8A">
        <w:t>amount</w:t>
      </w:r>
      <w:r w:rsidR="00B51203">
        <w:t>s</w:t>
      </w:r>
      <w:r w:rsidR="00154A8A">
        <w:t xml:space="preserve"> of time</w:t>
      </w:r>
      <w:r>
        <w:t xml:space="preserve"> at home </w:t>
      </w:r>
      <w:r w:rsidR="00B51203">
        <w:t xml:space="preserve">due to </w:t>
      </w:r>
      <w:r w:rsidR="007146F5">
        <w:t>coronavirus (COVID-19)</w:t>
      </w:r>
      <w:r w:rsidR="004B6E13">
        <w:t xml:space="preserve">, </w:t>
      </w:r>
      <w:r w:rsidR="00181F56">
        <w:t>increasing</w:t>
      </w:r>
      <w:r>
        <w:t xml:space="preserve"> </w:t>
      </w:r>
      <w:r w:rsidR="004B6E13">
        <w:t>their</w:t>
      </w:r>
      <w:r w:rsidR="00181F56">
        <w:t xml:space="preserve"> use of</w:t>
      </w:r>
      <w:r>
        <w:t xml:space="preserve"> </w:t>
      </w:r>
      <w:r w:rsidR="000932DA">
        <w:t>OFGSH</w:t>
      </w:r>
      <w:r w:rsidR="00181F56">
        <w:t>s as a result.</w:t>
      </w:r>
      <w:r w:rsidR="004B6E13">
        <w:t xml:space="preserve"> This</w:t>
      </w:r>
      <w:r w:rsidR="007146F5">
        <w:t xml:space="preserve"> </w:t>
      </w:r>
      <w:r w:rsidR="00095E83">
        <w:t xml:space="preserve">or being unable to afford </w:t>
      </w:r>
      <w:r w:rsidR="00AC519B">
        <w:t>servicing, may</w:t>
      </w:r>
      <w:r>
        <w:t xml:space="preserve"> increase the</w:t>
      </w:r>
      <w:r w:rsidR="003A2510">
        <w:t>ir</w:t>
      </w:r>
      <w:r>
        <w:t xml:space="preserve"> likelihood</w:t>
      </w:r>
      <w:r w:rsidR="003A2510">
        <w:t xml:space="preserve"> of being</w:t>
      </w:r>
      <w:r w:rsidR="004B6E13">
        <w:t xml:space="preserve"> </w:t>
      </w:r>
      <w:r>
        <w:t>expose</w:t>
      </w:r>
      <w:r w:rsidR="004B6E13">
        <w:t>d</w:t>
      </w:r>
      <w:r>
        <w:t xml:space="preserve"> to CO </w:t>
      </w:r>
      <w:r w:rsidR="003A2510">
        <w:t>and experiencing worsened</w:t>
      </w:r>
      <w:r w:rsidR="00821132">
        <w:t xml:space="preserve"> health </w:t>
      </w:r>
      <w:r w:rsidR="003A2510">
        <w:t>outcomes</w:t>
      </w:r>
      <w:r>
        <w:t>.</w:t>
      </w:r>
      <w:r w:rsidR="000E0F17">
        <w:t xml:space="preserve"> </w:t>
      </w:r>
      <w:r w:rsidR="007146F5">
        <w:t xml:space="preserve">coronavirus (COVID-19) </w:t>
      </w:r>
      <w:r w:rsidR="000E0F17">
        <w:t>may</w:t>
      </w:r>
      <w:r w:rsidR="003A2510">
        <w:t xml:space="preserve"> also</w:t>
      </w:r>
      <w:r w:rsidR="000E0F17">
        <w:t xml:space="preserve"> lead </w:t>
      </w:r>
      <w:r w:rsidR="003A2510">
        <w:t xml:space="preserve">to </w:t>
      </w:r>
      <w:r w:rsidR="006661D9">
        <w:t>some</w:t>
      </w:r>
      <w:r w:rsidR="000E0F17">
        <w:t xml:space="preserve"> individuals to experienced reductions in income, </w:t>
      </w:r>
      <w:r w:rsidR="007578F5">
        <w:t>impacting their ability to service and properly maintain OFGSHs installed in their home.</w:t>
      </w:r>
      <w:r>
        <w:t xml:space="preserve"> </w:t>
      </w:r>
      <w:r w:rsidR="00122FEB">
        <w:t>However, g</w:t>
      </w:r>
      <w:r>
        <w:t>iven</w:t>
      </w:r>
      <w:r w:rsidR="00122FEB">
        <w:t xml:space="preserve"> the</w:t>
      </w:r>
      <w:r>
        <w:t xml:space="preserve"> uncertainty around these impacts, and the extent to which they are just temporary or longer term, no changes have been made to the underlying assumptions, however sensitivity analysis has been undertaken to test the impact of changes in some key assumptions</w:t>
      </w:r>
      <w:r w:rsidRPr="00A629A8" w:rsidDel="00CE4120">
        <w:t xml:space="preserve"> </w:t>
      </w:r>
      <w:r w:rsidR="00197BD0">
        <w:t>(</w:t>
      </w:r>
      <w:r w:rsidR="00197BD0" w:rsidRPr="00CC4A0B">
        <w:t xml:space="preserve">see Appendix </w:t>
      </w:r>
      <w:r w:rsidR="00095E83">
        <w:t>E</w:t>
      </w:r>
      <w:r w:rsidR="00197BD0" w:rsidRPr="00CC4A0B">
        <w:t>).</w:t>
      </w:r>
    </w:p>
    <w:p w14:paraId="6DAEF00D" w14:textId="1DFBC0DE" w:rsidR="0006583D" w:rsidRPr="00BC17BC" w:rsidRDefault="0006583D" w:rsidP="00BC17BC">
      <w:pPr>
        <w:pStyle w:val="Heading3"/>
      </w:pPr>
      <w:r w:rsidRPr="00BC17BC">
        <w:t>Estimation of costs and benefits</w:t>
      </w:r>
    </w:p>
    <w:p w14:paraId="039BC4C9" w14:textId="1017800E" w:rsidR="003A2C67" w:rsidRDefault="00285A88" w:rsidP="00285A88">
      <w:r>
        <w:t>C</w:t>
      </w:r>
      <w:r w:rsidRPr="00420614">
        <w:t>osts</w:t>
      </w:r>
      <w:r>
        <w:t xml:space="preserve"> and benefits captured in this chapter </w:t>
      </w:r>
      <w:r w:rsidRPr="00420614">
        <w:t xml:space="preserve">include </w:t>
      </w:r>
      <w:r>
        <w:t xml:space="preserve">the items </w:t>
      </w:r>
      <w:r w:rsidRPr="00420614">
        <w:t xml:space="preserve">that are </w:t>
      </w:r>
      <w:r>
        <w:t xml:space="preserve">directly </w:t>
      </w:r>
      <w:r w:rsidRPr="00420614">
        <w:t xml:space="preserve">relevant and attributable to the </w:t>
      </w:r>
      <w:r>
        <w:t xml:space="preserve">proposed </w:t>
      </w:r>
      <w:r w:rsidR="002C6A80">
        <w:t xml:space="preserve">phase out </w:t>
      </w:r>
      <w:r w:rsidR="00DC2FD7">
        <w:t>options</w:t>
      </w:r>
      <w:r w:rsidR="002C6A80">
        <w:t>.</w:t>
      </w:r>
    </w:p>
    <w:p w14:paraId="172BD956" w14:textId="2412A689" w:rsidR="003A2C67" w:rsidRDefault="003A2C67" w:rsidP="003A2C67">
      <w:r>
        <w:t xml:space="preserve">Given the level of uncertainty around data collected for this RIS, the general approach to </w:t>
      </w:r>
      <w:r w:rsidR="007F1F98">
        <w:t>estimat</w:t>
      </w:r>
      <w:r w:rsidR="007A7249">
        <w:t>i</w:t>
      </w:r>
      <w:r>
        <w:t xml:space="preserve">ng the costs and benefits in this RIS is to report conservative estimates. </w:t>
      </w:r>
      <w:r w:rsidRPr="00296DF8">
        <w:t>Where a range of plausible values is available, we have selected the average value as a representative of the sample.</w:t>
      </w:r>
      <w:r>
        <w:t xml:space="preserve"> </w:t>
      </w:r>
    </w:p>
    <w:p w14:paraId="1EC7DBBD" w14:textId="51718D66" w:rsidR="00E30169" w:rsidRDefault="00E30169" w:rsidP="003A2C67">
      <w:r>
        <w:t xml:space="preserve">The limited availability </w:t>
      </w:r>
      <w:r w:rsidR="006706B8">
        <w:t xml:space="preserve">and nature </w:t>
      </w:r>
      <w:r>
        <w:t xml:space="preserve">of relevant data means </w:t>
      </w:r>
      <w:r w:rsidR="003A2C67">
        <w:t xml:space="preserve">that </w:t>
      </w:r>
      <w:r>
        <w:t xml:space="preserve">some of the identified costs and benefits </w:t>
      </w:r>
      <w:r w:rsidR="003A2C67">
        <w:t xml:space="preserve">are difficult to quantify. </w:t>
      </w:r>
      <w:r>
        <w:t>However, where possible, an attempt has been made to quantify the costs and benefits expected to be realised between 2020-21 and 20</w:t>
      </w:r>
      <w:r w:rsidR="00A92CD1">
        <w:t>29</w:t>
      </w:r>
      <w:r>
        <w:t>-3</w:t>
      </w:r>
      <w:r w:rsidR="00A92CD1">
        <w:t>0</w:t>
      </w:r>
      <w:r>
        <w:t xml:space="preserve"> (the modelling period)</w:t>
      </w:r>
      <w:r w:rsidR="008E02C1">
        <w:t xml:space="preserve"> for each option.</w:t>
      </w:r>
      <w:r>
        <w:t xml:space="preserve"> </w:t>
      </w:r>
    </w:p>
    <w:p w14:paraId="083D76E3" w14:textId="3A0048C4" w:rsidR="002407B5" w:rsidRDefault="003A2C67" w:rsidP="003A2C67">
      <w:r>
        <w:t xml:space="preserve">In such circumstances, </w:t>
      </w:r>
      <w:r w:rsidR="006D2AA0">
        <w:t>information within data requests</w:t>
      </w:r>
      <w:r>
        <w:t xml:space="preserve">, stakeholder consultations and relevant literature </w:t>
      </w:r>
      <w:r w:rsidR="006706B8">
        <w:t>ha</w:t>
      </w:r>
      <w:r w:rsidR="006810D2">
        <w:t>s</w:t>
      </w:r>
      <w:r w:rsidR="006706B8">
        <w:t xml:space="preserve"> been </w:t>
      </w:r>
      <w:r>
        <w:t>used to inform a qualitative discussion of the cost or benefit.</w:t>
      </w:r>
    </w:p>
    <w:p w14:paraId="5F5DC9AB" w14:textId="77777777" w:rsidR="002407B5" w:rsidRDefault="002407B5">
      <w:pPr>
        <w:spacing w:after="0"/>
      </w:pPr>
      <w:r>
        <w:br w:type="page"/>
      </w:r>
    </w:p>
    <w:p w14:paraId="55B11BB9" w14:textId="6DA535EE" w:rsidR="0074151B" w:rsidRPr="00FF5BFF" w:rsidRDefault="0074151B" w:rsidP="00FF5BFF">
      <w:pPr>
        <w:pStyle w:val="Heading3"/>
        <w:numPr>
          <w:ilvl w:val="1"/>
          <w:numId w:val="172"/>
        </w:numPr>
        <w:rPr>
          <w:color w:val="62B5E5" w:themeColor="accent3"/>
        </w:rPr>
      </w:pPr>
      <w:r w:rsidRPr="00FF5BFF">
        <w:rPr>
          <w:color w:val="62B5E5" w:themeColor="accent3"/>
        </w:rPr>
        <w:lastRenderedPageBreak/>
        <w:t xml:space="preserve">Analysis of </w:t>
      </w:r>
      <w:r w:rsidR="00196B82" w:rsidRPr="00FF5BFF">
        <w:rPr>
          <w:color w:val="62B5E5" w:themeColor="accent3"/>
        </w:rPr>
        <w:t>phase out</w:t>
      </w:r>
      <w:r w:rsidRPr="00FF5BFF">
        <w:rPr>
          <w:color w:val="62B5E5" w:themeColor="accent3"/>
        </w:rPr>
        <w:t xml:space="preserve"> options</w:t>
      </w:r>
    </w:p>
    <w:p w14:paraId="32E0A385" w14:textId="262E84B6" w:rsidR="001E584B" w:rsidRPr="001E584B" w:rsidRDefault="001E584B" w:rsidP="005024F8">
      <w:pPr>
        <w:pStyle w:val="Heading3"/>
      </w:pPr>
      <w:r w:rsidRPr="001E584B">
        <w:t xml:space="preserve">Cost of </w:t>
      </w:r>
      <w:r w:rsidR="00196B82">
        <w:t>phase out</w:t>
      </w:r>
      <w:r w:rsidRPr="001E584B">
        <w:t xml:space="preserve"> options</w:t>
      </w:r>
    </w:p>
    <w:p w14:paraId="3888540D" w14:textId="2ECDEBAF" w:rsidR="001E584B" w:rsidRPr="001E584B" w:rsidRDefault="00435E98" w:rsidP="001E584B">
      <w:r>
        <w:fldChar w:fldCharType="begin"/>
      </w:r>
      <w:r>
        <w:instrText xml:space="preserve"> REF _Ref56414724 \h  \* MERGEFORMAT </w:instrText>
      </w:r>
      <w:r>
        <w:fldChar w:fldCharType="separate"/>
      </w:r>
      <w:r w:rsidR="00CD0679" w:rsidRPr="00CD0679">
        <w:t>Table 4</w:t>
      </w:r>
      <w:r w:rsidR="00CD0679" w:rsidRPr="00CD0679">
        <w:noBreakHyphen/>
        <w:t>1</w:t>
      </w:r>
      <w:r>
        <w:fldChar w:fldCharType="end"/>
      </w:r>
      <w:r>
        <w:t xml:space="preserve"> </w:t>
      </w:r>
      <w:r w:rsidR="001E584B" w:rsidRPr="001E584B">
        <w:t xml:space="preserve">describes the costs </w:t>
      </w:r>
      <w:r w:rsidR="001E584B" w:rsidRPr="00633195">
        <w:t xml:space="preserve">that have been quantified in this analysis. Key data and assumptions underpinning the estimation of costs are outlined in </w:t>
      </w:r>
      <w:r w:rsidR="001E584B" w:rsidRPr="00096B3A">
        <w:t xml:space="preserve">section </w:t>
      </w:r>
      <w:r w:rsidR="006E1B6B" w:rsidRPr="00096B3A">
        <w:fldChar w:fldCharType="begin"/>
      </w:r>
      <w:r w:rsidR="006E1B6B" w:rsidRPr="00096B3A">
        <w:instrText xml:space="preserve"> REF _Ref55996349 \r \h </w:instrText>
      </w:r>
      <w:r w:rsidR="00633195">
        <w:instrText xml:space="preserve"> \* MERGEFORMAT </w:instrText>
      </w:r>
      <w:r w:rsidR="006E1B6B" w:rsidRPr="00096B3A">
        <w:fldChar w:fldCharType="separate"/>
      </w:r>
      <w:r w:rsidR="00CD0679">
        <w:t>4.2.6</w:t>
      </w:r>
      <w:r w:rsidR="006E1B6B" w:rsidRPr="00096B3A">
        <w:fldChar w:fldCharType="end"/>
      </w:r>
      <w:r w:rsidR="006E1B6B" w:rsidRPr="00633195">
        <w:t>.</w:t>
      </w:r>
    </w:p>
    <w:p w14:paraId="610D5B0D" w14:textId="02B50CC9" w:rsidR="001E584B" w:rsidRPr="001E584B" w:rsidRDefault="001E584B" w:rsidP="001E584B">
      <w:pPr>
        <w:keepNext/>
        <w:spacing w:before="60" w:after="60" w:line="180" w:lineRule="atLeast"/>
        <w:rPr>
          <w:rFonts w:eastAsia="Times New Roman" w:cs="Times New Roman"/>
          <w:bCs/>
          <w:color w:val="75787B" w:themeColor="accent6"/>
          <w:sz w:val="16"/>
          <w:szCs w:val="17"/>
        </w:rPr>
      </w:pPr>
      <w:bookmarkStart w:id="230" w:name="_Ref56414724"/>
      <w:r w:rsidRPr="001E584B">
        <w:rPr>
          <w:rFonts w:eastAsia="Times New Roman" w:cs="Times New Roman"/>
          <w:bCs/>
          <w:color w:val="75787B" w:themeColor="accent6"/>
          <w:sz w:val="16"/>
          <w:szCs w:val="17"/>
        </w:rPr>
        <w:t xml:space="preserve">Table </w:t>
      </w:r>
      <w:r w:rsidR="008358B0">
        <w:rPr>
          <w:rFonts w:eastAsia="Times New Roman" w:cs="Times New Roman"/>
          <w:bCs/>
          <w:color w:val="75787B" w:themeColor="accent6"/>
          <w:sz w:val="16"/>
          <w:szCs w:val="17"/>
        </w:rPr>
        <w:fldChar w:fldCharType="begin"/>
      </w:r>
      <w:r w:rsidR="008358B0">
        <w:rPr>
          <w:rFonts w:eastAsia="Times New Roman" w:cs="Times New Roman"/>
          <w:bCs/>
          <w:color w:val="75787B" w:themeColor="accent6"/>
          <w:sz w:val="16"/>
          <w:szCs w:val="17"/>
        </w:rPr>
        <w:instrText xml:space="preserve"> STYLEREF 1 \s </w:instrText>
      </w:r>
      <w:r w:rsidR="008358B0">
        <w:rPr>
          <w:rFonts w:eastAsia="Times New Roman" w:cs="Times New Roman"/>
          <w:bCs/>
          <w:color w:val="75787B" w:themeColor="accent6"/>
          <w:sz w:val="16"/>
          <w:szCs w:val="17"/>
        </w:rPr>
        <w:fldChar w:fldCharType="separate"/>
      </w:r>
      <w:r w:rsidR="00CD0679">
        <w:rPr>
          <w:rFonts w:eastAsia="Times New Roman" w:cs="Times New Roman"/>
          <w:bCs/>
          <w:noProof/>
          <w:color w:val="75787B" w:themeColor="accent6"/>
          <w:sz w:val="16"/>
          <w:szCs w:val="17"/>
        </w:rPr>
        <w:t>4</w:t>
      </w:r>
      <w:r w:rsidR="008358B0">
        <w:rPr>
          <w:rFonts w:eastAsia="Times New Roman" w:cs="Times New Roman"/>
          <w:bCs/>
          <w:color w:val="75787B" w:themeColor="accent6"/>
          <w:sz w:val="16"/>
          <w:szCs w:val="17"/>
        </w:rPr>
        <w:fldChar w:fldCharType="end"/>
      </w:r>
      <w:r w:rsidR="008358B0">
        <w:rPr>
          <w:rFonts w:eastAsia="Times New Roman" w:cs="Times New Roman"/>
          <w:bCs/>
          <w:color w:val="75787B" w:themeColor="accent6"/>
          <w:sz w:val="16"/>
          <w:szCs w:val="17"/>
        </w:rPr>
        <w:noBreakHyphen/>
      </w:r>
      <w:r w:rsidR="008358B0">
        <w:rPr>
          <w:rFonts w:eastAsia="Times New Roman" w:cs="Times New Roman"/>
          <w:bCs/>
          <w:color w:val="75787B" w:themeColor="accent6"/>
          <w:sz w:val="16"/>
          <w:szCs w:val="17"/>
        </w:rPr>
        <w:fldChar w:fldCharType="begin"/>
      </w:r>
      <w:r w:rsidR="008358B0">
        <w:rPr>
          <w:rFonts w:eastAsia="Times New Roman" w:cs="Times New Roman"/>
          <w:bCs/>
          <w:color w:val="75787B" w:themeColor="accent6"/>
          <w:sz w:val="16"/>
          <w:szCs w:val="17"/>
        </w:rPr>
        <w:instrText xml:space="preserve"> SEQ Table \* ARABIC \s 1 </w:instrText>
      </w:r>
      <w:r w:rsidR="008358B0">
        <w:rPr>
          <w:rFonts w:eastAsia="Times New Roman" w:cs="Times New Roman"/>
          <w:bCs/>
          <w:color w:val="75787B" w:themeColor="accent6"/>
          <w:sz w:val="16"/>
          <w:szCs w:val="17"/>
        </w:rPr>
        <w:fldChar w:fldCharType="separate"/>
      </w:r>
      <w:r w:rsidR="00CD0679">
        <w:rPr>
          <w:rFonts w:eastAsia="Times New Roman" w:cs="Times New Roman"/>
          <w:bCs/>
          <w:noProof/>
          <w:color w:val="75787B" w:themeColor="accent6"/>
          <w:sz w:val="16"/>
          <w:szCs w:val="17"/>
        </w:rPr>
        <w:t>1</w:t>
      </w:r>
      <w:r w:rsidR="008358B0">
        <w:rPr>
          <w:rFonts w:eastAsia="Times New Roman" w:cs="Times New Roman"/>
          <w:bCs/>
          <w:color w:val="75787B" w:themeColor="accent6"/>
          <w:sz w:val="16"/>
          <w:szCs w:val="17"/>
        </w:rPr>
        <w:fldChar w:fldCharType="end"/>
      </w:r>
      <w:bookmarkEnd w:id="230"/>
      <w:r w:rsidRPr="001E584B">
        <w:rPr>
          <w:rFonts w:eastAsia="Times New Roman" w:cs="Times New Roman"/>
          <w:bCs/>
          <w:color w:val="75787B" w:themeColor="accent6"/>
          <w:sz w:val="16"/>
          <w:szCs w:val="17"/>
        </w:rPr>
        <w:t xml:space="preserve"> Description of the costs for </w:t>
      </w:r>
      <w:r w:rsidR="00196B82">
        <w:rPr>
          <w:rFonts w:eastAsia="Times New Roman" w:cs="Times New Roman"/>
          <w:bCs/>
          <w:color w:val="75787B" w:themeColor="accent6"/>
          <w:sz w:val="16"/>
          <w:szCs w:val="17"/>
        </w:rPr>
        <w:t>phase out</w:t>
      </w:r>
      <w:r w:rsidRPr="001E584B">
        <w:rPr>
          <w:rFonts w:eastAsia="Times New Roman" w:cs="Times New Roman"/>
          <w:bCs/>
          <w:color w:val="75787B" w:themeColor="accent6"/>
          <w:sz w:val="16"/>
          <w:szCs w:val="17"/>
        </w:rPr>
        <w:t xml:space="preserve"> options</w:t>
      </w:r>
    </w:p>
    <w:tbl>
      <w:tblPr>
        <w:tblStyle w:val="Deloittetable122"/>
        <w:tblW w:w="8978" w:type="dxa"/>
        <w:tblLook w:val="04A0" w:firstRow="1" w:lastRow="0" w:firstColumn="1" w:lastColumn="0" w:noHBand="0" w:noVBand="1"/>
      </w:tblPr>
      <w:tblGrid>
        <w:gridCol w:w="2268"/>
        <w:gridCol w:w="1701"/>
        <w:gridCol w:w="5009"/>
      </w:tblGrid>
      <w:tr w:rsidR="001E584B" w:rsidRPr="001E584B" w14:paraId="3192CBEC" w14:textId="77777777" w:rsidTr="00E0167C">
        <w:trPr>
          <w:cnfStyle w:val="100000000000" w:firstRow="1" w:lastRow="0" w:firstColumn="0" w:lastColumn="0" w:oddVBand="0" w:evenVBand="0" w:oddHBand="0" w:evenHBand="0" w:firstRowFirstColumn="0" w:firstRowLastColumn="0" w:lastRowFirstColumn="0" w:lastRowLastColumn="0"/>
        </w:trPr>
        <w:tc>
          <w:tcPr>
            <w:tcW w:w="2268" w:type="dxa"/>
          </w:tcPr>
          <w:p w14:paraId="586AE3E1" w14:textId="77777777" w:rsidR="001E584B" w:rsidRPr="001E584B" w:rsidRDefault="001E584B" w:rsidP="00E74AA1">
            <w:pPr>
              <w:spacing w:after="120"/>
              <w:rPr>
                <w:b/>
                <w:szCs w:val="17"/>
              </w:rPr>
            </w:pPr>
            <w:r w:rsidRPr="001E584B">
              <w:rPr>
                <w:b/>
                <w:szCs w:val="17"/>
              </w:rPr>
              <w:t>Cost</w:t>
            </w:r>
          </w:p>
        </w:tc>
        <w:tc>
          <w:tcPr>
            <w:tcW w:w="1701" w:type="dxa"/>
          </w:tcPr>
          <w:p w14:paraId="17B506A2" w14:textId="77777777" w:rsidR="001E584B" w:rsidRPr="001E584B" w:rsidRDefault="001E584B" w:rsidP="00E74AA1">
            <w:pPr>
              <w:spacing w:after="120"/>
              <w:rPr>
                <w:b/>
                <w:szCs w:val="17"/>
              </w:rPr>
            </w:pPr>
            <w:r w:rsidRPr="001E584B">
              <w:rPr>
                <w:b/>
                <w:szCs w:val="17"/>
              </w:rPr>
              <w:t>Cost category</w:t>
            </w:r>
          </w:p>
        </w:tc>
        <w:tc>
          <w:tcPr>
            <w:tcW w:w="5009" w:type="dxa"/>
          </w:tcPr>
          <w:p w14:paraId="16CC2ACE" w14:textId="77777777" w:rsidR="001E584B" w:rsidRPr="001E584B" w:rsidRDefault="001E584B" w:rsidP="00E74AA1">
            <w:pPr>
              <w:spacing w:after="120"/>
              <w:rPr>
                <w:b/>
                <w:szCs w:val="17"/>
              </w:rPr>
            </w:pPr>
            <w:r w:rsidRPr="001E584B">
              <w:rPr>
                <w:b/>
                <w:szCs w:val="17"/>
              </w:rPr>
              <w:t>Description</w:t>
            </w:r>
          </w:p>
        </w:tc>
      </w:tr>
      <w:tr w:rsidR="001E584B" w:rsidRPr="001E584B" w14:paraId="78419AAE" w14:textId="77777777" w:rsidTr="00E0167C">
        <w:tc>
          <w:tcPr>
            <w:tcW w:w="2268" w:type="dxa"/>
          </w:tcPr>
          <w:p w14:paraId="67A5E137" w14:textId="77777777" w:rsidR="001E584B" w:rsidRPr="001E584B" w:rsidRDefault="001E584B" w:rsidP="00CC4A0B">
            <w:pPr>
              <w:ind w:right="142"/>
              <w:rPr>
                <w:b/>
                <w:szCs w:val="17"/>
              </w:rPr>
            </w:pPr>
            <w:bookmarkStart w:id="231" w:name="_Hlk39131971"/>
            <w:r w:rsidRPr="001E584B">
              <w:rPr>
                <w:b/>
                <w:szCs w:val="17"/>
              </w:rPr>
              <w:t>Change in profits for gas space heater manufacturers</w:t>
            </w:r>
          </w:p>
        </w:tc>
        <w:tc>
          <w:tcPr>
            <w:tcW w:w="1701" w:type="dxa"/>
          </w:tcPr>
          <w:p w14:paraId="61BDFBEE" w14:textId="6A0FE405" w:rsidR="001E584B" w:rsidRPr="001E584B" w:rsidRDefault="001E584B" w:rsidP="001E584B">
            <w:pPr>
              <w:rPr>
                <w:szCs w:val="17"/>
              </w:rPr>
            </w:pPr>
            <w:r w:rsidRPr="001E584B">
              <w:rPr>
                <w:szCs w:val="17"/>
              </w:rPr>
              <w:t>Industry cost</w:t>
            </w:r>
          </w:p>
        </w:tc>
        <w:tc>
          <w:tcPr>
            <w:tcW w:w="5009" w:type="dxa"/>
          </w:tcPr>
          <w:p w14:paraId="1DF9C050" w14:textId="47B493D4" w:rsidR="00F555D5" w:rsidRPr="0008722A" w:rsidRDefault="001E584B" w:rsidP="001E584B">
            <w:pPr>
              <w:spacing w:after="0" w:line="240" w:lineRule="auto"/>
              <w:rPr>
                <w:rFonts w:asciiTheme="majorHAnsi" w:hAnsiTheme="majorHAnsi"/>
                <w:szCs w:val="17"/>
              </w:rPr>
            </w:pPr>
            <w:r w:rsidRPr="0008722A">
              <w:rPr>
                <w:rFonts w:asciiTheme="majorHAnsi" w:hAnsiTheme="majorHAnsi"/>
                <w:szCs w:val="17"/>
              </w:rPr>
              <w:t>Th</w:t>
            </w:r>
            <w:r w:rsidR="00F0312E" w:rsidRPr="0008722A">
              <w:rPr>
                <w:rFonts w:asciiTheme="majorHAnsi" w:hAnsiTheme="majorHAnsi"/>
                <w:szCs w:val="17"/>
              </w:rPr>
              <w:t>is is the</w:t>
            </w:r>
            <w:r w:rsidRPr="0008722A">
              <w:rPr>
                <w:rFonts w:asciiTheme="majorHAnsi" w:hAnsiTheme="majorHAnsi"/>
                <w:szCs w:val="17"/>
              </w:rPr>
              <w:t xml:space="preserve"> difference in profits received from the sale of OFGSHs under the Base Case, versus the profits received from the sale of additional room sealed gas space heaters. These two impacts are assumed to be absorbed by the gas heater industry as </w:t>
            </w:r>
            <w:r w:rsidR="009163BD" w:rsidRPr="0008722A">
              <w:rPr>
                <w:rFonts w:asciiTheme="majorHAnsi" w:hAnsiTheme="majorHAnsi"/>
                <w:szCs w:val="17"/>
              </w:rPr>
              <w:t>five</w:t>
            </w:r>
            <w:r w:rsidRPr="0008722A">
              <w:rPr>
                <w:rFonts w:asciiTheme="majorHAnsi" w:hAnsiTheme="majorHAnsi"/>
                <w:szCs w:val="17"/>
              </w:rPr>
              <w:t xml:space="preserve"> of the </w:t>
            </w:r>
            <w:r w:rsidR="009163BD" w:rsidRPr="0008722A">
              <w:rPr>
                <w:rFonts w:asciiTheme="majorHAnsi" w:hAnsiTheme="majorHAnsi"/>
                <w:szCs w:val="17"/>
              </w:rPr>
              <w:t>seven</w:t>
            </w:r>
            <w:r w:rsidRPr="0008722A">
              <w:rPr>
                <w:rFonts w:asciiTheme="majorHAnsi" w:hAnsiTheme="majorHAnsi"/>
                <w:szCs w:val="17"/>
              </w:rPr>
              <w:t xml:space="preserve"> major </w:t>
            </w:r>
            <w:r w:rsidR="000932DA">
              <w:rPr>
                <w:rFonts w:asciiTheme="majorHAnsi" w:hAnsiTheme="majorHAnsi"/>
                <w:szCs w:val="17"/>
              </w:rPr>
              <w:t xml:space="preserve">OFGSH </w:t>
            </w:r>
            <w:r w:rsidRPr="0008722A">
              <w:rPr>
                <w:rFonts w:asciiTheme="majorHAnsi" w:hAnsiTheme="majorHAnsi"/>
                <w:szCs w:val="17"/>
              </w:rPr>
              <w:t>manufacturers produce a room sealed alternative (noting most of these manufacture heaters in Victoria). It is likely that manufacturers with more diversified product offerings (i.e. room sealed, reverse cycle, etc.) would be less adversely affected than those that produce only open flued appliances.</w:t>
            </w:r>
            <w:r w:rsidR="0073198E" w:rsidRPr="0008722A">
              <w:rPr>
                <w:rFonts w:asciiTheme="majorHAnsi" w:hAnsiTheme="majorHAnsi"/>
                <w:szCs w:val="17"/>
              </w:rPr>
              <w:t xml:space="preserve"> </w:t>
            </w:r>
            <w:r w:rsidR="00EB53CF">
              <w:rPr>
                <w:rFonts w:asciiTheme="majorHAnsi" w:hAnsiTheme="majorHAnsi"/>
                <w:szCs w:val="17"/>
              </w:rPr>
              <w:t xml:space="preserve">Under Option 1, </w:t>
            </w:r>
            <w:r w:rsidR="000932DA">
              <w:rPr>
                <w:rFonts w:asciiTheme="majorHAnsi" w:hAnsiTheme="majorHAnsi"/>
                <w:szCs w:val="17"/>
              </w:rPr>
              <w:t xml:space="preserve">OFGSHs </w:t>
            </w:r>
            <w:r w:rsidR="0073198E" w:rsidRPr="0008722A">
              <w:rPr>
                <w:rFonts w:asciiTheme="majorHAnsi" w:hAnsiTheme="majorHAnsi"/>
                <w:szCs w:val="17"/>
              </w:rPr>
              <w:t>will also continue to be</w:t>
            </w:r>
            <w:r w:rsidR="00F01F55" w:rsidRPr="0008722A">
              <w:rPr>
                <w:rFonts w:asciiTheme="majorHAnsi" w:hAnsiTheme="majorHAnsi"/>
                <w:szCs w:val="17"/>
              </w:rPr>
              <w:t xml:space="preserve"> </w:t>
            </w:r>
            <w:r w:rsidR="0073198E" w:rsidRPr="0008722A">
              <w:rPr>
                <w:rFonts w:asciiTheme="majorHAnsi" w:hAnsiTheme="majorHAnsi"/>
                <w:szCs w:val="17"/>
              </w:rPr>
              <w:t xml:space="preserve">sold in </w:t>
            </w:r>
            <w:r w:rsidR="00A37205">
              <w:rPr>
                <w:rFonts w:asciiTheme="majorHAnsi" w:hAnsiTheme="majorHAnsi"/>
                <w:szCs w:val="17"/>
              </w:rPr>
              <w:t>s</w:t>
            </w:r>
            <w:r w:rsidR="00AD047D" w:rsidRPr="0008722A">
              <w:rPr>
                <w:rFonts w:asciiTheme="majorHAnsi" w:hAnsiTheme="majorHAnsi"/>
                <w:szCs w:val="17"/>
              </w:rPr>
              <w:t>tates other than Victoria, reduc</w:t>
            </w:r>
            <w:r w:rsidR="009B3CA5">
              <w:rPr>
                <w:rFonts w:asciiTheme="majorHAnsi" w:hAnsiTheme="majorHAnsi"/>
                <w:szCs w:val="17"/>
              </w:rPr>
              <w:t>ing</w:t>
            </w:r>
            <w:r w:rsidR="00257631">
              <w:rPr>
                <w:rFonts w:asciiTheme="majorHAnsi" w:hAnsiTheme="majorHAnsi"/>
                <w:szCs w:val="17"/>
              </w:rPr>
              <w:t xml:space="preserve"> the </w:t>
            </w:r>
            <w:r w:rsidR="00AD047D" w:rsidRPr="0008722A">
              <w:rPr>
                <w:rFonts w:asciiTheme="majorHAnsi" w:hAnsiTheme="majorHAnsi"/>
                <w:szCs w:val="17"/>
              </w:rPr>
              <w:t>impact</w:t>
            </w:r>
            <w:r w:rsidR="00257631">
              <w:rPr>
                <w:rFonts w:asciiTheme="majorHAnsi" w:hAnsiTheme="majorHAnsi"/>
                <w:szCs w:val="17"/>
              </w:rPr>
              <w:t xml:space="preserve"> on industry profits. However,</w:t>
            </w:r>
            <w:r w:rsidR="00F01F55" w:rsidRPr="0008722A">
              <w:rPr>
                <w:rFonts w:asciiTheme="majorHAnsi" w:hAnsiTheme="majorHAnsi"/>
                <w:szCs w:val="17"/>
              </w:rPr>
              <w:t xml:space="preserve"> it is understood </w:t>
            </w:r>
            <w:r w:rsidR="00A01202">
              <w:rPr>
                <w:rFonts w:asciiTheme="majorHAnsi" w:hAnsiTheme="majorHAnsi"/>
                <w:szCs w:val="17"/>
              </w:rPr>
              <w:t>that most OFGSH sales occur in</w:t>
            </w:r>
            <w:r w:rsidR="00F01F55" w:rsidRPr="0008722A">
              <w:rPr>
                <w:rFonts w:asciiTheme="majorHAnsi" w:hAnsiTheme="majorHAnsi"/>
                <w:szCs w:val="17"/>
              </w:rPr>
              <w:t xml:space="preserve"> Victoria</w:t>
            </w:r>
            <w:r w:rsidR="00A01202">
              <w:rPr>
                <w:rFonts w:asciiTheme="majorHAnsi" w:hAnsiTheme="majorHAnsi"/>
                <w:szCs w:val="17"/>
              </w:rPr>
              <w:t>.</w:t>
            </w:r>
            <w:r w:rsidRPr="0008722A">
              <w:rPr>
                <w:rFonts w:asciiTheme="majorHAnsi" w:hAnsiTheme="majorHAnsi"/>
                <w:szCs w:val="17"/>
              </w:rPr>
              <w:t xml:space="preserve"> </w:t>
            </w:r>
            <w:r w:rsidR="001F6A99" w:rsidRPr="0008722A">
              <w:rPr>
                <w:rFonts w:asciiTheme="majorHAnsi" w:hAnsiTheme="majorHAnsi"/>
                <w:szCs w:val="17"/>
              </w:rPr>
              <w:t>Stakeholder consultation indicated a number of manufacturers are already switching away from manufacture of OFGSHs</w:t>
            </w:r>
            <w:r w:rsidR="00F555D5" w:rsidRPr="0008722A">
              <w:rPr>
                <w:rFonts w:asciiTheme="majorHAnsi" w:hAnsiTheme="majorHAnsi"/>
                <w:szCs w:val="17"/>
              </w:rPr>
              <w:t xml:space="preserve">. </w:t>
            </w:r>
            <w:r w:rsidR="00C9196D" w:rsidRPr="0008722A">
              <w:rPr>
                <w:rFonts w:asciiTheme="majorHAnsi" w:hAnsiTheme="majorHAnsi"/>
                <w:szCs w:val="17"/>
              </w:rPr>
              <w:t xml:space="preserve">Note this does not address any costs associated with </w:t>
            </w:r>
            <w:r w:rsidR="00CB7112" w:rsidRPr="0008722A">
              <w:rPr>
                <w:rFonts w:asciiTheme="majorHAnsi" w:hAnsiTheme="majorHAnsi"/>
                <w:szCs w:val="17"/>
              </w:rPr>
              <w:t>OFGSHs already manufactured and warehoused prior to a policy change.</w:t>
            </w:r>
            <w:r w:rsidR="00C9196D" w:rsidRPr="0008722A">
              <w:rPr>
                <w:rFonts w:asciiTheme="majorHAnsi" w:hAnsiTheme="majorHAnsi"/>
                <w:szCs w:val="17"/>
              </w:rPr>
              <w:t xml:space="preserve"> </w:t>
            </w:r>
          </w:p>
          <w:p w14:paraId="4C138D25" w14:textId="77777777" w:rsidR="00F555D5" w:rsidRPr="0008722A" w:rsidRDefault="00F555D5" w:rsidP="001E584B">
            <w:pPr>
              <w:spacing w:after="0" w:line="240" w:lineRule="auto"/>
              <w:rPr>
                <w:rFonts w:asciiTheme="majorHAnsi" w:hAnsiTheme="majorHAnsi"/>
                <w:szCs w:val="17"/>
              </w:rPr>
            </w:pPr>
          </w:p>
          <w:p w14:paraId="2E1A5737" w14:textId="77777777" w:rsidR="0089621B" w:rsidRPr="0008722A" w:rsidRDefault="001E584B" w:rsidP="001E584B">
            <w:pPr>
              <w:spacing w:after="0" w:line="240" w:lineRule="auto"/>
              <w:rPr>
                <w:rFonts w:asciiTheme="majorHAnsi" w:hAnsiTheme="majorHAnsi"/>
                <w:szCs w:val="17"/>
              </w:rPr>
            </w:pPr>
            <w:r w:rsidRPr="0008722A">
              <w:rPr>
                <w:rFonts w:asciiTheme="majorHAnsi" w:hAnsiTheme="majorHAnsi"/>
                <w:szCs w:val="17"/>
              </w:rPr>
              <w:t>Profit impacts that result from consumers switching to reverse cycle air conditioners are included in the benefits side of the analysis.</w:t>
            </w:r>
            <w:r w:rsidRPr="0008722A">
              <w:rPr>
                <w:rFonts w:asciiTheme="majorHAnsi" w:hAnsiTheme="majorHAnsi" w:cs="Times New Roman"/>
                <w:sz w:val="18"/>
                <w:szCs w:val="17"/>
                <w:lang w:eastAsia="en-AU"/>
              </w:rPr>
              <w:t xml:space="preserve"> </w:t>
            </w:r>
            <w:r w:rsidR="0089621B" w:rsidRPr="0008722A">
              <w:rPr>
                <w:rFonts w:asciiTheme="majorHAnsi" w:hAnsiTheme="majorHAnsi"/>
                <w:szCs w:val="17"/>
              </w:rPr>
              <w:t xml:space="preserve"> </w:t>
            </w:r>
          </w:p>
          <w:p w14:paraId="1DF5B8D2" w14:textId="77777777" w:rsidR="00C30966" w:rsidRPr="0008722A" w:rsidRDefault="00C30966" w:rsidP="001E584B">
            <w:pPr>
              <w:spacing w:after="0" w:line="240" w:lineRule="auto"/>
              <w:rPr>
                <w:rFonts w:asciiTheme="majorHAnsi" w:hAnsiTheme="majorHAnsi" w:cs="Times New Roman"/>
                <w:szCs w:val="17"/>
                <w:lang w:eastAsia="en-AU"/>
              </w:rPr>
            </w:pPr>
          </w:p>
          <w:p w14:paraId="5076CA74" w14:textId="165AAD96" w:rsidR="00C30966" w:rsidRPr="0008722A" w:rsidRDefault="00835081" w:rsidP="001E584B">
            <w:pPr>
              <w:spacing w:after="0" w:line="240" w:lineRule="auto"/>
              <w:rPr>
                <w:rFonts w:asciiTheme="majorHAnsi" w:hAnsiTheme="majorHAnsi" w:cs="Times New Roman"/>
                <w:szCs w:val="17"/>
                <w:lang w:eastAsia="en-AU"/>
              </w:rPr>
            </w:pPr>
            <w:r w:rsidRPr="0008722A">
              <w:rPr>
                <w:rFonts w:asciiTheme="majorHAnsi" w:hAnsiTheme="majorHAnsi" w:cs="Times New Roman"/>
                <w:szCs w:val="17"/>
                <w:lang w:eastAsia="en-AU"/>
              </w:rPr>
              <w:t>E</w:t>
            </w:r>
            <w:r w:rsidR="00B21AA1" w:rsidRPr="0008722A">
              <w:rPr>
                <w:rFonts w:asciiTheme="majorHAnsi" w:hAnsiTheme="majorHAnsi" w:cs="Times New Roman"/>
                <w:szCs w:val="17"/>
                <w:lang w:eastAsia="en-AU"/>
              </w:rPr>
              <w:t xml:space="preserve">ach option </w:t>
            </w:r>
            <w:r w:rsidRPr="0008722A">
              <w:rPr>
                <w:rFonts w:asciiTheme="majorHAnsi" w:hAnsiTheme="majorHAnsi" w:cs="Times New Roman"/>
                <w:szCs w:val="17"/>
                <w:lang w:eastAsia="en-AU"/>
              </w:rPr>
              <w:t>is expected to</w:t>
            </w:r>
            <w:r w:rsidR="00B21AA1" w:rsidRPr="0008722A">
              <w:rPr>
                <w:rFonts w:asciiTheme="majorHAnsi" w:hAnsiTheme="majorHAnsi" w:cs="Times New Roman"/>
                <w:szCs w:val="17"/>
                <w:lang w:eastAsia="en-AU"/>
              </w:rPr>
              <w:t xml:space="preserve"> impact</w:t>
            </w:r>
            <w:r w:rsidR="00C30966" w:rsidRPr="0008722A">
              <w:rPr>
                <w:rFonts w:asciiTheme="majorHAnsi" w:hAnsiTheme="majorHAnsi" w:cs="Times New Roman"/>
                <w:szCs w:val="17"/>
                <w:lang w:eastAsia="en-AU"/>
              </w:rPr>
              <w:t xml:space="preserve"> </w:t>
            </w:r>
            <w:r w:rsidRPr="0008722A">
              <w:rPr>
                <w:rFonts w:asciiTheme="majorHAnsi" w:hAnsiTheme="majorHAnsi" w:cs="Times New Roman"/>
                <w:szCs w:val="17"/>
                <w:lang w:eastAsia="en-AU"/>
              </w:rPr>
              <w:t xml:space="preserve">supply and demand, and therefore prices across different heater markets. </w:t>
            </w:r>
            <w:r w:rsidR="00D43F75" w:rsidRPr="0008722A">
              <w:rPr>
                <w:rFonts w:asciiTheme="majorHAnsi" w:hAnsiTheme="majorHAnsi" w:cs="Times New Roman"/>
                <w:szCs w:val="17"/>
                <w:lang w:eastAsia="en-AU"/>
              </w:rPr>
              <w:t>However</w:t>
            </w:r>
            <w:r w:rsidR="00992207">
              <w:rPr>
                <w:rFonts w:asciiTheme="majorHAnsi" w:hAnsiTheme="majorHAnsi" w:cs="Times New Roman"/>
                <w:szCs w:val="17"/>
                <w:lang w:eastAsia="en-AU"/>
              </w:rPr>
              <w:t>,</w:t>
            </w:r>
            <w:r w:rsidR="00D43F75" w:rsidRPr="0008722A">
              <w:rPr>
                <w:rFonts w:asciiTheme="majorHAnsi" w:hAnsiTheme="majorHAnsi" w:cs="Times New Roman"/>
                <w:szCs w:val="17"/>
                <w:lang w:eastAsia="en-AU"/>
              </w:rPr>
              <w:t xml:space="preserve"> t</w:t>
            </w:r>
            <w:r w:rsidR="00CB6EB9" w:rsidRPr="0008722A">
              <w:rPr>
                <w:rFonts w:asciiTheme="majorHAnsi" w:hAnsiTheme="majorHAnsi" w:cs="Times New Roman"/>
                <w:szCs w:val="17"/>
                <w:lang w:eastAsia="en-AU"/>
              </w:rPr>
              <w:t xml:space="preserve">he exact impact is uncertain and likely </w:t>
            </w:r>
            <w:r w:rsidR="00992207">
              <w:rPr>
                <w:rFonts w:asciiTheme="majorHAnsi" w:hAnsiTheme="majorHAnsi" w:cs="Times New Roman"/>
                <w:szCs w:val="17"/>
                <w:lang w:eastAsia="en-AU"/>
              </w:rPr>
              <w:t xml:space="preserve">to be </w:t>
            </w:r>
            <w:r w:rsidR="00CB6EB9" w:rsidRPr="0008722A">
              <w:rPr>
                <w:rFonts w:asciiTheme="majorHAnsi" w:hAnsiTheme="majorHAnsi" w:cs="Times New Roman"/>
                <w:szCs w:val="17"/>
                <w:lang w:eastAsia="en-AU"/>
              </w:rPr>
              <w:t xml:space="preserve">marginal. As a result, </w:t>
            </w:r>
            <w:r w:rsidR="00126227">
              <w:rPr>
                <w:rFonts w:asciiTheme="majorHAnsi" w:hAnsiTheme="majorHAnsi" w:cs="Times New Roman"/>
                <w:szCs w:val="17"/>
                <w:lang w:eastAsia="en-AU"/>
              </w:rPr>
              <w:t>this</w:t>
            </w:r>
            <w:r w:rsidR="00CB6EB9" w:rsidRPr="0008722A">
              <w:rPr>
                <w:rFonts w:asciiTheme="majorHAnsi" w:hAnsiTheme="majorHAnsi" w:cs="Times New Roman"/>
                <w:szCs w:val="17"/>
                <w:lang w:eastAsia="en-AU"/>
              </w:rPr>
              <w:t xml:space="preserve"> analysis has not sought to quantify </w:t>
            </w:r>
            <w:r w:rsidR="00BB6AB6" w:rsidRPr="0008722A">
              <w:rPr>
                <w:rFonts w:asciiTheme="majorHAnsi" w:hAnsiTheme="majorHAnsi" w:cs="Times New Roman"/>
                <w:szCs w:val="17"/>
                <w:lang w:eastAsia="en-AU"/>
              </w:rPr>
              <w:t xml:space="preserve">future </w:t>
            </w:r>
            <w:r w:rsidR="00CB6EB9" w:rsidRPr="0008722A">
              <w:rPr>
                <w:rFonts w:asciiTheme="majorHAnsi" w:hAnsiTheme="majorHAnsi" w:cs="Times New Roman"/>
                <w:szCs w:val="17"/>
                <w:lang w:eastAsia="en-AU"/>
              </w:rPr>
              <w:t xml:space="preserve">changes in the price </w:t>
            </w:r>
            <w:r w:rsidR="00BB6AB6" w:rsidRPr="0008722A">
              <w:rPr>
                <w:rFonts w:asciiTheme="majorHAnsi" w:hAnsiTheme="majorHAnsi" w:cs="Times New Roman"/>
                <w:szCs w:val="17"/>
                <w:lang w:eastAsia="en-AU"/>
              </w:rPr>
              <w:t>of heating appliances sold in Victoria</w:t>
            </w:r>
            <w:r w:rsidR="00BB6AB6" w:rsidRPr="00096B3A">
              <w:rPr>
                <w:rFonts w:asciiTheme="majorHAnsi" w:hAnsiTheme="majorHAnsi" w:cs="Times New Roman"/>
                <w:szCs w:val="17"/>
                <w:lang w:eastAsia="en-AU"/>
              </w:rPr>
              <w:t>.</w:t>
            </w:r>
          </w:p>
        </w:tc>
      </w:tr>
      <w:bookmarkEnd w:id="231"/>
      <w:tr w:rsidR="001E584B" w:rsidRPr="001E584B" w14:paraId="12BEAAE7" w14:textId="77777777" w:rsidTr="00E0167C">
        <w:tc>
          <w:tcPr>
            <w:tcW w:w="2268" w:type="dxa"/>
          </w:tcPr>
          <w:p w14:paraId="07D7FD8D" w14:textId="77777777" w:rsidR="001E584B" w:rsidRPr="001E584B" w:rsidRDefault="001E584B" w:rsidP="00CC4A0B">
            <w:pPr>
              <w:ind w:right="142"/>
              <w:rPr>
                <w:b/>
                <w:szCs w:val="17"/>
              </w:rPr>
            </w:pPr>
            <w:r w:rsidRPr="001E584B">
              <w:rPr>
                <w:b/>
                <w:szCs w:val="17"/>
              </w:rPr>
              <w:t>Cost of purchasing and installing alternative heaters</w:t>
            </w:r>
          </w:p>
        </w:tc>
        <w:tc>
          <w:tcPr>
            <w:tcW w:w="1701" w:type="dxa"/>
          </w:tcPr>
          <w:p w14:paraId="0426B2EA" w14:textId="77777777" w:rsidR="001E584B" w:rsidRPr="001E584B" w:rsidRDefault="001E584B" w:rsidP="001E584B">
            <w:pPr>
              <w:rPr>
                <w:szCs w:val="17"/>
              </w:rPr>
            </w:pPr>
            <w:r w:rsidRPr="001E584B">
              <w:rPr>
                <w:szCs w:val="17"/>
              </w:rPr>
              <w:t>Community cost</w:t>
            </w:r>
          </w:p>
        </w:tc>
        <w:tc>
          <w:tcPr>
            <w:tcW w:w="5009" w:type="dxa"/>
          </w:tcPr>
          <w:p w14:paraId="323E152A" w14:textId="23FD77AD" w:rsidR="001E584B" w:rsidRPr="0008722A" w:rsidRDefault="001E584B" w:rsidP="001E584B">
            <w:pPr>
              <w:spacing w:after="0" w:line="240" w:lineRule="auto"/>
              <w:rPr>
                <w:szCs w:val="17"/>
              </w:rPr>
            </w:pPr>
            <w:r w:rsidRPr="0008722A">
              <w:rPr>
                <w:szCs w:val="17"/>
              </w:rPr>
              <w:t>Th</w:t>
            </w:r>
            <w:r w:rsidR="00F0312E" w:rsidRPr="0008722A">
              <w:rPr>
                <w:szCs w:val="17"/>
              </w:rPr>
              <w:t>is is the</w:t>
            </w:r>
            <w:r w:rsidRPr="0008722A">
              <w:rPr>
                <w:szCs w:val="17"/>
              </w:rPr>
              <w:t xml:space="preserve"> incremental cost to the community of purchasing and installing more expensive heaters as a result of OFGSHs being phased out. It is assumed that consumers that would have purchased an </w:t>
            </w:r>
            <w:r w:rsidR="000932DA">
              <w:rPr>
                <w:szCs w:val="17"/>
              </w:rPr>
              <w:t xml:space="preserve">OFGSH </w:t>
            </w:r>
            <w:r w:rsidRPr="0008722A">
              <w:rPr>
                <w:szCs w:val="17"/>
              </w:rPr>
              <w:t>under the Base Case decide to switch toward room sealed gas space heaters (50</w:t>
            </w:r>
            <w:r w:rsidR="001A645C">
              <w:rPr>
                <w:szCs w:val="17"/>
              </w:rPr>
              <w:t xml:space="preserve"> per cent</w:t>
            </w:r>
            <w:r w:rsidRPr="0008722A">
              <w:rPr>
                <w:szCs w:val="17"/>
              </w:rPr>
              <w:t>) and reverse cycle systems (50</w:t>
            </w:r>
            <w:r w:rsidR="001A645C">
              <w:rPr>
                <w:szCs w:val="17"/>
              </w:rPr>
              <w:t xml:space="preserve"> per cent</w:t>
            </w:r>
            <w:r w:rsidRPr="0008722A">
              <w:rPr>
                <w:szCs w:val="17"/>
              </w:rPr>
              <w:t xml:space="preserve">).  </w:t>
            </w:r>
          </w:p>
        </w:tc>
      </w:tr>
      <w:tr w:rsidR="001E584B" w:rsidRPr="001E584B" w14:paraId="7156B529" w14:textId="77777777" w:rsidTr="00E0167C">
        <w:trPr>
          <w:trHeight w:val="824"/>
        </w:trPr>
        <w:tc>
          <w:tcPr>
            <w:tcW w:w="2268" w:type="dxa"/>
          </w:tcPr>
          <w:p w14:paraId="37AF0DB3" w14:textId="77777777" w:rsidR="001E584B" w:rsidRPr="001E584B" w:rsidRDefault="001E584B" w:rsidP="00CC4A0B">
            <w:pPr>
              <w:ind w:right="142"/>
              <w:rPr>
                <w:b/>
                <w:szCs w:val="17"/>
              </w:rPr>
            </w:pPr>
            <w:r w:rsidRPr="001E584B">
              <w:rPr>
                <w:b/>
                <w:szCs w:val="17"/>
              </w:rPr>
              <w:t>Implementation, monitoring and enforcement costs</w:t>
            </w:r>
          </w:p>
        </w:tc>
        <w:tc>
          <w:tcPr>
            <w:tcW w:w="1701" w:type="dxa"/>
          </w:tcPr>
          <w:p w14:paraId="51AD6531" w14:textId="77777777" w:rsidR="001E584B" w:rsidRPr="001E584B" w:rsidRDefault="001E584B" w:rsidP="001E584B">
            <w:pPr>
              <w:rPr>
                <w:szCs w:val="17"/>
              </w:rPr>
            </w:pPr>
            <w:r w:rsidRPr="001E584B">
              <w:rPr>
                <w:szCs w:val="17"/>
              </w:rPr>
              <w:t>Government cost</w:t>
            </w:r>
          </w:p>
        </w:tc>
        <w:tc>
          <w:tcPr>
            <w:tcW w:w="5009" w:type="dxa"/>
          </w:tcPr>
          <w:p w14:paraId="040FE87D" w14:textId="59D1875F" w:rsidR="001E584B" w:rsidRPr="0008722A" w:rsidRDefault="001E584B" w:rsidP="001E584B">
            <w:pPr>
              <w:rPr>
                <w:szCs w:val="17"/>
              </w:rPr>
            </w:pPr>
            <w:r w:rsidRPr="0008722A">
              <w:rPr>
                <w:szCs w:val="17"/>
              </w:rPr>
              <w:t>Th</w:t>
            </w:r>
            <w:r w:rsidR="00375127" w:rsidRPr="0008722A">
              <w:rPr>
                <w:szCs w:val="17"/>
              </w:rPr>
              <w:t>is is the</w:t>
            </w:r>
            <w:r w:rsidRPr="0008722A">
              <w:rPr>
                <w:szCs w:val="17"/>
              </w:rPr>
              <w:t xml:space="preserve"> cost to Government to implement, monitor and enforce the </w:t>
            </w:r>
            <w:r w:rsidR="000776D4" w:rsidRPr="0008722A">
              <w:rPr>
                <w:szCs w:val="17"/>
              </w:rPr>
              <w:t xml:space="preserve">phase out </w:t>
            </w:r>
            <w:r w:rsidRPr="0008722A">
              <w:rPr>
                <w:szCs w:val="17"/>
              </w:rPr>
              <w:t xml:space="preserve">options, relative to the Base Case. </w:t>
            </w:r>
          </w:p>
        </w:tc>
      </w:tr>
    </w:tbl>
    <w:p w14:paraId="2670D71D" w14:textId="5FA2906A" w:rsidR="001E584B" w:rsidRDefault="001E584B" w:rsidP="00CC4A0B">
      <w:pPr>
        <w:spacing w:after="0"/>
        <w:rPr>
          <w:sz w:val="17"/>
          <w:szCs w:val="17"/>
        </w:rPr>
      </w:pPr>
    </w:p>
    <w:p w14:paraId="4411FC3F" w14:textId="346E3802" w:rsidR="005E37B4" w:rsidRPr="00CC4A0B" w:rsidRDefault="005E37B4" w:rsidP="005E37B4">
      <w:r w:rsidRPr="00CC4A0B">
        <w:t xml:space="preserve">Costs that are relevant to this analysis, but have not been quantified due to a lack of data include: </w:t>
      </w:r>
    </w:p>
    <w:p w14:paraId="0B508A4B" w14:textId="63A9D9CA" w:rsidR="00C51D09" w:rsidRPr="00CC4A0B" w:rsidRDefault="005E37B4" w:rsidP="00E74AA1">
      <w:pPr>
        <w:numPr>
          <w:ilvl w:val="0"/>
          <w:numId w:val="41"/>
        </w:numPr>
        <w:contextualSpacing/>
        <w:rPr>
          <w:rFonts w:eastAsia="Times New Roman" w:cs="Times New Roman"/>
        </w:rPr>
      </w:pPr>
      <w:r w:rsidRPr="00CC4A0B">
        <w:rPr>
          <w:rFonts w:eastAsia="Times New Roman" w:cs="Times New Roman"/>
          <w:b/>
        </w:rPr>
        <w:t xml:space="preserve">Industry transition costs (not including the gross margin assumption noted above) </w:t>
      </w:r>
      <w:r w:rsidRPr="00CC4A0B">
        <w:rPr>
          <w:rFonts w:eastAsia="Times New Roman" w:cs="Times New Roman"/>
        </w:rPr>
        <w:t>- Industry has indicated the possibility of a number of transition costs including stock write-offs and additional scrapping of components and accessories that are exclusively used in the OFG</w:t>
      </w:r>
      <w:r w:rsidR="00930F3F">
        <w:rPr>
          <w:rFonts w:eastAsia="Times New Roman" w:cs="Times New Roman"/>
        </w:rPr>
        <w:t>S</w:t>
      </w:r>
      <w:r w:rsidRPr="00CC4A0B">
        <w:rPr>
          <w:rFonts w:eastAsia="Times New Roman" w:cs="Times New Roman"/>
        </w:rPr>
        <w:t xml:space="preserve">H market. </w:t>
      </w:r>
    </w:p>
    <w:p w14:paraId="509E7D99" w14:textId="77777777" w:rsidR="00C51D09" w:rsidRPr="00CC4A0B" w:rsidRDefault="00C51D09" w:rsidP="00C51D09">
      <w:pPr>
        <w:ind w:left="720"/>
        <w:contextualSpacing/>
        <w:rPr>
          <w:rFonts w:eastAsia="Times New Roman" w:cs="Times New Roman"/>
        </w:rPr>
      </w:pPr>
    </w:p>
    <w:p w14:paraId="64640E39" w14:textId="5C594BB3" w:rsidR="004C1EAB" w:rsidRPr="00CC4A0B" w:rsidRDefault="00A325CB" w:rsidP="00CC4A0B">
      <w:pPr>
        <w:spacing w:after="0"/>
        <w:ind w:left="720"/>
        <w:rPr>
          <w:rFonts w:eastAsia="Times New Roman" w:cs="Times New Roman"/>
        </w:rPr>
      </w:pPr>
      <w:r w:rsidRPr="00CC4A0B">
        <w:rPr>
          <w:rFonts w:eastAsia="Times New Roman" w:cs="Times New Roman"/>
        </w:rPr>
        <w:t xml:space="preserve">The cost of any stock that was produced prior to </w:t>
      </w:r>
      <w:r w:rsidR="000D5E7B">
        <w:rPr>
          <w:rFonts w:eastAsia="Times New Roman" w:cs="Times New Roman"/>
        </w:rPr>
        <w:t>a policy change</w:t>
      </w:r>
      <w:r w:rsidRPr="00CC4A0B">
        <w:rPr>
          <w:rFonts w:eastAsia="Times New Roman" w:cs="Times New Roman"/>
        </w:rPr>
        <w:t xml:space="preserve">, and </w:t>
      </w:r>
      <w:r w:rsidR="000D5E7B">
        <w:rPr>
          <w:rFonts w:eastAsia="Times New Roman" w:cs="Times New Roman"/>
        </w:rPr>
        <w:t>is</w:t>
      </w:r>
      <w:r w:rsidRPr="00CC4A0B">
        <w:rPr>
          <w:rFonts w:eastAsia="Times New Roman" w:cs="Times New Roman"/>
        </w:rPr>
        <w:t xml:space="preserve"> not expected to sell, </w:t>
      </w:r>
      <w:r w:rsidR="00E37353" w:rsidRPr="00CC4A0B">
        <w:rPr>
          <w:rFonts w:eastAsia="Times New Roman" w:cs="Times New Roman"/>
        </w:rPr>
        <w:t xml:space="preserve">has not been </w:t>
      </w:r>
      <w:r w:rsidR="00E37353" w:rsidRPr="000D5E7B">
        <w:rPr>
          <w:rFonts w:eastAsia="Times New Roman" w:cs="Times New Roman"/>
        </w:rPr>
        <w:t xml:space="preserve">included as a cost in this RIS, </w:t>
      </w:r>
      <w:r w:rsidR="00EF65DA" w:rsidRPr="000D5E7B">
        <w:rPr>
          <w:rFonts w:eastAsia="Times New Roman" w:cs="Times New Roman"/>
        </w:rPr>
        <w:t xml:space="preserve">as it </w:t>
      </w:r>
      <w:r w:rsidR="00393BA4" w:rsidRPr="000D5E7B">
        <w:rPr>
          <w:rFonts w:eastAsia="Times New Roman" w:cs="Times New Roman"/>
        </w:rPr>
        <w:t>is effectively a sunk cost</w:t>
      </w:r>
      <w:r w:rsidR="00443F58" w:rsidRPr="00B40553">
        <w:rPr>
          <w:rFonts w:eastAsia="Times New Roman" w:cs="Times New Roman"/>
        </w:rPr>
        <w:t>.</w:t>
      </w:r>
      <w:r w:rsidR="00F17520" w:rsidRPr="00B40553">
        <w:rPr>
          <w:rFonts w:eastAsia="Times New Roman" w:cs="Times New Roman"/>
        </w:rPr>
        <w:t xml:space="preserve"> </w:t>
      </w:r>
      <w:r w:rsidR="00443F58" w:rsidRPr="00B40553">
        <w:rPr>
          <w:rFonts w:eastAsia="Times New Roman" w:cs="Times New Roman"/>
        </w:rPr>
        <w:t>Sunk</w:t>
      </w:r>
      <w:r w:rsidR="00F17520" w:rsidRPr="00B40553">
        <w:rPr>
          <w:rFonts w:eastAsia="Times New Roman" w:cs="Times New Roman"/>
        </w:rPr>
        <w:t xml:space="preserve"> costs are treated as bygone and are not taken into consideration </w:t>
      </w:r>
      <w:r w:rsidR="00443F58" w:rsidRPr="00B40553">
        <w:rPr>
          <w:rFonts w:eastAsia="Times New Roman" w:cs="Times New Roman"/>
        </w:rPr>
        <w:t>in the cost-benefit analysis because</w:t>
      </w:r>
      <w:r w:rsidR="00F709A1" w:rsidRPr="00B40553">
        <w:rPr>
          <w:rFonts w:eastAsia="Times New Roman" w:cs="Times New Roman"/>
        </w:rPr>
        <w:t xml:space="preserve"> the costs that matter instead are expectations of future costs and future </w:t>
      </w:r>
      <w:r w:rsidR="00320EE1" w:rsidRPr="00B40553">
        <w:rPr>
          <w:rFonts w:eastAsia="Times New Roman" w:cs="Times New Roman"/>
        </w:rPr>
        <w:t>profits.</w:t>
      </w:r>
      <w:r w:rsidR="00393BA4" w:rsidRPr="00B40553">
        <w:rPr>
          <w:rFonts w:eastAsia="Times New Roman" w:cs="Times New Roman"/>
        </w:rPr>
        <w:t xml:space="preserve"> </w:t>
      </w:r>
      <w:r w:rsidR="003D0504" w:rsidRPr="00B40553">
        <w:rPr>
          <w:rFonts w:eastAsia="Times New Roman" w:cs="Times New Roman"/>
        </w:rPr>
        <w:t xml:space="preserve">It is important </w:t>
      </w:r>
      <w:r w:rsidR="00F17520" w:rsidRPr="00B40553">
        <w:rPr>
          <w:rFonts w:eastAsia="Times New Roman" w:cs="Times New Roman"/>
        </w:rPr>
        <w:t xml:space="preserve">though </w:t>
      </w:r>
      <w:r w:rsidR="003D0504" w:rsidRPr="00B40553">
        <w:rPr>
          <w:rFonts w:eastAsia="Times New Roman" w:cs="Times New Roman"/>
        </w:rPr>
        <w:t>to acknowledge</w:t>
      </w:r>
      <w:r w:rsidR="00C51D09" w:rsidRPr="00B40553">
        <w:rPr>
          <w:rFonts w:eastAsia="Times New Roman" w:cs="Times New Roman"/>
        </w:rPr>
        <w:t xml:space="preserve"> that some manufacturers could be </w:t>
      </w:r>
      <w:r w:rsidR="004664C3" w:rsidRPr="00B40553">
        <w:t xml:space="preserve">unable to sell </w:t>
      </w:r>
      <w:r w:rsidR="00C51D09" w:rsidRPr="000D5E7B">
        <w:rPr>
          <w:rFonts w:eastAsia="Times New Roman" w:cs="Times New Roman"/>
        </w:rPr>
        <w:t xml:space="preserve">stock </w:t>
      </w:r>
      <w:r w:rsidR="00C51D09" w:rsidRPr="000D5E7B">
        <w:rPr>
          <w:rFonts w:eastAsia="Times New Roman" w:cs="Times New Roman"/>
        </w:rPr>
        <w:lastRenderedPageBreak/>
        <w:t>already produced</w:t>
      </w:r>
      <w:r w:rsidR="000D5E7B" w:rsidRPr="000D5E7B">
        <w:rPr>
          <w:rFonts w:eastAsia="Times New Roman" w:cs="Times New Roman"/>
        </w:rPr>
        <w:t>; this will depend on timing of the change and how much stock manufacturers hold</w:t>
      </w:r>
      <w:r w:rsidR="003D0504" w:rsidRPr="00B40553">
        <w:rPr>
          <w:rFonts w:eastAsia="Times New Roman" w:cs="Times New Roman"/>
        </w:rPr>
        <w:t xml:space="preserve">. </w:t>
      </w:r>
      <w:r w:rsidR="009A5771" w:rsidRPr="00B40553">
        <w:rPr>
          <w:rFonts w:eastAsia="Times New Roman" w:cs="Times New Roman"/>
        </w:rPr>
        <w:t>While</w:t>
      </w:r>
      <w:r w:rsidR="003D0504" w:rsidRPr="00B40553">
        <w:rPr>
          <w:rFonts w:eastAsia="Times New Roman" w:cs="Times New Roman"/>
        </w:rPr>
        <w:t xml:space="preserve"> </w:t>
      </w:r>
      <w:r w:rsidR="00541C73" w:rsidRPr="00B40553">
        <w:rPr>
          <w:rFonts w:eastAsia="Times New Roman" w:cs="Times New Roman"/>
        </w:rPr>
        <w:t xml:space="preserve">it </w:t>
      </w:r>
      <w:r w:rsidR="003D0504" w:rsidRPr="00B40553">
        <w:rPr>
          <w:rFonts w:eastAsia="Times New Roman" w:cs="Times New Roman"/>
        </w:rPr>
        <w:t xml:space="preserve">is difficult to estimate </w:t>
      </w:r>
      <w:r w:rsidR="0062684F" w:rsidRPr="00B40553">
        <w:rPr>
          <w:rFonts w:eastAsia="Times New Roman" w:cs="Times New Roman"/>
        </w:rPr>
        <w:t xml:space="preserve">this impact without access to detailed </w:t>
      </w:r>
      <w:r w:rsidR="00DD3522" w:rsidRPr="00B40553">
        <w:rPr>
          <w:rFonts w:eastAsia="Times New Roman" w:cs="Times New Roman"/>
        </w:rPr>
        <w:t xml:space="preserve">operational </w:t>
      </w:r>
      <w:r w:rsidR="001A5DB4" w:rsidRPr="00B40553">
        <w:rPr>
          <w:rFonts w:eastAsia="Times New Roman" w:cs="Times New Roman"/>
        </w:rPr>
        <w:t xml:space="preserve">details of individual businesses, </w:t>
      </w:r>
      <w:r w:rsidR="00375142" w:rsidRPr="00B40553">
        <w:rPr>
          <w:rFonts w:eastAsia="Times New Roman" w:cs="Times New Roman"/>
        </w:rPr>
        <w:t xml:space="preserve">estimates </w:t>
      </w:r>
      <w:r w:rsidR="00153CAD">
        <w:rPr>
          <w:rFonts w:eastAsia="Times New Roman" w:cs="Times New Roman"/>
        </w:rPr>
        <w:t xml:space="preserve">have been developed </w:t>
      </w:r>
      <w:r w:rsidR="005E7FEC" w:rsidRPr="00B40553">
        <w:rPr>
          <w:rFonts w:eastAsia="Times New Roman" w:cs="Times New Roman"/>
        </w:rPr>
        <w:t>to provide an indication of this potential impact</w:t>
      </w:r>
      <w:r w:rsidR="00233798" w:rsidRPr="00B40553">
        <w:rPr>
          <w:rFonts w:eastAsia="Times New Roman" w:cs="Times New Roman"/>
        </w:rPr>
        <w:t>. Using industry</w:t>
      </w:r>
      <w:r w:rsidR="00233798" w:rsidRPr="00CC4A0B">
        <w:rPr>
          <w:rFonts w:eastAsia="Times New Roman" w:cs="Times New Roman"/>
        </w:rPr>
        <w:t xml:space="preserve"> </w:t>
      </w:r>
      <w:r w:rsidR="0064367B" w:rsidRPr="00CC4A0B">
        <w:rPr>
          <w:rFonts w:eastAsia="Times New Roman" w:cs="Times New Roman"/>
        </w:rPr>
        <w:t xml:space="preserve">sales forecasts of 3,802 sales of </w:t>
      </w:r>
      <w:r w:rsidR="000932DA">
        <w:rPr>
          <w:rFonts w:eastAsia="Times New Roman" w:cs="Times New Roman"/>
        </w:rPr>
        <w:t xml:space="preserve">OFGSHs </w:t>
      </w:r>
      <w:r w:rsidR="0064367B" w:rsidRPr="00CC4A0B">
        <w:rPr>
          <w:rFonts w:eastAsia="Times New Roman" w:cs="Times New Roman"/>
        </w:rPr>
        <w:t>in 20</w:t>
      </w:r>
      <w:r w:rsidR="00143ED5" w:rsidRPr="00CC4A0B">
        <w:rPr>
          <w:rFonts w:eastAsia="Times New Roman" w:cs="Times New Roman"/>
        </w:rPr>
        <w:t>20-</w:t>
      </w:r>
      <w:r w:rsidR="0064367B" w:rsidRPr="00CC4A0B">
        <w:rPr>
          <w:rFonts w:eastAsia="Times New Roman" w:cs="Times New Roman"/>
        </w:rPr>
        <w:t>21</w:t>
      </w:r>
      <w:r w:rsidR="00577A36">
        <w:rPr>
          <w:rFonts w:eastAsia="Times New Roman" w:cs="Times New Roman"/>
        </w:rPr>
        <w:t xml:space="preserve">, then </w:t>
      </w:r>
      <w:r w:rsidR="0064367B" w:rsidRPr="00CC4A0B">
        <w:rPr>
          <w:rFonts w:eastAsia="Times New Roman" w:cs="Times New Roman"/>
        </w:rPr>
        <w:t xml:space="preserve">2,342 in </w:t>
      </w:r>
      <w:r w:rsidR="00BB3985" w:rsidRPr="00CC4A0B">
        <w:rPr>
          <w:rFonts w:eastAsia="Times New Roman" w:cs="Times New Roman"/>
        </w:rPr>
        <w:t>202</w:t>
      </w:r>
      <w:r w:rsidR="00143ED5" w:rsidRPr="00CC4A0B">
        <w:rPr>
          <w:rFonts w:eastAsia="Times New Roman" w:cs="Times New Roman"/>
        </w:rPr>
        <w:t>1-</w:t>
      </w:r>
      <w:r w:rsidR="00143ED5" w:rsidRPr="00BC0F95">
        <w:rPr>
          <w:rFonts w:eastAsia="Times New Roman" w:cs="Times New Roman"/>
        </w:rPr>
        <w:t>2</w:t>
      </w:r>
      <w:r w:rsidR="00BB3985" w:rsidRPr="00BC0F95">
        <w:rPr>
          <w:rFonts w:eastAsia="Times New Roman" w:cs="Times New Roman"/>
        </w:rPr>
        <w:t>2</w:t>
      </w:r>
      <w:r w:rsidR="00763FB5" w:rsidRPr="00BC0F95">
        <w:rPr>
          <w:rFonts w:eastAsia="Times New Roman" w:cs="Times New Roman"/>
        </w:rPr>
        <w:t xml:space="preserve"> </w:t>
      </w:r>
      <w:r w:rsidR="00577A36">
        <w:rPr>
          <w:rFonts w:eastAsia="Times New Roman" w:cs="Times New Roman"/>
        </w:rPr>
        <w:t>and 1,732 in 2022-23</w:t>
      </w:r>
      <w:r w:rsidR="00763FB5" w:rsidRPr="00BC0F95">
        <w:rPr>
          <w:rFonts w:eastAsia="Times New Roman" w:cs="Times New Roman"/>
        </w:rPr>
        <w:t xml:space="preserve"> (see section </w:t>
      </w:r>
      <w:r w:rsidR="009B02B8" w:rsidRPr="00BC0F95">
        <w:rPr>
          <w:rFonts w:eastAsia="Times New Roman" w:cs="Times New Roman"/>
        </w:rPr>
        <w:fldChar w:fldCharType="begin"/>
      </w:r>
      <w:r w:rsidR="009B02B8" w:rsidRPr="00BC0F95">
        <w:rPr>
          <w:rFonts w:eastAsia="Times New Roman" w:cs="Times New Roman"/>
        </w:rPr>
        <w:instrText xml:space="preserve"> REF _Ref55996349 \r \h </w:instrText>
      </w:r>
      <w:r w:rsidR="00BC0F95">
        <w:rPr>
          <w:rFonts w:eastAsia="Times New Roman" w:cs="Times New Roman"/>
        </w:rPr>
        <w:instrText xml:space="preserve"> \* MERGEFORMAT </w:instrText>
      </w:r>
      <w:r w:rsidR="009B02B8" w:rsidRPr="00BC0F95">
        <w:rPr>
          <w:rFonts w:eastAsia="Times New Roman" w:cs="Times New Roman"/>
        </w:rPr>
      </w:r>
      <w:r w:rsidR="009B02B8" w:rsidRPr="00BC0F95">
        <w:rPr>
          <w:rFonts w:eastAsia="Times New Roman" w:cs="Times New Roman"/>
        </w:rPr>
        <w:fldChar w:fldCharType="separate"/>
      </w:r>
      <w:r w:rsidR="00CD0679">
        <w:rPr>
          <w:rFonts w:eastAsia="Times New Roman" w:cs="Times New Roman"/>
        </w:rPr>
        <w:t>4.2.6</w:t>
      </w:r>
      <w:r w:rsidR="009B02B8" w:rsidRPr="00BC0F95">
        <w:rPr>
          <w:rFonts w:eastAsia="Times New Roman" w:cs="Times New Roman"/>
        </w:rPr>
        <w:fldChar w:fldCharType="end"/>
      </w:r>
      <w:r w:rsidR="009B02B8" w:rsidRPr="00BC0F95">
        <w:rPr>
          <w:rFonts w:eastAsia="Times New Roman" w:cs="Times New Roman"/>
        </w:rPr>
        <w:t xml:space="preserve"> </w:t>
      </w:r>
      <w:r w:rsidR="00763FB5" w:rsidRPr="00BC0F95">
        <w:rPr>
          <w:rFonts w:eastAsia="Times New Roman" w:cs="Times New Roman"/>
        </w:rPr>
        <w:t>for discussion</w:t>
      </w:r>
      <w:r w:rsidR="00763FB5" w:rsidRPr="00CC4A0B">
        <w:rPr>
          <w:rFonts w:eastAsia="Times New Roman" w:cs="Times New Roman"/>
        </w:rPr>
        <w:t xml:space="preserve"> of sales forecast assumptions)</w:t>
      </w:r>
      <w:r w:rsidR="00CA3D44" w:rsidRPr="00CC4A0B">
        <w:rPr>
          <w:rFonts w:eastAsia="Times New Roman" w:cs="Times New Roman"/>
        </w:rPr>
        <w:t xml:space="preserve">, </w:t>
      </w:r>
      <w:r w:rsidR="003E2ADB" w:rsidRPr="00CC4A0B">
        <w:rPr>
          <w:rFonts w:eastAsia="Times New Roman" w:cs="Times New Roman"/>
        </w:rPr>
        <w:t xml:space="preserve">and conservatively assuming heaters are manufactured two years in advance of sales, </w:t>
      </w:r>
      <w:r w:rsidR="00E4112C" w:rsidRPr="00CC4A0B">
        <w:rPr>
          <w:rFonts w:eastAsia="Times New Roman" w:cs="Times New Roman"/>
        </w:rPr>
        <w:t xml:space="preserve">then a </w:t>
      </w:r>
      <w:r w:rsidR="00501BE7">
        <w:rPr>
          <w:rFonts w:eastAsia="Times New Roman" w:cs="Times New Roman"/>
        </w:rPr>
        <w:t>restriction</w:t>
      </w:r>
      <w:r w:rsidR="00501BE7" w:rsidRPr="00CC4A0B">
        <w:rPr>
          <w:rFonts w:eastAsia="Times New Roman" w:cs="Times New Roman"/>
        </w:rPr>
        <w:t xml:space="preserve"> </w:t>
      </w:r>
      <w:r w:rsidR="00DE11C4" w:rsidRPr="00CC4A0B">
        <w:rPr>
          <w:rFonts w:eastAsia="Times New Roman" w:cs="Times New Roman"/>
        </w:rPr>
        <w:t xml:space="preserve">that comes into effect </w:t>
      </w:r>
      <w:r w:rsidR="003824CF">
        <w:rPr>
          <w:rFonts w:eastAsia="Times New Roman" w:cs="Times New Roman"/>
        </w:rPr>
        <w:t>from 1</w:t>
      </w:r>
      <w:r w:rsidR="00DE11C4" w:rsidRPr="00CC4A0B">
        <w:rPr>
          <w:rFonts w:eastAsia="Times New Roman" w:cs="Times New Roman"/>
        </w:rPr>
        <w:t xml:space="preserve"> </w:t>
      </w:r>
      <w:r w:rsidR="00A716D2">
        <w:rPr>
          <w:rFonts w:eastAsia="Times New Roman" w:cs="Times New Roman"/>
        </w:rPr>
        <w:t>Janua</w:t>
      </w:r>
      <w:r w:rsidR="00F30DD1">
        <w:rPr>
          <w:rFonts w:eastAsia="Times New Roman" w:cs="Times New Roman"/>
        </w:rPr>
        <w:t>r</w:t>
      </w:r>
      <w:r w:rsidR="00A716D2">
        <w:rPr>
          <w:rFonts w:eastAsia="Times New Roman" w:cs="Times New Roman"/>
        </w:rPr>
        <w:t xml:space="preserve">y </w:t>
      </w:r>
      <w:r w:rsidR="00DE11C4" w:rsidRPr="00CC4A0B">
        <w:rPr>
          <w:rFonts w:eastAsia="Times New Roman" w:cs="Times New Roman"/>
        </w:rPr>
        <w:t>202</w:t>
      </w:r>
      <w:r w:rsidR="00A716D2">
        <w:rPr>
          <w:rFonts w:eastAsia="Times New Roman" w:cs="Times New Roman"/>
        </w:rPr>
        <w:t>2</w:t>
      </w:r>
      <w:r w:rsidR="00DE11C4" w:rsidRPr="00CC4A0B">
        <w:rPr>
          <w:rFonts w:eastAsia="Times New Roman" w:cs="Times New Roman"/>
        </w:rPr>
        <w:t xml:space="preserve"> </w:t>
      </w:r>
      <w:r w:rsidR="00B05951" w:rsidRPr="00CC4A0B">
        <w:rPr>
          <w:rFonts w:eastAsia="Times New Roman" w:cs="Times New Roman"/>
        </w:rPr>
        <w:t>will r</w:t>
      </w:r>
      <w:r w:rsidR="00B05951" w:rsidRPr="00620F23">
        <w:rPr>
          <w:rFonts w:eastAsia="Times New Roman" w:cs="Times New Roman"/>
        </w:rPr>
        <w:t xml:space="preserve">esult in </w:t>
      </w:r>
      <w:r w:rsidR="006C5A0C" w:rsidRPr="00620F23">
        <w:rPr>
          <w:rFonts w:eastAsia="Times New Roman" w:cs="Times New Roman"/>
        </w:rPr>
        <w:t xml:space="preserve">manufacturers left </w:t>
      </w:r>
      <w:r w:rsidR="006C5A0C" w:rsidRPr="000E189D">
        <w:rPr>
          <w:rFonts w:eastAsia="Times New Roman" w:cs="Times New Roman"/>
        </w:rPr>
        <w:t xml:space="preserve">holding </w:t>
      </w:r>
      <w:r w:rsidR="00A716D2">
        <w:rPr>
          <w:rFonts w:eastAsia="Times New Roman" w:cs="Times New Roman"/>
        </w:rPr>
        <w:t>866 OFGSHs</w:t>
      </w:r>
      <w:r w:rsidR="00911AD0" w:rsidRPr="00620F23">
        <w:rPr>
          <w:rFonts w:eastAsia="Times New Roman" w:cs="Times New Roman"/>
        </w:rPr>
        <w:t>.</w:t>
      </w:r>
      <w:r w:rsidR="006E5AB5" w:rsidRPr="00620F23">
        <w:rPr>
          <w:rStyle w:val="FootnoteReference"/>
          <w:rFonts w:eastAsia="Times New Roman" w:cs="Times New Roman"/>
        </w:rPr>
        <w:footnoteReference w:id="112"/>
      </w:r>
      <w:r w:rsidR="00100F2B" w:rsidRPr="00620F23">
        <w:rPr>
          <w:rFonts w:eastAsia="Times New Roman" w:cs="Times New Roman"/>
        </w:rPr>
        <w:t xml:space="preserve"> </w:t>
      </w:r>
      <w:r w:rsidR="000B7D0A" w:rsidRPr="00620F23">
        <w:rPr>
          <w:rFonts w:eastAsia="Times New Roman" w:cs="Times New Roman"/>
        </w:rPr>
        <w:t xml:space="preserve">An estimated average sales price of </w:t>
      </w:r>
      <w:r w:rsidR="00B95E59" w:rsidRPr="00620F23">
        <w:rPr>
          <w:rFonts w:eastAsia="Times New Roman" w:cs="Times New Roman"/>
        </w:rPr>
        <w:t>$1,</w:t>
      </w:r>
      <w:r w:rsidR="00D73876">
        <w:rPr>
          <w:rFonts w:eastAsia="Times New Roman" w:cs="Times New Roman"/>
        </w:rPr>
        <w:t>703</w:t>
      </w:r>
      <w:r w:rsidR="00B95E59" w:rsidRPr="00620F23">
        <w:rPr>
          <w:rFonts w:eastAsia="Times New Roman" w:cs="Times New Roman"/>
        </w:rPr>
        <w:t xml:space="preserve"> per heater </w:t>
      </w:r>
      <w:r w:rsidR="000F76CE" w:rsidRPr="00620F23">
        <w:rPr>
          <w:rFonts w:eastAsia="Times New Roman" w:cs="Times New Roman"/>
        </w:rPr>
        <w:t xml:space="preserve">means </w:t>
      </w:r>
      <w:r w:rsidR="004C1EAB" w:rsidRPr="00620F23">
        <w:rPr>
          <w:rFonts w:eastAsia="Times New Roman" w:cs="Times New Roman"/>
        </w:rPr>
        <w:t>the sales value of this s</w:t>
      </w:r>
      <w:r w:rsidR="000F76CE" w:rsidRPr="00620F23">
        <w:rPr>
          <w:rFonts w:eastAsia="Times New Roman" w:cs="Times New Roman"/>
        </w:rPr>
        <w:t xml:space="preserve">tock is </w:t>
      </w:r>
      <w:r w:rsidR="009157CA" w:rsidRPr="00096B3A">
        <w:rPr>
          <w:rFonts w:eastAsia="Times New Roman" w:cs="Times New Roman"/>
        </w:rPr>
        <w:t>$</w:t>
      </w:r>
      <w:r w:rsidR="00E16C91">
        <w:rPr>
          <w:rFonts w:eastAsia="Times New Roman" w:cs="Times New Roman"/>
        </w:rPr>
        <w:t>1,474,789</w:t>
      </w:r>
      <w:r w:rsidR="00043791" w:rsidRPr="00CA4AAF">
        <w:rPr>
          <w:rFonts w:eastAsia="Times New Roman" w:cs="Times New Roman"/>
        </w:rPr>
        <w:t>.</w:t>
      </w:r>
      <w:r w:rsidR="004C1EAB" w:rsidRPr="00CC4A0B">
        <w:rPr>
          <w:rFonts w:eastAsia="Times New Roman" w:cs="Times New Roman"/>
        </w:rPr>
        <w:t xml:space="preserve"> Th</w:t>
      </w:r>
      <w:r w:rsidR="00BF6FB6" w:rsidRPr="00CC4A0B">
        <w:rPr>
          <w:rFonts w:eastAsia="Times New Roman" w:cs="Times New Roman"/>
        </w:rPr>
        <w:t xml:space="preserve">is </w:t>
      </w:r>
      <w:r w:rsidR="004B3D0B">
        <w:rPr>
          <w:rFonts w:eastAsia="Times New Roman" w:cs="Times New Roman"/>
        </w:rPr>
        <w:t>figure</w:t>
      </w:r>
      <w:r w:rsidR="00BF6FB6" w:rsidRPr="00CC4A0B">
        <w:rPr>
          <w:rFonts w:eastAsia="Times New Roman" w:cs="Times New Roman"/>
        </w:rPr>
        <w:t xml:space="preserve"> </w:t>
      </w:r>
      <w:r w:rsidR="004C1EAB" w:rsidRPr="00CC4A0B">
        <w:rPr>
          <w:rFonts w:eastAsia="Times New Roman" w:cs="Times New Roman"/>
        </w:rPr>
        <w:t>assumes man</w:t>
      </w:r>
      <w:r w:rsidR="00383D0F" w:rsidRPr="00CC4A0B">
        <w:rPr>
          <w:rFonts w:eastAsia="Times New Roman" w:cs="Times New Roman"/>
        </w:rPr>
        <w:t xml:space="preserve">ufacturers aren’t able to recoup </w:t>
      </w:r>
      <w:r w:rsidR="00503CCF" w:rsidRPr="00CC4A0B">
        <w:rPr>
          <w:rFonts w:eastAsia="Times New Roman" w:cs="Times New Roman"/>
        </w:rPr>
        <w:t>their cost by other means, such as sales into other jurisdictions. It is also considered conservative because</w:t>
      </w:r>
      <w:r w:rsidR="00B06D3D" w:rsidRPr="00CC4A0B">
        <w:rPr>
          <w:rFonts w:eastAsia="Times New Roman" w:cs="Times New Roman"/>
        </w:rPr>
        <w:t xml:space="preserve">, given stakeholder consultation with industry, </w:t>
      </w:r>
      <w:r w:rsidR="0099401C" w:rsidRPr="00CC4A0B">
        <w:rPr>
          <w:rFonts w:eastAsia="Times New Roman" w:cs="Times New Roman"/>
        </w:rPr>
        <w:t xml:space="preserve">manufacturers </w:t>
      </w:r>
      <w:r w:rsidR="002C6A8F">
        <w:rPr>
          <w:rFonts w:eastAsia="Times New Roman" w:cs="Times New Roman"/>
        </w:rPr>
        <w:t>are unlikely to</w:t>
      </w:r>
      <w:r w:rsidR="0099401C" w:rsidRPr="00CC4A0B">
        <w:rPr>
          <w:rFonts w:eastAsia="Times New Roman" w:cs="Times New Roman"/>
        </w:rPr>
        <w:t xml:space="preserve"> be producing heaters </w:t>
      </w:r>
      <w:r w:rsidR="005415C7" w:rsidRPr="00CC4A0B">
        <w:rPr>
          <w:rFonts w:eastAsia="Times New Roman" w:cs="Times New Roman"/>
        </w:rPr>
        <w:t>two years in advance. However not enough information is know</w:t>
      </w:r>
      <w:r w:rsidR="00EC3F44" w:rsidRPr="00CC4A0B">
        <w:rPr>
          <w:rFonts w:eastAsia="Times New Roman" w:cs="Times New Roman"/>
        </w:rPr>
        <w:t>n</w:t>
      </w:r>
      <w:r w:rsidR="005415C7" w:rsidRPr="00CC4A0B">
        <w:rPr>
          <w:rFonts w:eastAsia="Times New Roman" w:cs="Times New Roman"/>
        </w:rPr>
        <w:t xml:space="preserve"> about </w:t>
      </w:r>
      <w:r w:rsidR="00CD3788" w:rsidRPr="00CC4A0B">
        <w:rPr>
          <w:rFonts w:eastAsia="Times New Roman" w:cs="Times New Roman"/>
        </w:rPr>
        <w:t xml:space="preserve">the production </w:t>
      </w:r>
      <w:r w:rsidR="003834A4" w:rsidRPr="00CC4A0B">
        <w:rPr>
          <w:rFonts w:eastAsia="Times New Roman" w:cs="Times New Roman"/>
        </w:rPr>
        <w:t xml:space="preserve">process </w:t>
      </w:r>
      <w:r w:rsidR="00EC3F44" w:rsidRPr="00CC4A0B">
        <w:rPr>
          <w:rFonts w:eastAsia="Times New Roman" w:cs="Times New Roman"/>
        </w:rPr>
        <w:t xml:space="preserve">and business decisions to </w:t>
      </w:r>
      <w:r w:rsidR="00F06783" w:rsidRPr="00CC4A0B">
        <w:rPr>
          <w:rFonts w:eastAsia="Times New Roman" w:cs="Times New Roman"/>
        </w:rPr>
        <w:t xml:space="preserve">undertake </w:t>
      </w:r>
      <w:r w:rsidR="0029029D" w:rsidRPr="00CC4A0B">
        <w:rPr>
          <w:rFonts w:eastAsia="Times New Roman" w:cs="Times New Roman"/>
        </w:rPr>
        <w:t>more robust analysis.</w:t>
      </w:r>
      <w:r w:rsidR="00CF138F" w:rsidRPr="00CF138F">
        <w:t xml:space="preserve"> </w:t>
      </w:r>
      <w:r w:rsidR="00CF138F">
        <w:t xml:space="preserve">It is worth noting even if this cost were included in the quantified costs, the large expected benefits of the </w:t>
      </w:r>
      <w:r w:rsidR="00D1281F">
        <w:t xml:space="preserve">options </w:t>
      </w:r>
      <w:r w:rsidR="00CF138F">
        <w:t xml:space="preserve">would </w:t>
      </w:r>
      <w:r w:rsidR="00057439">
        <w:t xml:space="preserve">still </w:t>
      </w:r>
      <w:r w:rsidR="00CF138F">
        <w:t>be expected to cover the majority of costs.</w:t>
      </w:r>
    </w:p>
    <w:p w14:paraId="7BCD8D3E" w14:textId="5ECA6166" w:rsidR="005E37B4" w:rsidRPr="0093764B" w:rsidRDefault="005E37B4" w:rsidP="00E74AA1">
      <w:pPr>
        <w:numPr>
          <w:ilvl w:val="0"/>
          <w:numId w:val="41"/>
        </w:numPr>
        <w:contextualSpacing/>
      </w:pPr>
      <w:r w:rsidRPr="00CC4A0B">
        <w:rPr>
          <w:b/>
        </w:rPr>
        <w:t>Broader impact on gas -</w:t>
      </w:r>
      <w:r w:rsidRPr="00CC4A0B">
        <w:t xml:space="preserve"> Industry has indicated that a </w:t>
      </w:r>
      <w:r w:rsidR="00132103">
        <w:t>restriction</w:t>
      </w:r>
      <w:r w:rsidRPr="00CC4A0B">
        <w:t xml:space="preserve"> could result in negative publicity not only </w:t>
      </w:r>
      <w:r w:rsidR="002C34EA" w:rsidRPr="00CC4A0B">
        <w:t xml:space="preserve">for </w:t>
      </w:r>
      <w:r w:rsidRPr="00CC4A0B">
        <w:t xml:space="preserve">gas space heaters, but also for the broader gas appliance industry. </w:t>
      </w:r>
      <w:r w:rsidR="004157AE">
        <w:t xml:space="preserve">This concern is noted but </w:t>
      </w:r>
      <w:r w:rsidR="00B36490">
        <w:t>has not been quantified</w:t>
      </w:r>
      <w:r w:rsidR="004157AE">
        <w:t xml:space="preserve">, </w:t>
      </w:r>
      <w:r w:rsidR="006E385A">
        <w:t>as</w:t>
      </w:r>
      <w:r w:rsidR="004157AE">
        <w:t xml:space="preserve"> are many external factors currently impacting energy and gas appliance markets</w:t>
      </w:r>
      <w:r w:rsidR="006E385A">
        <w:t>.</w:t>
      </w:r>
      <w:r w:rsidRPr="00CC4A0B">
        <w:rPr>
          <w:vertAlign w:val="superscript"/>
        </w:rPr>
        <w:footnoteReference w:id="113"/>
      </w:r>
      <w:r w:rsidR="001D5618">
        <w:t xml:space="preserve"> </w:t>
      </w:r>
      <w:r w:rsidR="000D5E7B">
        <w:t xml:space="preserve">However a </w:t>
      </w:r>
      <w:r w:rsidR="006356C6">
        <w:t>standards-based</w:t>
      </w:r>
      <w:r w:rsidR="001D5618">
        <w:t xml:space="preserve"> approach would </w:t>
      </w:r>
      <w:r w:rsidR="00306D53">
        <w:t>have the smallest</w:t>
      </w:r>
      <w:r w:rsidR="000D02F3">
        <w:t xml:space="preserve"> impact on </w:t>
      </w:r>
      <w:r w:rsidR="00163FC4">
        <w:t xml:space="preserve">industry and </w:t>
      </w:r>
      <w:r w:rsidR="000E07AD">
        <w:t xml:space="preserve">any </w:t>
      </w:r>
      <w:r w:rsidR="00270F83">
        <w:t xml:space="preserve">potential consequences </w:t>
      </w:r>
      <w:r w:rsidR="003F1495">
        <w:t xml:space="preserve">to consumer </w:t>
      </w:r>
      <w:r w:rsidR="00CC02B5">
        <w:t>confidence</w:t>
      </w:r>
      <w:r w:rsidR="000E07AD">
        <w:t xml:space="preserve"> in gas products</w:t>
      </w:r>
      <w:r w:rsidR="000D5E7B">
        <w:t>.</w:t>
      </w:r>
    </w:p>
    <w:p w14:paraId="2AC2D1F6" w14:textId="77777777" w:rsidR="005E37B4" w:rsidRPr="00CC4A0B" w:rsidRDefault="005E37B4" w:rsidP="001E584B">
      <w:pPr>
        <w:spacing w:after="0" w:line="240" w:lineRule="auto"/>
      </w:pPr>
    </w:p>
    <w:p w14:paraId="2F856118" w14:textId="64E6D8E9" w:rsidR="0030034B" w:rsidRPr="00CA4AAF" w:rsidRDefault="0030034B" w:rsidP="00CA4AAF">
      <w:pPr>
        <w:rPr>
          <w:u w:val="single"/>
        </w:rPr>
      </w:pPr>
      <w:r w:rsidRPr="00CA4AAF">
        <w:rPr>
          <w:u w:val="single"/>
        </w:rPr>
        <w:t>Summary of quantified costs</w:t>
      </w:r>
    </w:p>
    <w:p w14:paraId="1105E2D3" w14:textId="36E7E93E" w:rsidR="00220E2D" w:rsidRPr="00BB2D5F" w:rsidRDefault="00435E98" w:rsidP="001E584B">
      <w:pPr>
        <w:spacing w:after="0" w:line="240" w:lineRule="auto"/>
      </w:pPr>
      <w:r>
        <w:fldChar w:fldCharType="begin"/>
      </w:r>
      <w:r>
        <w:instrText xml:space="preserve"> REF _Ref50980250 \h </w:instrText>
      </w:r>
      <w:r>
        <w:fldChar w:fldCharType="separate"/>
      </w:r>
      <w:r w:rsidR="00CD0679" w:rsidRPr="00B1102B">
        <w:t xml:space="preserve">Table </w:t>
      </w:r>
      <w:r w:rsidR="00CD0679">
        <w:rPr>
          <w:noProof/>
        </w:rPr>
        <w:t>4</w:t>
      </w:r>
      <w:r w:rsidR="00CD0679">
        <w:noBreakHyphen/>
      </w:r>
      <w:r w:rsidR="00CD0679">
        <w:rPr>
          <w:noProof/>
        </w:rPr>
        <w:t>2</w:t>
      </w:r>
      <w:r>
        <w:fldChar w:fldCharType="end"/>
      </w:r>
      <w:r w:rsidR="007F1DD6">
        <w:t xml:space="preserve"> </w:t>
      </w:r>
      <w:r w:rsidR="001E584B" w:rsidRPr="00182E7E">
        <w:t xml:space="preserve">presents the quantified dollar cost of each option. The costs are highest under the Option 1 </w:t>
      </w:r>
      <w:r w:rsidR="00E0655F">
        <w:t>restriction</w:t>
      </w:r>
      <w:r w:rsidR="00175FD7" w:rsidRPr="00182E7E">
        <w:t>, at $</w:t>
      </w:r>
      <w:r w:rsidR="001A7B03">
        <w:t>6</w:t>
      </w:r>
      <w:r w:rsidR="00175FD7" w:rsidRPr="00182E7E">
        <w:t>.</w:t>
      </w:r>
      <w:r w:rsidR="001A7B03">
        <w:t>1</w:t>
      </w:r>
      <w:r w:rsidR="00175FD7" w:rsidRPr="00182E7E">
        <w:t xml:space="preserve"> million versus $</w:t>
      </w:r>
      <w:r w:rsidR="001A7B03">
        <w:t>4.9</w:t>
      </w:r>
      <w:r w:rsidR="00175FD7" w:rsidRPr="00182E7E">
        <w:t xml:space="preserve"> million for Option 2</w:t>
      </w:r>
      <w:r w:rsidR="001E584B" w:rsidRPr="00182E7E">
        <w:t>. This partly reflects the timing of the options</w:t>
      </w:r>
      <w:r w:rsidR="002E7996">
        <w:t xml:space="preserve">, with Options 1 and 3 to be </w:t>
      </w:r>
      <w:r w:rsidR="006C0F36" w:rsidRPr="00182E7E">
        <w:t xml:space="preserve">introduced </w:t>
      </w:r>
      <w:r w:rsidR="002E7996">
        <w:t>on</w:t>
      </w:r>
      <w:r w:rsidR="002E7996" w:rsidRPr="00182E7E">
        <w:t xml:space="preserve"> </w:t>
      </w:r>
      <w:r w:rsidR="006C0F36" w:rsidRPr="00182E7E">
        <w:t xml:space="preserve">1 </w:t>
      </w:r>
      <w:r w:rsidR="000D0400" w:rsidRPr="00182E7E">
        <w:t>June</w:t>
      </w:r>
      <w:r w:rsidR="006C0F36" w:rsidRPr="00182E7E">
        <w:t xml:space="preserve"> 2</w:t>
      </w:r>
      <w:r w:rsidR="007157CA" w:rsidRPr="00182E7E">
        <w:t>021</w:t>
      </w:r>
      <w:r w:rsidR="001E584B" w:rsidRPr="00182E7E">
        <w:t xml:space="preserve">. </w:t>
      </w:r>
      <w:r w:rsidR="001E584B" w:rsidRPr="00BB2D5F">
        <w:t xml:space="preserve">The </w:t>
      </w:r>
      <w:r w:rsidR="000E28A2">
        <w:t>fast-tracked</w:t>
      </w:r>
      <w:r w:rsidR="00E27DA9">
        <w:t xml:space="preserve"> </w:t>
      </w:r>
      <w:r w:rsidR="007F5A76" w:rsidRPr="00BB2D5F">
        <w:t>standards-based</w:t>
      </w:r>
      <w:r w:rsidR="001E584B" w:rsidRPr="00BB2D5F">
        <w:t xml:space="preserve"> approach</w:t>
      </w:r>
      <w:r w:rsidR="003478D1" w:rsidRPr="00BB2D5F">
        <w:t xml:space="preserve"> (Option 2)</w:t>
      </w:r>
      <w:r w:rsidR="001E584B" w:rsidRPr="00BB2D5F">
        <w:t xml:space="preserve"> is assumed to come into effect </w:t>
      </w:r>
      <w:r w:rsidR="002B5364">
        <w:t xml:space="preserve">on </w:t>
      </w:r>
      <w:r w:rsidR="0054540D">
        <w:t>1 January 2022</w:t>
      </w:r>
      <w:r w:rsidR="00012F72">
        <w:t xml:space="preserve"> reducing the cost</w:t>
      </w:r>
      <w:r w:rsidR="00CE0668">
        <w:t xml:space="preserve"> to consumers of purchasing more expensive heaters and lowering the impact on industry profitability</w:t>
      </w:r>
      <w:r w:rsidR="002B5364">
        <w:t>.</w:t>
      </w:r>
      <w:r w:rsidR="00AD4A33" w:rsidRPr="00BB2D5F">
        <w:t xml:space="preserve"> </w:t>
      </w:r>
    </w:p>
    <w:p w14:paraId="64766123" w14:textId="77777777" w:rsidR="00220E2D" w:rsidRPr="00BB2D5F" w:rsidRDefault="00220E2D" w:rsidP="001E584B">
      <w:pPr>
        <w:spacing w:after="0" w:line="240" w:lineRule="auto"/>
      </w:pPr>
    </w:p>
    <w:p w14:paraId="7768036C" w14:textId="013C3B85" w:rsidR="001E584B" w:rsidRDefault="001E584B" w:rsidP="001E584B">
      <w:pPr>
        <w:spacing w:after="120" w:line="240" w:lineRule="auto"/>
      </w:pPr>
      <w:r w:rsidRPr="00182E7E">
        <w:t xml:space="preserve">Under the Base Case, the Victorian </w:t>
      </w:r>
      <w:r w:rsidR="000932DA">
        <w:t xml:space="preserve">OFGSH </w:t>
      </w:r>
      <w:r w:rsidRPr="00182E7E">
        <w:t xml:space="preserve">market is assumed to close in 2027, reducing the number of OFGSHs sold across the state to zero. This sales trajectory is assumed to continue indefinitely (i.e. OFGSHs are no longer sold in Victoria beyond 2027). As a result, this profitability impact is not expected to extend beyond </w:t>
      </w:r>
      <w:r w:rsidR="00F60646" w:rsidRPr="00182E7E">
        <w:t>202</w:t>
      </w:r>
      <w:r w:rsidR="003A1913">
        <w:t>6</w:t>
      </w:r>
      <w:r w:rsidR="00F60646" w:rsidRPr="00182E7E">
        <w:t xml:space="preserve"> </w:t>
      </w:r>
      <w:r w:rsidRPr="00182E7E">
        <w:t>as consumers no longer purchase OFGSHs, irrespective of any intervention.</w:t>
      </w:r>
      <w:r w:rsidRPr="00CC4A0B">
        <w:t xml:space="preserve">  </w:t>
      </w:r>
    </w:p>
    <w:p w14:paraId="6C584682" w14:textId="7D5D812A" w:rsidR="001E584B" w:rsidRPr="00B1102B" w:rsidRDefault="001E584B" w:rsidP="00CC4A0B">
      <w:pPr>
        <w:pStyle w:val="Caption"/>
      </w:pPr>
      <w:bookmarkStart w:id="232" w:name="_Ref50980250"/>
      <w:bookmarkStart w:id="233" w:name="_Ref50980246"/>
      <w:r w:rsidRPr="00B1102B">
        <w:t xml:space="preserve">Table </w:t>
      </w:r>
      <w:r w:rsidR="008358B0">
        <w:fldChar w:fldCharType="begin"/>
      </w:r>
      <w:r w:rsidR="008358B0">
        <w:instrText xml:space="preserve"> STYLEREF 1 \s </w:instrText>
      </w:r>
      <w:r w:rsidR="008358B0">
        <w:fldChar w:fldCharType="separate"/>
      </w:r>
      <w:r w:rsidR="00CD0679">
        <w:rPr>
          <w:noProof/>
        </w:rPr>
        <w:t>4</w:t>
      </w:r>
      <w:r w:rsidR="008358B0">
        <w:fldChar w:fldCharType="end"/>
      </w:r>
      <w:r w:rsidR="008358B0">
        <w:noBreakHyphen/>
      </w:r>
      <w:r w:rsidR="008358B0">
        <w:fldChar w:fldCharType="begin"/>
      </w:r>
      <w:r w:rsidR="008358B0">
        <w:instrText xml:space="preserve"> SEQ Table \* ARABIC \s 1 </w:instrText>
      </w:r>
      <w:r w:rsidR="008358B0">
        <w:fldChar w:fldCharType="separate"/>
      </w:r>
      <w:r w:rsidR="00CD0679">
        <w:rPr>
          <w:noProof/>
        </w:rPr>
        <w:t>2</w:t>
      </w:r>
      <w:r w:rsidR="008358B0">
        <w:fldChar w:fldCharType="end"/>
      </w:r>
      <w:bookmarkEnd w:id="232"/>
      <w:r w:rsidRPr="00B1102B">
        <w:t xml:space="preserve"> Costs of </w:t>
      </w:r>
      <w:r w:rsidR="000776D4">
        <w:t>phase out</w:t>
      </w:r>
      <w:r w:rsidRPr="00B1102B">
        <w:t xml:space="preserve"> options, relative to the Base Case</w:t>
      </w:r>
      <w:bookmarkEnd w:id="233"/>
      <w:r w:rsidRPr="00B1102B">
        <w:t xml:space="preserve"> </w:t>
      </w:r>
    </w:p>
    <w:tbl>
      <w:tblPr>
        <w:tblStyle w:val="Deloittetable2"/>
        <w:tblW w:w="5000" w:type="pct"/>
        <w:tblCellMar>
          <w:left w:w="57" w:type="dxa"/>
          <w:right w:w="57" w:type="dxa"/>
        </w:tblCellMar>
        <w:tblLook w:val="04A0" w:firstRow="1" w:lastRow="0" w:firstColumn="1" w:lastColumn="0" w:noHBand="0" w:noVBand="1"/>
      </w:tblPr>
      <w:tblGrid>
        <w:gridCol w:w="2256"/>
        <w:gridCol w:w="2256"/>
        <w:gridCol w:w="2257"/>
        <w:gridCol w:w="2257"/>
      </w:tblGrid>
      <w:tr w:rsidR="000D7E3A" w:rsidRPr="001E584B" w14:paraId="539280B5" w14:textId="77777777" w:rsidTr="00C4217C">
        <w:trPr>
          <w:cnfStyle w:val="100000000000" w:firstRow="1" w:lastRow="0" w:firstColumn="0" w:lastColumn="0" w:oddVBand="0" w:evenVBand="0" w:oddHBand="0" w:evenHBand="0" w:firstRowFirstColumn="0" w:firstRowLastColumn="0" w:lastRowFirstColumn="0" w:lastRowLastColumn="0"/>
          <w:trHeight w:val="340"/>
        </w:trPr>
        <w:tc>
          <w:tcPr>
            <w:tcW w:w="1250" w:type="pct"/>
            <w:hideMark/>
          </w:tcPr>
          <w:p w14:paraId="1195E83C" w14:textId="77777777" w:rsidR="001E584B" w:rsidRPr="001E584B" w:rsidRDefault="001E584B" w:rsidP="00E74AA1">
            <w:pPr>
              <w:spacing w:after="120" w:line="240" w:lineRule="auto"/>
              <w:rPr>
                <w:rFonts w:eastAsia="Times New Roman" w:cs="Times New Roman"/>
                <w:color w:val="000000"/>
                <w:szCs w:val="17"/>
                <w:lang w:eastAsia="en-AU"/>
              </w:rPr>
            </w:pPr>
            <w:r w:rsidRPr="001E584B">
              <w:rPr>
                <w:rFonts w:eastAsia="Times New Roman" w:cs="Times New Roman"/>
                <w:color w:val="000000"/>
                <w:szCs w:val="17"/>
                <w:lang w:eastAsia="en-AU"/>
              </w:rPr>
              <w:t> </w:t>
            </w:r>
          </w:p>
        </w:tc>
        <w:tc>
          <w:tcPr>
            <w:tcW w:w="1250" w:type="pct"/>
          </w:tcPr>
          <w:p w14:paraId="3EFAF4C7" w14:textId="4D24F7CA" w:rsidR="001E584B" w:rsidRPr="001E584B" w:rsidRDefault="001E584B" w:rsidP="00FC3E13">
            <w:pPr>
              <w:spacing w:after="120" w:line="240" w:lineRule="auto"/>
              <w:jc w:val="center"/>
              <w:rPr>
                <w:rFonts w:eastAsia="Times New Roman" w:cs="Times New Roman"/>
                <w:b/>
                <w:bCs/>
                <w:color w:val="000000"/>
                <w:szCs w:val="17"/>
                <w:lang w:eastAsia="en-AU"/>
              </w:rPr>
            </w:pPr>
            <w:r w:rsidRPr="001E584B">
              <w:rPr>
                <w:rFonts w:eastAsia="Times New Roman" w:cs="Times New Roman"/>
                <w:b/>
                <w:bCs/>
                <w:color w:val="000000"/>
                <w:szCs w:val="17"/>
                <w:lang w:eastAsia="en-AU"/>
              </w:rPr>
              <w:t>Base Case</w:t>
            </w:r>
          </w:p>
        </w:tc>
        <w:tc>
          <w:tcPr>
            <w:tcW w:w="1250" w:type="pct"/>
            <w:hideMark/>
          </w:tcPr>
          <w:p w14:paraId="3C8D4BDD" w14:textId="73BDC62F" w:rsidR="001E584B" w:rsidRPr="001E584B" w:rsidRDefault="001E584B" w:rsidP="00FC3E13">
            <w:pPr>
              <w:spacing w:after="120" w:line="240" w:lineRule="auto"/>
              <w:jc w:val="center"/>
              <w:rPr>
                <w:rFonts w:eastAsia="Times New Roman" w:cs="Times New Roman"/>
                <w:b/>
                <w:bCs/>
                <w:color w:val="000000"/>
                <w:szCs w:val="17"/>
                <w:lang w:eastAsia="en-AU"/>
              </w:rPr>
            </w:pPr>
            <w:r w:rsidRPr="001E584B">
              <w:rPr>
                <w:rFonts w:eastAsia="Times New Roman" w:cs="Times New Roman"/>
                <w:b/>
                <w:bCs/>
                <w:color w:val="000000"/>
                <w:szCs w:val="17"/>
                <w:lang w:eastAsia="en-AU"/>
              </w:rPr>
              <w:t xml:space="preserve">Option 1 </w:t>
            </w:r>
            <w:r w:rsidR="00AE2DC8">
              <w:rPr>
                <w:rFonts w:eastAsia="Times New Roman" w:cs="Times New Roman"/>
                <w:b/>
                <w:bCs/>
                <w:color w:val="000000"/>
                <w:szCs w:val="17"/>
                <w:lang w:eastAsia="en-AU"/>
              </w:rPr>
              <w:t>Restriction</w:t>
            </w:r>
            <w:r w:rsidR="00AE2DC8">
              <w:rPr>
                <w:rFonts w:eastAsia="Times New Roman" w:cs="Times New Roman"/>
                <w:b/>
                <w:bCs/>
                <w:color w:val="000000"/>
                <w:szCs w:val="17"/>
                <w:lang w:eastAsia="en-AU"/>
              </w:rPr>
              <w:br/>
            </w:r>
            <w:r w:rsidR="00AE2DC8" w:rsidRPr="001E584B">
              <w:rPr>
                <w:rFonts w:eastAsia="Times New Roman" w:cs="Times New Roman"/>
                <w:b/>
                <w:bCs/>
                <w:color w:val="000000"/>
                <w:szCs w:val="17"/>
                <w:lang w:eastAsia="en-AU"/>
              </w:rPr>
              <w:t xml:space="preserve"> </w:t>
            </w:r>
            <w:r w:rsidRPr="001E584B">
              <w:rPr>
                <w:rFonts w:eastAsia="Times New Roman" w:cs="Times New Roman"/>
                <w:b/>
                <w:bCs/>
                <w:color w:val="000000"/>
                <w:szCs w:val="17"/>
                <w:lang w:eastAsia="en-AU"/>
              </w:rPr>
              <w:t>on all</w:t>
            </w:r>
            <w:r w:rsidR="000D7E3A">
              <w:rPr>
                <w:rFonts w:eastAsia="Times New Roman" w:cs="Times New Roman"/>
                <w:b/>
                <w:bCs/>
                <w:color w:val="000000"/>
                <w:szCs w:val="17"/>
                <w:lang w:eastAsia="en-AU"/>
              </w:rPr>
              <w:t xml:space="preserve"> </w:t>
            </w:r>
            <w:r w:rsidRPr="001E584B">
              <w:rPr>
                <w:rFonts w:eastAsia="Times New Roman" w:cs="Times New Roman"/>
                <w:b/>
                <w:bCs/>
                <w:color w:val="000000"/>
                <w:szCs w:val="17"/>
                <w:lang w:eastAsia="en-AU"/>
              </w:rPr>
              <w:t>installations</w:t>
            </w:r>
          </w:p>
        </w:tc>
        <w:tc>
          <w:tcPr>
            <w:tcW w:w="1250" w:type="pct"/>
            <w:hideMark/>
          </w:tcPr>
          <w:p w14:paraId="13A42166" w14:textId="6DB25681" w:rsidR="001E584B" w:rsidRPr="001E584B" w:rsidRDefault="001E584B" w:rsidP="00FC3E13">
            <w:pPr>
              <w:spacing w:after="120" w:line="240" w:lineRule="auto"/>
              <w:jc w:val="center"/>
              <w:rPr>
                <w:rFonts w:eastAsia="Times New Roman" w:cs="Times New Roman"/>
                <w:b/>
                <w:bCs/>
                <w:color w:val="000000"/>
                <w:szCs w:val="17"/>
                <w:lang w:eastAsia="en-AU"/>
              </w:rPr>
            </w:pPr>
            <w:r w:rsidRPr="001E584B">
              <w:rPr>
                <w:rFonts w:eastAsia="Times New Roman" w:cs="Times New Roman"/>
                <w:b/>
                <w:bCs/>
                <w:color w:val="000000"/>
                <w:szCs w:val="17"/>
                <w:lang w:eastAsia="en-AU"/>
              </w:rPr>
              <w:t xml:space="preserve">Option 2 Phase out through a </w:t>
            </w:r>
            <w:r w:rsidR="000A390B">
              <w:rPr>
                <w:rFonts w:eastAsia="Times New Roman" w:cs="Times New Roman"/>
                <w:b/>
                <w:bCs/>
                <w:color w:val="000000"/>
                <w:szCs w:val="17"/>
                <w:lang w:eastAsia="en-AU"/>
              </w:rPr>
              <w:t xml:space="preserve">fast-tracked </w:t>
            </w:r>
            <w:r w:rsidR="00F9435F" w:rsidRPr="001E584B">
              <w:rPr>
                <w:rFonts w:eastAsia="Times New Roman" w:cs="Times New Roman"/>
                <w:b/>
                <w:bCs/>
                <w:color w:val="000000"/>
                <w:szCs w:val="17"/>
                <w:lang w:eastAsia="en-AU"/>
              </w:rPr>
              <w:t>standards-based</w:t>
            </w:r>
            <w:r w:rsidRPr="001E584B">
              <w:rPr>
                <w:rFonts w:eastAsia="Times New Roman" w:cs="Times New Roman"/>
                <w:b/>
                <w:bCs/>
                <w:color w:val="000000"/>
                <w:szCs w:val="17"/>
                <w:lang w:eastAsia="en-AU"/>
              </w:rPr>
              <w:t xml:space="preserve"> approach</w:t>
            </w:r>
          </w:p>
        </w:tc>
      </w:tr>
      <w:tr w:rsidR="001E584B" w:rsidRPr="001E584B" w14:paraId="2D5F36D1" w14:textId="77777777" w:rsidTr="000276F0">
        <w:trPr>
          <w:trHeight w:val="21"/>
        </w:trPr>
        <w:tc>
          <w:tcPr>
            <w:tcW w:w="0" w:type="pct"/>
            <w:gridSpan w:val="4"/>
            <w:shd w:val="clear" w:color="auto" w:fill="DFF0F9" w:themeFill="accent3" w:themeFillTint="33"/>
            <w:hideMark/>
          </w:tcPr>
          <w:p w14:paraId="1EE73167" w14:textId="7B88DCB4" w:rsidR="00DE012A" w:rsidRPr="001E584B" w:rsidRDefault="00DE012A" w:rsidP="00E74AA1">
            <w:pPr>
              <w:spacing w:after="0" w:line="240" w:lineRule="auto"/>
              <w:rPr>
                <w:rFonts w:eastAsia="Times New Roman" w:cs="Times New Roman"/>
                <w:b/>
                <w:bCs/>
                <w:color w:val="000000"/>
                <w:szCs w:val="17"/>
                <w:lang w:eastAsia="en-AU"/>
              </w:rPr>
            </w:pPr>
            <w:r w:rsidRPr="001E584B">
              <w:rPr>
                <w:rFonts w:eastAsia="Times New Roman" w:cs="Times New Roman"/>
                <w:b/>
                <w:bCs/>
                <w:color w:val="000000"/>
                <w:szCs w:val="17"/>
                <w:lang w:eastAsia="en-AU"/>
              </w:rPr>
              <w:t>Costs</w:t>
            </w:r>
          </w:p>
        </w:tc>
      </w:tr>
      <w:tr w:rsidR="000D7E3A" w:rsidRPr="001E584B" w14:paraId="7E26732D" w14:textId="77777777" w:rsidTr="000276F0">
        <w:trPr>
          <w:trHeight w:val="334"/>
        </w:trPr>
        <w:tc>
          <w:tcPr>
            <w:tcW w:w="0" w:type="pct"/>
          </w:tcPr>
          <w:p w14:paraId="38C6B2C3" w14:textId="77777777" w:rsidR="00070C62" w:rsidRPr="001E584B" w:rsidRDefault="00070C62" w:rsidP="00070C62">
            <w:pPr>
              <w:spacing w:after="0" w:line="240" w:lineRule="auto"/>
              <w:rPr>
                <w:rFonts w:eastAsia="Times New Roman" w:cs="Times New Roman"/>
                <w:color w:val="000000"/>
                <w:szCs w:val="17"/>
                <w:lang w:eastAsia="en-AU"/>
              </w:rPr>
            </w:pPr>
            <w:r w:rsidRPr="001E584B">
              <w:rPr>
                <w:szCs w:val="17"/>
              </w:rPr>
              <w:t>Reduction in profits for gas space heater manufacturers</w:t>
            </w:r>
          </w:p>
        </w:tc>
        <w:tc>
          <w:tcPr>
            <w:tcW w:w="0" w:type="pct"/>
            <w:vAlign w:val="center"/>
          </w:tcPr>
          <w:p w14:paraId="39C4BD94" w14:textId="77777777" w:rsidR="00070C62" w:rsidRPr="001E584B" w:rsidRDefault="00070C62" w:rsidP="004C26DF">
            <w:pPr>
              <w:spacing w:after="0" w:line="240" w:lineRule="auto"/>
              <w:jc w:val="center"/>
              <w:rPr>
                <w:rFonts w:eastAsia="Times New Roman" w:cs="Times New Roman"/>
                <w:color w:val="000000"/>
                <w:szCs w:val="17"/>
                <w:lang w:eastAsia="en-AU"/>
              </w:rPr>
            </w:pPr>
            <w:r w:rsidRPr="001E584B">
              <w:rPr>
                <w:rFonts w:eastAsia="Times New Roman" w:cs="Times New Roman"/>
                <w:color w:val="000000"/>
                <w:szCs w:val="17"/>
                <w:lang w:eastAsia="en-AU"/>
              </w:rPr>
              <w:t>$0</w:t>
            </w:r>
          </w:p>
        </w:tc>
        <w:tc>
          <w:tcPr>
            <w:tcW w:w="0" w:type="pct"/>
            <w:vAlign w:val="center"/>
          </w:tcPr>
          <w:p w14:paraId="4BA9AF55" w14:textId="312320B4" w:rsidR="00070C62" w:rsidRPr="001E584B" w:rsidRDefault="00A618D5" w:rsidP="000276F0">
            <w:pPr>
              <w:spacing w:after="0"/>
              <w:jc w:val="center"/>
              <w:rPr>
                <w:rFonts w:eastAsia="Times New Roman" w:cs="Times New Roman"/>
                <w:color w:val="000000"/>
                <w:szCs w:val="17"/>
                <w:lang w:eastAsia="en-AU"/>
              </w:rPr>
            </w:pPr>
            <w:r w:rsidRPr="00096B3A">
              <w:rPr>
                <w:sz w:val="16"/>
                <w:szCs w:val="16"/>
              </w:rPr>
              <w:t>$2,099,355</w:t>
            </w:r>
          </w:p>
        </w:tc>
        <w:tc>
          <w:tcPr>
            <w:tcW w:w="0" w:type="pct"/>
            <w:vAlign w:val="center"/>
          </w:tcPr>
          <w:p w14:paraId="47B81E2E" w14:textId="4C8D82AC" w:rsidR="00070C62" w:rsidRPr="00096B3A" w:rsidRDefault="00644331" w:rsidP="004A1994">
            <w:pPr>
              <w:spacing w:after="0" w:line="240" w:lineRule="auto"/>
              <w:jc w:val="center"/>
              <w:rPr>
                <w:sz w:val="16"/>
                <w:szCs w:val="16"/>
              </w:rPr>
            </w:pPr>
            <w:r w:rsidRPr="00096B3A">
              <w:rPr>
                <w:sz w:val="16"/>
                <w:szCs w:val="16"/>
              </w:rPr>
              <w:t>$1,622,910</w:t>
            </w:r>
          </w:p>
        </w:tc>
      </w:tr>
      <w:tr w:rsidR="000D7E3A" w:rsidRPr="001E584B" w14:paraId="5C2FFE6D" w14:textId="77777777" w:rsidTr="000276F0">
        <w:trPr>
          <w:trHeight w:val="334"/>
        </w:trPr>
        <w:tc>
          <w:tcPr>
            <w:tcW w:w="0" w:type="pct"/>
          </w:tcPr>
          <w:p w14:paraId="241D8D0B" w14:textId="77777777" w:rsidR="00070C62" w:rsidRPr="001E584B" w:rsidRDefault="00070C62" w:rsidP="00070C62">
            <w:pPr>
              <w:spacing w:after="0" w:line="240" w:lineRule="auto"/>
              <w:rPr>
                <w:rFonts w:eastAsia="Times New Roman" w:cs="Times New Roman"/>
                <w:color w:val="000000"/>
                <w:szCs w:val="17"/>
                <w:lang w:eastAsia="en-AU"/>
              </w:rPr>
            </w:pPr>
            <w:r w:rsidRPr="001E584B">
              <w:rPr>
                <w:szCs w:val="17"/>
              </w:rPr>
              <w:t>Cost of purchasing more expensive heaters</w:t>
            </w:r>
          </w:p>
        </w:tc>
        <w:tc>
          <w:tcPr>
            <w:tcW w:w="0" w:type="pct"/>
            <w:vAlign w:val="center"/>
          </w:tcPr>
          <w:p w14:paraId="1CB8B70A" w14:textId="77777777" w:rsidR="00070C62" w:rsidRPr="001E584B" w:rsidRDefault="00070C62" w:rsidP="004C26DF">
            <w:pPr>
              <w:spacing w:after="0" w:line="240" w:lineRule="auto"/>
              <w:jc w:val="center"/>
              <w:rPr>
                <w:rFonts w:eastAsia="Times New Roman" w:cs="Times New Roman"/>
                <w:color w:val="000000"/>
                <w:szCs w:val="17"/>
                <w:lang w:eastAsia="en-AU"/>
              </w:rPr>
            </w:pPr>
            <w:r w:rsidRPr="001E584B">
              <w:rPr>
                <w:rFonts w:eastAsia="Times New Roman" w:cs="Times New Roman"/>
                <w:color w:val="000000"/>
                <w:szCs w:val="17"/>
                <w:lang w:eastAsia="en-AU"/>
              </w:rPr>
              <w:t>$0</w:t>
            </w:r>
          </w:p>
        </w:tc>
        <w:tc>
          <w:tcPr>
            <w:tcW w:w="0" w:type="pct"/>
            <w:vAlign w:val="center"/>
          </w:tcPr>
          <w:p w14:paraId="7552BE84" w14:textId="5381D0A3" w:rsidR="00070C62" w:rsidRPr="001E584B" w:rsidRDefault="00F31FBC" w:rsidP="000276F0">
            <w:pPr>
              <w:spacing w:after="0"/>
              <w:jc w:val="center"/>
              <w:rPr>
                <w:rFonts w:eastAsia="Times New Roman" w:cs="Times New Roman"/>
                <w:color w:val="000000"/>
                <w:szCs w:val="17"/>
                <w:lang w:eastAsia="en-AU"/>
              </w:rPr>
            </w:pPr>
            <w:r w:rsidRPr="00096B3A">
              <w:rPr>
                <w:sz w:val="16"/>
                <w:szCs w:val="16"/>
              </w:rPr>
              <w:t>$3,226,734</w:t>
            </w:r>
          </w:p>
        </w:tc>
        <w:tc>
          <w:tcPr>
            <w:tcW w:w="0" w:type="pct"/>
            <w:vAlign w:val="center"/>
          </w:tcPr>
          <w:p w14:paraId="0263BD87" w14:textId="147CE916" w:rsidR="00070C62" w:rsidRPr="001E584B" w:rsidRDefault="0026033D" w:rsidP="000276F0">
            <w:pPr>
              <w:spacing w:after="0"/>
              <w:jc w:val="center"/>
              <w:rPr>
                <w:rFonts w:eastAsia="Times New Roman" w:cs="Times New Roman"/>
                <w:color w:val="000000"/>
                <w:szCs w:val="17"/>
                <w:lang w:eastAsia="en-AU"/>
              </w:rPr>
            </w:pPr>
            <w:r w:rsidRPr="00096B3A">
              <w:rPr>
                <w:sz w:val="16"/>
                <w:szCs w:val="16"/>
              </w:rPr>
              <w:t>$2,494,433</w:t>
            </w:r>
          </w:p>
        </w:tc>
      </w:tr>
      <w:tr w:rsidR="000D7E3A" w:rsidRPr="001E584B" w14:paraId="25CBCDD1" w14:textId="77777777" w:rsidTr="000276F0">
        <w:trPr>
          <w:trHeight w:val="334"/>
        </w:trPr>
        <w:tc>
          <w:tcPr>
            <w:tcW w:w="0" w:type="pct"/>
          </w:tcPr>
          <w:p w14:paraId="38407643" w14:textId="6C7ADB2B" w:rsidR="00070C62" w:rsidRPr="001E584B" w:rsidRDefault="00070C62" w:rsidP="00070C62">
            <w:pPr>
              <w:spacing w:after="0" w:line="240" w:lineRule="auto"/>
              <w:rPr>
                <w:rFonts w:ascii="Times New Roman" w:hAnsi="Times New Roman" w:cs="Times New Roman"/>
                <w:sz w:val="24"/>
                <w:szCs w:val="24"/>
                <w:lang w:eastAsia="en-AU"/>
              </w:rPr>
            </w:pPr>
            <w:r w:rsidRPr="001E584B">
              <w:rPr>
                <w:szCs w:val="17"/>
              </w:rPr>
              <w:t>Implementation, monitoring and enforcement costs</w:t>
            </w:r>
            <w:r w:rsidRPr="001E584B">
              <w:rPr>
                <w:rFonts w:ascii="Times New Roman" w:hAnsi="Times New Roman" w:cs="Times New Roman"/>
                <w:sz w:val="24"/>
                <w:szCs w:val="24"/>
                <w:lang w:eastAsia="en-AU"/>
              </w:rPr>
              <w:t xml:space="preserve"> </w:t>
            </w:r>
          </w:p>
        </w:tc>
        <w:tc>
          <w:tcPr>
            <w:tcW w:w="0" w:type="pct"/>
            <w:vAlign w:val="center"/>
          </w:tcPr>
          <w:p w14:paraId="1C05B9F0" w14:textId="77777777" w:rsidR="00070C62" w:rsidRPr="001E584B" w:rsidRDefault="00070C62" w:rsidP="004C26DF">
            <w:pPr>
              <w:spacing w:after="0" w:line="240" w:lineRule="auto"/>
              <w:jc w:val="center"/>
              <w:rPr>
                <w:rFonts w:eastAsia="Times New Roman" w:cs="Times New Roman"/>
                <w:color w:val="000000"/>
                <w:szCs w:val="17"/>
                <w:lang w:eastAsia="en-AU"/>
              </w:rPr>
            </w:pPr>
            <w:r w:rsidRPr="001E584B">
              <w:rPr>
                <w:rFonts w:eastAsia="Times New Roman" w:cs="Times New Roman"/>
                <w:color w:val="000000"/>
                <w:szCs w:val="17"/>
                <w:lang w:eastAsia="en-AU"/>
              </w:rPr>
              <w:t>$0</w:t>
            </w:r>
          </w:p>
        </w:tc>
        <w:tc>
          <w:tcPr>
            <w:tcW w:w="0" w:type="pct"/>
            <w:vAlign w:val="center"/>
          </w:tcPr>
          <w:p w14:paraId="22BAFE9C" w14:textId="222FE313" w:rsidR="00070C62" w:rsidRPr="001E584B" w:rsidRDefault="00070C62" w:rsidP="004A1994">
            <w:pPr>
              <w:tabs>
                <w:tab w:val="left" w:pos="799"/>
                <w:tab w:val="center" w:pos="1027"/>
              </w:tabs>
              <w:spacing w:after="0" w:line="240" w:lineRule="auto"/>
              <w:jc w:val="center"/>
              <w:rPr>
                <w:rFonts w:eastAsia="Times New Roman" w:cs="Times New Roman"/>
                <w:color w:val="000000"/>
                <w:szCs w:val="17"/>
                <w:lang w:eastAsia="en-AU"/>
              </w:rPr>
            </w:pPr>
            <w:r w:rsidRPr="00E85FE1">
              <w:rPr>
                <w:rFonts w:eastAsia="Times New Roman" w:cs="Times New Roman"/>
                <w:color w:val="000000"/>
                <w:sz w:val="16"/>
                <w:szCs w:val="16"/>
                <w:lang w:eastAsia="en-AU"/>
              </w:rPr>
              <w:t>$</w:t>
            </w:r>
            <w:r w:rsidR="001D0E48">
              <w:rPr>
                <w:rFonts w:eastAsia="Times New Roman" w:cs="Times New Roman"/>
                <w:color w:val="000000"/>
                <w:sz w:val="16"/>
                <w:szCs w:val="16"/>
                <w:lang w:eastAsia="en-AU"/>
              </w:rPr>
              <w:t>800,000</w:t>
            </w:r>
          </w:p>
        </w:tc>
        <w:tc>
          <w:tcPr>
            <w:tcW w:w="0" w:type="pct"/>
            <w:vAlign w:val="center"/>
          </w:tcPr>
          <w:p w14:paraId="7AC67904" w14:textId="4FDB9956" w:rsidR="00070C62" w:rsidRPr="001E584B" w:rsidRDefault="00070C62" w:rsidP="004A1994">
            <w:pPr>
              <w:spacing w:after="0" w:line="240" w:lineRule="auto"/>
              <w:jc w:val="center"/>
              <w:rPr>
                <w:rFonts w:eastAsia="Times New Roman" w:cs="Times New Roman"/>
                <w:color w:val="000000"/>
                <w:szCs w:val="17"/>
                <w:lang w:eastAsia="en-AU"/>
              </w:rPr>
            </w:pPr>
            <w:r w:rsidRPr="00AF4D76" w:rsidDel="001D0E48">
              <w:rPr>
                <w:rFonts w:eastAsia="Times New Roman" w:cs="Times New Roman"/>
                <w:color w:val="000000"/>
                <w:sz w:val="16"/>
                <w:szCs w:val="16"/>
                <w:lang w:eastAsia="en-AU"/>
              </w:rPr>
              <w:t>$</w:t>
            </w:r>
            <w:r w:rsidR="001D0E48">
              <w:rPr>
                <w:rFonts w:eastAsia="Times New Roman" w:cs="Times New Roman"/>
                <w:color w:val="000000"/>
                <w:sz w:val="16"/>
                <w:szCs w:val="16"/>
                <w:lang w:eastAsia="en-AU"/>
              </w:rPr>
              <w:t>800,000</w:t>
            </w:r>
          </w:p>
        </w:tc>
      </w:tr>
      <w:tr w:rsidR="000D7E3A" w:rsidRPr="001E584B" w14:paraId="1DBADB57" w14:textId="77777777" w:rsidTr="00C4217C">
        <w:trPr>
          <w:trHeight w:val="343"/>
        </w:trPr>
        <w:tc>
          <w:tcPr>
            <w:tcW w:w="1250" w:type="pct"/>
            <w:hideMark/>
          </w:tcPr>
          <w:p w14:paraId="16A381A0" w14:textId="77777777" w:rsidR="00070C62" w:rsidRPr="001E584B" w:rsidRDefault="00070C62" w:rsidP="00070C62">
            <w:pPr>
              <w:spacing w:after="0" w:line="240" w:lineRule="auto"/>
              <w:rPr>
                <w:rFonts w:eastAsia="Times New Roman" w:cs="Times New Roman"/>
                <w:b/>
                <w:color w:val="000000"/>
                <w:szCs w:val="17"/>
                <w:lang w:eastAsia="en-AU"/>
              </w:rPr>
            </w:pPr>
            <w:r w:rsidRPr="001E584B">
              <w:rPr>
                <w:rFonts w:eastAsia="Times New Roman" w:cs="Times New Roman"/>
                <w:b/>
                <w:color w:val="000000"/>
                <w:szCs w:val="17"/>
                <w:lang w:eastAsia="en-AU"/>
              </w:rPr>
              <w:lastRenderedPageBreak/>
              <w:t>Total costs</w:t>
            </w:r>
          </w:p>
        </w:tc>
        <w:tc>
          <w:tcPr>
            <w:tcW w:w="1250" w:type="pct"/>
          </w:tcPr>
          <w:p w14:paraId="19B0A188" w14:textId="77777777" w:rsidR="00070C62" w:rsidRPr="001E584B" w:rsidRDefault="00070C62" w:rsidP="00070C62">
            <w:pPr>
              <w:spacing w:after="0" w:line="240" w:lineRule="auto"/>
              <w:jc w:val="center"/>
              <w:rPr>
                <w:rFonts w:eastAsia="Times New Roman" w:cs="Times New Roman"/>
                <w:b/>
                <w:color w:val="FF0000"/>
                <w:szCs w:val="17"/>
                <w:lang w:eastAsia="en-AU"/>
              </w:rPr>
            </w:pPr>
            <w:r w:rsidRPr="001E584B">
              <w:rPr>
                <w:rFonts w:eastAsia="Times New Roman" w:cs="Times New Roman"/>
                <w:b/>
                <w:color w:val="000000"/>
                <w:szCs w:val="17"/>
                <w:lang w:eastAsia="en-AU"/>
              </w:rPr>
              <w:t>$0</w:t>
            </w:r>
          </w:p>
        </w:tc>
        <w:tc>
          <w:tcPr>
            <w:tcW w:w="1250" w:type="pct"/>
            <w:hideMark/>
          </w:tcPr>
          <w:p w14:paraId="76C63490" w14:textId="5489EFFF" w:rsidR="00635BDA" w:rsidRPr="00096B3A" w:rsidRDefault="00070C62" w:rsidP="00096B3A">
            <w:pPr>
              <w:spacing w:after="0" w:line="240" w:lineRule="auto"/>
              <w:jc w:val="center"/>
              <w:rPr>
                <w:b/>
                <w:color w:val="000000"/>
                <w:sz w:val="16"/>
                <w:szCs w:val="16"/>
              </w:rPr>
            </w:pPr>
            <w:r w:rsidRPr="004A1994" w:rsidDel="00635BDA">
              <w:rPr>
                <w:rFonts w:eastAsia="Times New Roman" w:cs="Times New Roman"/>
                <w:b/>
                <w:sz w:val="16"/>
                <w:szCs w:val="16"/>
                <w:lang w:eastAsia="en-AU"/>
              </w:rPr>
              <w:t>$</w:t>
            </w:r>
            <w:r w:rsidR="00635BDA" w:rsidRPr="00096B3A">
              <w:rPr>
                <w:b/>
                <w:color w:val="000000"/>
                <w:sz w:val="16"/>
                <w:szCs w:val="16"/>
              </w:rPr>
              <w:t>6,126,089</w:t>
            </w:r>
          </w:p>
          <w:p w14:paraId="2831A00C" w14:textId="4AC8FA07" w:rsidR="00070C62" w:rsidRPr="001E584B" w:rsidRDefault="00070C62" w:rsidP="004A1994">
            <w:pPr>
              <w:spacing w:after="0" w:line="240" w:lineRule="auto"/>
              <w:jc w:val="center"/>
              <w:rPr>
                <w:rFonts w:eastAsia="Times New Roman" w:cs="Times New Roman"/>
                <w:b/>
                <w:color w:val="FF0000"/>
                <w:szCs w:val="17"/>
                <w:lang w:eastAsia="en-AU"/>
              </w:rPr>
            </w:pPr>
          </w:p>
        </w:tc>
        <w:tc>
          <w:tcPr>
            <w:tcW w:w="1250" w:type="pct"/>
          </w:tcPr>
          <w:p w14:paraId="12D5A455" w14:textId="1B2CCA11" w:rsidR="00070C62" w:rsidRPr="001E584B" w:rsidRDefault="00070C62" w:rsidP="004A1994">
            <w:pPr>
              <w:spacing w:after="0" w:line="240" w:lineRule="auto"/>
              <w:jc w:val="center"/>
              <w:rPr>
                <w:rFonts w:eastAsia="Times New Roman" w:cs="Times New Roman"/>
                <w:b/>
                <w:color w:val="FF0000"/>
                <w:szCs w:val="17"/>
                <w:lang w:eastAsia="en-AU"/>
              </w:rPr>
            </w:pPr>
            <w:r w:rsidRPr="00AF4D76">
              <w:rPr>
                <w:rFonts w:eastAsia="Times New Roman" w:cs="Times New Roman"/>
                <w:b/>
                <w:sz w:val="16"/>
                <w:szCs w:val="16"/>
                <w:lang w:eastAsia="en-AU"/>
              </w:rPr>
              <w:t>$</w:t>
            </w:r>
            <w:r w:rsidR="00635BDA">
              <w:rPr>
                <w:rFonts w:eastAsia="Times New Roman" w:cs="Times New Roman"/>
                <w:b/>
                <w:sz w:val="16"/>
                <w:szCs w:val="16"/>
                <w:lang w:eastAsia="en-AU"/>
              </w:rPr>
              <w:t>4,917,344</w:t>
            </w:r>
          </w:p>
        </w:tc>
      </w:tr>
    </w:tbl>
    <w:p w14:paraId="1469B7B8" w14:textId="72EBDF7A" w:rsidR="00521454" w:rsidRPr="00CC4A0B" w:rsidRDefault="00521454" w:rsidP="00FC3E13">
      <w:pPr>
        <w:pStyle w:val="Source"/>
      </w:pPr>
      <w:r>
        <w:t>Note: Some totals do not sum due to rounding</w:t>
      </w:r>
    </w:p>
    <w:p w14:paraId="565CE03C" w14:textId="6939555D" w:rsidR="00851A0F" w:rsidRDefault="00851A0F">
      <w:pPr>
        <w:spacing w:after="0"/>
        <w:rPr>
          <w:rFonts w:eastAsiaTheme="majorEastAsia" w:cstheme="majorBidi"/>
          <w:b/>
          <w:bCs/>
          <w:sz w:val="17"/>
          <w:szCs w:val="17"/>
        </w:rPr>
      </w:pPr>
    </w:p>
    <w:p w14:paraId="29508128" w14:textId="0D197392" w:rsidR="00762C6C" w:rsidRDefault="00716B8A" w:rsidP="005024F8">
      <w:pPr>
        <w:pStyle w:val="Heading3"/>
      </w:pPr>
      <w:r>
        <w:t>B</w:t>
      </w:r>
      <w:r w:rsidR="00762C6C">
        <w:t xml:space="preserve">enefits of </w:t>
      </w:r>
      <w:r w:rsidR="00AF04BF">
        <w:t xml:space="preserve">phase out </w:t>
      </w:r>
      <w:r w:rsidR="00762C6C">
        <w:t>options</w:t>
      </w:r>
    </w:p>
    <w:p w14:paraId="10779EE5" w14:textId="354DF35E" w:rsidR="00762C6C" w:rsidRDefault="00762C6C" w:rsidP="00762C6C">
      <w:r>
        <w:t xml:space="preserve">Benefits that have been </w:t>
      </w:r>
      <w:r w:rsidR="009E60B5">
        <w:t>estimated</w:t>
      </w:r>
      <w:r w:rsidR="001C0661">
        <w:t xml:space="preserve"> </w:t>
      </w:r>
      <w:r>
        <w:t xml:space="preserve">in this analysis are described in </w:t>
      </w:r>
      <w:r w:rsidR="007F1DD6">
        <w:fldChar w:fldCharType="begin"/>
      </w:r>
      <w:r w:rsidR="007F1DD6">
        <w:instrText xml:space="preserve"> REF _Ref56414764 \h </w:instrText>
      </w:r>
      <w:r w:rsidR="007F1DD6">
        <w:fldChar w:fldCharType="separate"/>
      </w:r>
      <w:r w:rsidR="00CD0679">
        <w:t xml:space="preserve">Table </w:t>
      </w:r>
      <w:r w:rsidR="00CD0679">
        <w:rPr>
          <w:noProof/>
        </w:rPr>
        <w:t>4</w:t>
      </w:r>
      <w:r w:rsidR="00CD0679">
        <w:noBreakHyphen/>
      </w:r>
      <w:r w:rsidR="00CD0679">
        <w:rPr>
          <w:noProof/>
        </w:rPr>
        <w:t>3</w:t>
      </w:r>
      <w:r w:rsidR="007F1DD6">
        <w:fldChar w:fldCharType="end"/>
      </w:r>
      <w:r>
        <w:t>.</w:t>
      </w:r>
    </w:p>
    <w:p w14:paraId="581775FB" w14:textId="659804D9" w:rsidR="00762C6C" w:rsidRDefault="00762C6C" w:rsidP="00762C6C">
      <w:pPr>
        <w:pStyle w:val="Caption"/>
      </w:pPr>
      <w:bookmarkStart w:id="234" w:name="_Ref56414764"/>
      <w:r>
        <w:t xml:space="preserve">Table </w:t>
      </w:r>
      <w:r w:rsidR="008358B0">
        <w:fldChar w:fldCharType="begin"/>
      </w:r>
      <w:r w:rsidR="008358B0">
        <w:instrText xml:space="preserve"> STYLEREF 1 \s </w:instrText>
      </w:r>
      <w:r w:rsidR="008358B0">
        <w:fldChar w:fldCharType="separate"/>
      </w:r>
      <w:r w:rsidR="00CD0679">
        <w:rPr>
          <w:noProof/>
        </w:rPr>
        <w:t>4</w:t>
      </w:r>
      <w:r w:rsidR="008358B0">
        <w:fldChar w:fldCharType="end"/>
      </w:r>
      <w:r w:rsidR="008358B0">
        <w:noBreakHyphen/>
      </w:r>
      <w:r w:rsidR="008358B0">
        <w:fldChar w:fldCharType="begin"/>
      </w:r>
      <w:r w:rsidR="008358B0">
        <w:instrText xml:space="preserve"> SEQ Table \* ARABIC \s 1 </w:instrText>
      </w:r>
      <w:r w:rsidR="008358B0">
        <w:fldChar w:fldCharType="separate"/>
      </w:r>
      <w:r w:rsidR="00CD0679">
        <w:rPr>
          <w:noProof/>
        </w:rPr>
        <w:t>3</w:t>
      </w:r>
      <w:r w:rsidR="008358B0">
        <w:fldChar w:fldCharType="end"/>
      </w:r>
      <w:bookmarkEnd w:id="234"/>
      <w:r>
        <w:t xml:space="preserve"> Description of the benefits for </w:t>
      </w:r>
      <w:r w:rsidR="00AF04BF">
        <w:t xml:space="preserve">phase out </w:t>
      </w:r>
      <w:r>
        <w:t>options</w:t>
      </w:r>
    </w:p>
    <w:tbl>
      <w:tblPr>
        <w:tblStyle w:val="Deloittetable12"/>
        <w:tblW w:w="8978" w:type="dxa"/>
        <w:tblLook w:val="04A0" w:firstRow="1" w:lastRow="0" w:firstColumn="1" w:lastColumn="0" w:noHBand="0" w:noVBand="1"/>
      </w:tblPr>
      <w:tblGrid>
        <w:gridCol w:w="2127"/>
        <w:gridCol w:w="1984"/>
        <w:gridCol w:w="4867"/>
      </w:tblGrid>
      <w:tr w:rsidR="00762C6C" w14:paraId="131C3A06" w14:textId="77777777" w:rsidTr="00E0167C">
        <w:trPr>
          <w:cnfStyle w:val="100000000000" w:firstRow="1" w:lastRow="0" w:firstColumn="0" w:lastColumn="0" w:oddVBand="0" w:evenVBand="0" w:oddHBand="0" w:evenHBand="0" w:firstRowFirstColumn="0" w:firstRowLastColumn="0" w:lastRowFirstColumn="0" w:lastRowLastColumn="0"/>
        </w:trPr>
        <w:tc>
          <w:tcPr>
            <w:tcW w:w="2127" w:type="dxa"/>
          </w:tcPr>
          <w:p w14:paraId="17160044" w14:textId="77777777" w:rsidR="00762C6C" w:rsidRPr="009C33A8" w:rsidRDefault="00762C6C" w:rsidP="00E0167C">
            <w:pPr>
              <w:rPr>
                <w:b/>
              </w:rPr>
            </w:pPr>
            <w:r>
              <w:rPr>
                <w:b/>
              </w:rPr>
              <w:t>Benefit</w:t>
            </w:r>
          </w:p>
        </w:tc>
        <w:tc>
          <w:tcPr>
            <w:tcW w:w="1984" w:type="dxa"/>
          </w:tcPr>
          <w:p w14:paraId="421501A0" w14:textId="77777777" w:rsidR="00762C6C" w:rsidRPr="009C33A8" w:rsidRDefault="00762C6C" w:rsidP="00E0167C">
            <w:pPr>
              <w:rPr>
                <w:b/>
              </w:rPr>
            </w:pPr>
            <w:r>
              <w:rPr>
                <w:b/>
              </w:rPr>
              <w:t>Benefit category</w:t>
            </w:r>
          </w:p>
        </w:tc>
        <w:tc>
          <w:tcPr>
            <w:tcW w:w="4867" w:type="dxa"/>
          </w:tcPr>
          <w:p w14:paraId="3AEC378F" w14:textId="77777777" w:rsidR="00762C6C" w:rsidRPr="009C33A8" w:rsidRDefault="00762C6C" w:rsidP="00E0167C">
            <w:pPr>
              <w:rPr>
                <w:b/>
              </w:rPr>
            </w:pPr>
            <w:r w:rsidRPr="009C33A8">
              <w:rPr>
                <w:b/>
              </w:rPr>
              <w:t>Description</w:t>
            </w:r>
          </w:p>
        </w:tc>
      </w:tr>
      <w:tr w:rsidR="00762C6C" w14:paraId="4003AD71" w14:textId="77777777" w:rsidTr="00E0167C">
        <w:tc>
          <w:tcPr>
            <w:tcW w:w="2127" w:type="dxa"/>
          </w:tcPr>
          <w:p w14:paraId="3CEAC030" w14:textId="77777777" w:rsidR="00762C6C" w:rsidRDefault="00762C6C" w:rsidP="00CC4A0B">
            <w:pPr>
              <w:spacing w:after="0"/>
            </w:pPr>
            <w:r>
              <w:t>Lives saved</w:t>
            </w:r>
          </w:p>
        </w:tc>
        <w:tc>
          <w:tcPr>
            <w:tcW w:w="1984" w:type="dxa"/>
          </w:tcPr>
          <w:p w14:paraId="14DBBA45" w14:textId="77777777" w:rsidR="00762C6C" w:rsidRDefault="00762C6C" w:rsidP="00CC4A0B">
            <w:pPr>
              <w:spacing w:after="0"/>
            </w:pPr>
            <w:r>
              <w:t xml:space="preserve">Safety benefit </w:t>
            </w:r>
          </w:p>
        </w:tc>
        <w:tc>
          <w:tcPr>
            <w:tcW w:w="4867" w:type="dxa"/>
          </w:tcPr>
          <w:p w14:paraId="4C85B1D2" w14:textId="77777777" w:rsidR="00762C6C" w:rsidRPr="00851A0F" w:rsidRDefault="00762C6C" w:rsidP="00CC4A0B">
            <w:pPr>
              <w:spacing w:after="0"/>
              <w:rPr>
                <w:szCs w:val="17"/>
              </w:rPr>
            </w:pPr>
            <w:r w:rsidRPr="00851A0F">
              <w:rPr>
                <w:szCs w:val="17"/>
              </w:rPr>
              <w:t xml:space="preserve">Benefits realised from avoided fatalities under each of the options. This is measured using </w:t>
            </w:r>
            <w:r w:rsidRPr="00253662">
              <w:rPr>
                <w:szCs w:val="17"/>
              </w:rPr>
              <w:t>the global burden of disease (GBD) methodology</w:t>
            </w:r>
            <w:r w:rsidRPr="00253662">
              <w:rPr>
                <w:szCs w:val="17"/>
                <w:vertAlign w:val="superscript"/>
              </w:rPr>
              <w:footnoteReference w:id="114"/>
            </w:r>
            <w:r w:rsidRPr="00253662">
              <w:rPr>
                <w:szCs w:val="17"/>
              </w:rPr>
              <w:t xml:space="preserve"> </w:t>
            </w:r>
            <w:r w:rsidRPr="00851A0F">
              <w:rPr>
                <w:szCs w:val="17"/>
              </w:rPr>
              <w:t>and Value of Statistical Life Year benchmark.</w:t>
            </w:r>
            <w:r w:rsidRPr="00851A0F">
              <w:rPr>
                <w:rStyle w:val="FootnoteReference"/>
                <w:szCs w:val="17"/>
              </w:rPr>
              <w:footnoteReference w:id="115"/>
            </w:r>
          </w:p>
        </w:tc>
      </w:tr>
      <w:tr w:rsidR="00762C6C" w14:paraId="56F02F1E" w14:textId="77777777" w:rsidTr="00E0167C">
        <w:tc>
          <w:tcPr>
            <w:tcW w:w="2127" w:type="dxa"/>
          </w:tcPr>
          <w:p w14:paraId="68218DF5" w14:textId="77777777" w:rsidR="00762C6C" w:rsidRDefault="00762C6C" w:rsidP="00CC4A0B">
            <w:pPr>
              <w:spacing w:after="0"/>
            </w:pPr>
            <w:r>
              <w:t>Avoided serious non-fatal illnesses</w:t>
            </w:r>
          </w:p>
        </w:tc>
        <w:tc>
          <w:tcPr>
            <w:tcW w:w="1984" w:type="dxa"/>
          </w:tcPr>
          <w:p w14:paraId="6A4FDBE6" w14:textId="77777777" w:rsidR="00762C6C" w:rsidRDefault="00762C6C" w:rsidP="00CC4A0B">
            <w:pPr>
              <w:spacing w:after="0"/>
            </w:pPr>
            <w:r>
              <w:t>Safety benefit</w:t>
            </w:r>
          </w:p>
        </w:tc>
        <w:tc>
          <w:tcPr>
            <w:tcW w:w="4867" w:type="dxa"/>
          </w:tcPr>
          <w:p w14:paraId="14B3F5FA" w14:textId="77777777" w:rsidR="00762C6C" w:rsidRPr="001463CC" w:rsidRDefault="00762C6C" w:rsidP="00CC4A0B">
            <w:pPr>
              <w:spacing w:after="0"/>
            </w:pPr>
            <w:r w:rsidRPr="001463CC">
              <w:t xml:space="preserve">Benefits realised from avoided life-threatening CO exposures that significantly reduce victims’ physical and mental health for an extended period of time. This is </w:t>
            </w:r>
            <w:r>
              <w:t>evaluated</w:t>
            </w:r>
            <w:r w:rsidRPr="001463CC">
              <w:t xml:space="preserve"> using </w:t>
            </w:r>
            <w:r w:rsidRPr="00054FE5">
              <w:t>the GBD methodology.</w:t>
            </w:r>
          </w:p>
        </w:tc>
      </w:tr>
      <w:tr w:rsidR="00762C6C" w14:paraId="3D5E2390" w14:textId="77777777" w:rsidTr="00E0167C">
        <w:tc>
          <w:tcPr>
            <w:tcW w:w="2127" w:type="dxa"/>
          </w:tcPr>
          <w:p w14:paraId="574C6DAF" w14:textId="77777777" w:rsidR="00762C6C" w:rsidRDefault="00762C6C" w:rsidP="00CC4A0B">
            <w:pPr>
              <w:spacing w:after="0"/>
            </w:pPr>
            <w:r>
              <w:t>Avoided low level illnesses</w:t>
            </w:r>
          </w:p>
        </w:tc>
        <w:tc>
          <w:tcPr>
            <w:tcW w:w="1984" w:type="dxa"/>
          </w:tcPr>
          <w:p w14:paraId="2A18BFF9" w14:textId="77777777" w:rsidR="00762C6C" w:rsidRDefault="00762C6C" w:rsidP="00CC4A0B">
            <w:pPr>
              <w:spacing w:after="0"/>
            </w:pPr>
            <w:r>
              <w:t>Safety benefit</w:t>
            </w:r>
          </w:p>
        </w:tc>
        <w:tc>
          <w:tcPr>
            <w:tcW w:w="4867" w:type="dxa"/>
          </w:tcPr>
          <w:p w14:paraId="12896E6E" w14:textId="77777777" w:rsidR="00762C6C" w:rsidRDefault="00762C6C" w:rsidP="00CC4A0B">
            <w:pPr>
              <w:spacing w:after="0"/>
            </w:pPr>
            <w:r>
              <w:t>Benefits realised from avoided minor CO exposures that reduce victims’ physical and mental health for a short period of time, with symptoms such as cold, headache and dizziness.</w:t>
            </w:r>
          </w:p>
        </w:tc>
      </w:tr>
      <w:tr w:rsidR="00762C6C" w:rsidRPr="00DE3BDE" w14:paraId="5B8BE6E9" w14:textId="77777777" w:rsidTr="00E0167C">
        <w:tc>
          <w:tcPr>
            <w:tcW w:w="2127" w:type="dxa"/>
          </w:tcPr>
          <w:p w14:paraId="5F872E97" w14:textId="77777777" w:rsidR="00762C6C" w:rsidRDefault="00762C6C" w:rsidP="00CC4A0B">
            <w:pPr>
              <w:spacing w:after="0"/>
            </w:pPr>
            <w:r>
              <w:t>Reduced household energy costs</w:t>
            </w:r>
          </w:p>
        </w:tc>
        <w:tc>
          <w:tcPr>
            <w:tcW w:w="1984" w:type="dxa"/>
          </w:tcPr>
          <w:p w14:paraId="60134A8B" w14:textId="77777777" w:rsidR="00762C6C" w:rsidRDefault="00762C6C" w:rsidP="00CC4A0B">
            <w:pPr>
              <w:spacing w:after="0"/>
            </w:pPr>
            <w:r>
              <w:t xml:space="preserve">Energy efficiency </w:t>
            </w:r>
            <w:r>
              <w:br/>
              <w:t xml:space="preserve">benefit </w:t>
            </w:r>
          </w:p>
        </w:tc>
        <w:tc>
          <w:tcPr>
            <w:tcW w:w="4867" w:type="dxa"/>
          </w:tcPr>
          <w:p w14:paraId="5F1FA1B8" w14:textId="68C156A0" w:rsidR="00762C6C" w:rsidRPr="00096B3A" w:rsidRDefault="00762C6C" w:rsidP="002B3156">
            <w:pPr>
              <w:spacing w:after="0"/>
            </w:pPr>
            <w:r w:rsidRPr="00DE3BDE">
              <w:t>Reduced household energy bills from Victorians transitioning away from OFGSHs towards more energy efficient heating appliances.</w:t>
            </w:r>
            <w:r w:rsidR="002B3156" w:rsidRPr="00DE3BDE">
              <w:t xml:space="preserve"> </w:t>
            </w:r>
            <w:r w:rsidR="00E031C7" w:rsidRPr="00DE3BDE">
              <w:t>A</w:t>
            </w:r>
            <w:r w:rsidR="002B3156" w:rsidRPr="00DE3BDE">
              <w:t xml:space="preserve">lternative heaters (room-sealed or reverse cycle) </w:t>
            </w:r>
            <w:r w:rsidR="002B3156" w:rsidRPr="00DE3BDE">
              <w:rPr>
                <w:rFonts w:eastAsia="Times New Roman"/>
              </w:rPr>
              <w:t>also allow for better weather sealing in the home which further reduce energy consumption and costs</w:t>
            </w:r>
            <w:r w:rsidR="00DE3BDE" w:rsidRPr="00DE3BDE">
              <w:rPr>
                <w:rFonts w:eastAsia="Times New Roman"/>
              </w:rPr>
              <w:t>, however this is not quantified.</w:t>
            </w:r>
          </w:p>
        </w:tc>
      </w:tr>
      <w:tr w:rsidR="00762C6C" w14:paraId="28B45EEB" w14:textId="77777777" w:rsidTr="00E0167C">
        <w:tc>
          <w:tcPr>
            <w:tcW w:w="2127" w:type="dxa"/>
          </w:tcPr>
          <w:p w14:paraId="21265509" w14:textId="77777777" w:rsidR="00762C6C" w:rsidRDefault="00762C6C" w:rsidP="002B3156">
            <w:pPr>
              <w:spacing w:after="0"/>
            </w:pPr>
            <w:r>
              <w:t>Reduced greenhouse gas emissions</w:t>
            </w:r>
          </w:p>
        </w:tc>
        <w:tc>
          <w:tcPr>
            <w:tcW w:w="1984" w:type="dxa"/>
          </w:tcPr>
          <w:p w14:paraId="5698EC52" w14:textId="77777777" w:rsidR="00762C6C" w:rsidRDefault="00762C6C" w:rsidP="002B3156">
            <w:pPr>
              <w:spacing w:after="0"/>
            </w:pPr>
            <w:r>
              <w:t xml:space="preserve">Energy efficiency </w:t>
            </w:r>
            <w:r>
              <w:br/>
              <w:t>benefit</w:t>
            </w:r>
          </w:p>
        </w:tc>
        <w:tc>
          <w:tcPr>
            <w:tcW w:w="4867" w:type="dxa"/>
          </w:tcPr>
          <w:p w14:paraId="43AEEC84" w14:textId="77777777" w:rsidR="00762C6C" w:rsidRPr="009C33A8" w:rsidRDefault="00762C6C" w:rsidP="002B3156">
            <w:pPr>
              <w:spacing w:after="0"/>
              <w:rPr>
                <w:highlight w:val="yellow"/>
              </w:rPr>
            </w:pPr>
            <w:r>
              <w:t>Reduced greenhouse gas (GHG) emissions from Victorians transitioning away from OFGSHs towards more energy efficient heating appliances.</w:t>
            </w:r>
          </w:p>
        </w:tc>
      </w:tr>
      <w:tr w:rsidR="00762C6C" w14:paraId="779E2CF6" w14:textId="77777777" w:rsidTr="00E0167C">
        <w:tc>
          <w:tcPr>
            <w:tcW w:w="2127" w:type="dxa"/>
          </w:tcPr>
          <w:p w14:paraId="2AAA247B" w14:textId="77777777" w:rsidR="00762C6C" w:rsidRDefault="00762C6C" w:rsidP="002B3156">
            <w:pPr>
              <w:spacing w:after="0"/>
            </w:pPr>
            <w:r>
              <w:t>Incremental profits to reverse cycle manufacturers</w:t>
            </w:r>
          </w:p>
        </w:tc>
        <w:tc>
          <w:tcPr>
            <w:tcW w:w="1984" w:type="dxa"/>
          </w:tcPr>
          <w:p w14:paraId="5C46449E" w14:textId="77777777" w:rsidR="00762C6C" w:rsidRDefault="00762C6C" w:rsidP="002B3156">
            <w:pPr>
              <w:spacing w:after="0"/>
            </w:pPr>
            <w:r>
              <w:t>Industry benefit</w:t>
            </w:r>
          </w:p>
        </w:tc>
        <w:tc>
          <w:tcPr>
            <w:tcW w:w="4867" w:type="dxa"/>
          </w:tcPr>
          <w:p w14:paraId="0EC35B9C" w14:textId="49394364" w:rsidR="00762C6C" w:rsidRPr="00B46D73" w:rsidRDefault="00762C6C" w:rsidP="002B3156">
            <w:pPr>
              <w:spacing w:after="0" w:line="240" w:lineRule="auto"/>
              <w:rPr>
                <w:rFonts w:ascii="Times New Roman" w:hAnsi="Times New Roman" w:cs="Times New Roman"/>
                <w:sz w:val="24"/>
                <w:szCs w:val="24"/>
                <w:lang w:eastAsia="en-AU"/>
              </w:rPr>
            </w:pPr>
            <w:r>
              <w:t xml:space="preserve">Additional profits earned by the reverse cycle industry as a result of consumers switching from OFGSHs to reverse cycle systems. A small number of </w:t>
            </w:r>
            <w:r w:rsidR="000932DA">
              <w:t xml:space="preserve">OFGSH </w:t>
            </w:r>
            <w:r>
              <w:t xml:space="preserve">manufacturers offer a diversified product range that includes reverse cycle air conditioners.  </w:t>
            </w:r>
          </w:p>
        </w:tc>
      </w:tr>
    </w:tbl>
    <w:p w14:paraId="587B04B1" w14:textId="77777777" w:rsidR="00D07BCF" w:rsidRDefault="00D07BCF" w:rsidP="00762C6C"/>
    <w:p w14:paraId="66536376" w14:textId="3401041F" w:rsidR="00762C6C" w:rsidRDefault="00762C6C" w:rsidP="005024F8">
      <w:pPr>
        <w:pStyle w:val="Heading3"/>
      </w:pPr>
      <w:r>
        <w:t>Breakeven analysis</w:t>
      </w:r>
      <w:r w:rsidR="007017C3">
        <w:t xml:space="preserve"> </w:t>
      </w:r>
      <w:r w:rsidR="004E7B7C">
        <w:t xml:space="preserve">for </w:t>
      </w:r>
      <w:r w:rsidR="008F3600">
        <w:t xml:space="preserve">phase out </w:t>
      </w:r>
      <w:r w:rsidR="004E7B7C">
        <w:t>options</w:t>
      </w:r>
    </w:p>
    <w:p w14:paraId="281B85C7" w14:textId="77777777" w:rsidR="00762C6C" w:rsidRDefault="00762C6C" w:rsidP="00762C6C">
      <w:r>
        <w:t>The break</w:t>
      </w:r>
      <w:r w:rsidRPr="00DE5392">
        <w:t xml:space="preserve">even point </w:t>
      </w:r>
      <w:r>
        <w:t xml:space="preserve">for each option </w:t>
      </w:r>
      <w:r w:rsidRPr="00DE5392">
        <w:t xml:space="preserve">expresses how many avoided deaths or </w:t>
      </w:r>
      <w:r>
        <w:t>illnesses</w:t>
      </w:r>
      <w:r w:rsidRPr="00DE5392">
        <w:t xml:space="preserve"> would be required to justify the cost of the proposal.</w:t>
      </w:r>
    </w:p>
    <w:p w14:paraId="42E7E9F3" w14:textId="77777777" w:rsidR="00762C6C" w:rsidRDefault="00762C6C" w:rsidP="00762C6C">
      <w:r>
        <w:t>It is important to note that a strong finding of this analysis is that benefits other than avoided deaths or illnesses are significant and have the potential to drive the results.</w:t>
      </w:r>
    </w:p>
    <w:p w14:paraId="63D0828F" w14:textId="37DB18DC" w:rsidR="00762C6C" w:rsidRPr="00D43677" w:rsidRDefault="00762C6C" w:rsidP="00496A96">
      <w:pPr>
        <w:pStyle w:val="Heading4"/>
      </w:pPr>
      <w:r w:rsidRPr="00D43677">
        <w:lastRenderedPageBreak/>
        <w:t xml:space="preserve">Option 1: </w:t>
      </w:r>
      <w:r w:rsidR="00496A96" w:rsidRPr="00496A96">
        <w:t>Restriction on future installations of OFGSHs</w:t>
      </w:r>
    </w:p>
    <w:p w14:paraId="49739D96" w14:textId="1FF0C9B6" w:rsidR="00016B2D" w:rsidRDefault="00016B2D" w:rsidP="00016B2D">
      <w:r>
        <w:t>The primary objective of the proposed Regulations is to save lives and avoid illnesses. Under Option 1 it is estimated that 0.06</w:t>
      </w:r>
      <w:r w:rsidRPr="00EB4788">
        <w:t xml:space="preserve"> deaths, </w:t>
      </w:r>
      <w:r>
        <w:t>0.13</w:t>
      </w:r>
      <w:r w:rsidRPr="00EB4788">
        <w:t xml:space="preserve"> serious illness and </w:t>
      </w:r>
      <w:r>
        <w:t>543</w:t>
      </w:r>
      <w:r w:rsidRPr="00EB4788">
        <w:t xml:space="preserve"> low level illnesses over 10 years</w:t>
      </w:r>
      <w:r>
        <w:t xml:space="preserve"> could be avoided</w:t>
      </w:r>
      <w:r w:rsidRPr="007658BE">
        <w:t xml:space="preserve">. </w:t>
      </w:r>
      <w:r>
        <w:t xml:space="preserve">This would result in estimated benefits of $4.1 million over 10 years, partially offsetting the cost of the option which is $6.1 million. In addition, there are significant </w:t>
      </w:r>
      <w:r w:rsidRPr="007D3AD8">
        <w:t xml:space="preserve">energy efficiency </w:t>
      </w:r>
      <w:r w:rsidRPr="00D7409C">
        <w:t xml:space="preserve">benefits. </w:t>
      </w:r>
      <w:r>
        <w:t xml:space="preserve">Specifically, </w:t>
      </w:r>
      <w:r w:rsidRPr="00062382">
        <w:t xml:space="preserve">under Option </w:t>
      </w:r>
      <w:r>
        <w:t>1</w:t>
      </w:r>
      <w:r w:rsidRPr="00062382">
        <w:t xml:space="preserve"> about $</w:t>
      </w:r>
      <w:r>
        <w:t>4</w:t>
      </w:r>
      <w:r w:rsidRPr="00062382">
        <w:t>.</w:t>
      </w:r>
      <w:r>
        <w:t>9</w:t>
      </w:r>
      <w:r w:rsidRPr="00062382">
        <w:t xml:space="preserve"> million </w:t>
      </w:r>
      <w:r>
        <w:t xml:space="preserve">of energy cost savings </w:t>
      </w:r>
      <w:r w:rsidRPr="00062382">
        <w:t xml:space="preserve">over 10 years </w:t>
      </w:r>
      <w:r>
        <w:t xml:space="preserve">are expected, </w:t>
      </w:r>
      <w:r w:rsidRPr="00062382">
        <w:t>while the avoided GHG emissions would amount to around $</w:t>
      </w:r>
      <w:r>
        <w:t>115</w:t>
      </w:r>
      <w:r w:rsidRPr="00062382">
        <w:t xml:space="preserve">,000. In addition, Option </w:t>
      </w:r>
      <w:r>
        <w:t>1</w:t>
      </w:r>
      <w:r w:rsidRPr="00062382">
        <w:t xml:space="preserve"> is expected to generate a benefit in additional profits for the reverse cycle industry of </w:t>
      </w:r>
      <w:r w:rsidR="00AA2C62">
        <w:t>slightly</w:t>
      </w:r>
      <w:r w:rsidRPr="00062382">
        <w:t xml:space="preserve"> less than $1.</w:t>
      </w:r>
      <w:r>
        <w:t>3</w:t>
      </w:r>
      <w:r w:rsidRPr="00062382">
        <w:t xml:space="preserve"> million. </w:t>
      </w:r>
      <w:r w:rsidRPr="00DA0E5F">
        <w:t xml:space="preserve">Together, these benefits are sufficient for Option </w:t>
      </w:r>
      <w:r w:rsidRPr="001A61E6">
        <w:t>1 to break even</w:t>
      </w:r>
      <w:r w:rsidRPr="00C15024">
        <w:t>, with total estimated costs o</w:t>
      </w:r>
      <w:r w:rsidRPr="007D3AD8">
        <w:t>f $</w:t>
      </w:r>
      <w:r w:rsidRPr="00096B3A">
        <w:t>6.1 million</w:t>
      </w:r>
      <w:r w:rsidRPr="002A7AC4">
        <w:t xml:space="preserve"> versus total estimated benefits of $</w:t>
      </w:r>
      <w:r w:rsidRPr="00096B3A">
        <w:t>10</w:t>
      </w:r>
      <w:r>
        <w:t>.3</w:t>
      </w:r>
      <w:r w:rsidRPr="00096B3A">
        <w:t xml:space="preserve"> million</w:t>
      </w:r>
      <w:r w:rsidRPr="004A7B83" w:rsidDel="00E07C2E">
        <w:t>.</w:t>
      </w:r>
    </w:p>
    <w:p w14:paraId="38C6B2F4" w14:textId="5EE16A47" w:rsidR="008D3101" w:rsidRPr="001954B3" w:rsidRDefault="008D3101" w:rsidP="00762C6C">
      <w:pPr>
        <w:rPr>
          <w:b/>
          <w:bCs/>
        </w:rPr>
      </w:pPr>
      <w:r w:rsidRPr="001954B3">
        <w:rPr>
          <w:b/>
          <w:bCs/>
        </w:rPr>
        <w:t>Avoided deaths and illnesses</w:t>
      </w:r>
    </w:p>
    <w:p w14:paraId="22FC7BFD" w14:textId="08B72134" w:rsidR="009D19EC" w:rsidRPr="001954B3" w:rsidRDefault="00762C6C" w:rsidP="0022068C">
      <w:pPr>
        <w:spacing w:after="120"/>
        <w:rPr>
          <w:i/>
          <w:iCs/>
        </w:rPr>
      </w:pPr>
      <w:r w:rsidRPr="001954B3">
        <w:rPr>
          <w:i/>
          <w:iCs/>
        </w:rPr>
        <w:t>Lives saved</w:t>
      </w:r>
    </w:p>
    <w:p w14:paraId="3379770B" w14:textId="27A5D2DC" w:rsidR="003179CD" w:rsidRPr="009D19EC" w:rsidRDefault="00762C6C" w:rsidP="001954B3">
      <w:r>
        <w:t xml:space="preserve">For statistical purposes the value of an avoided death is estimated in this report as $219,390 per year of life saved (see </w:t>
      </w:r>
      <w:r w:rsidR="00CD02E1" w:rsidRPr="009D19EC">
        <w:t xml:space="preserve">key assumptions in </w:t>
      </w:r>
      <w:r w:rsidR="0076156B">
        <w:t>S</w:t>
      </w:r>
      <w:r w:rsidR="00CD02E1" w:rsidRPr="009D19EC">
        <w:t xml:space="preserve">ection </w:t>
      </w:r>
      <w:r w:rsidR="0076156B">
        <w:fldChar w:fldCharType="begin"/>
      </w:r>
      <w:r w:rsidR="0076156B">
        <w:instrText xml:space="preserve"> REF _Ref55996349 \n \h </w:instrText>
      </w:r>
      <w:r w:rsidR="0076156B">
        <w:fldChar w:fldCharType="separate"/>
      </w:r>
      <w:r w:rsidR="00CD0679">
        <w:t>4.2.6</w:t>
      </w:r>
      <w:r w:rsidR="0076156B">
        <w:fldChar w:fldCharType="end"/>
      </w:r>
      <w:r w:rsidR="0076156B">
        <w:t>).</w:t>
      </w:r>
      <w:r w:rsidRPr="009D19EC">
        <w:t xml:space="preserve"> Over the past decade, there have been two fatal incidents of CO exposure caused by OFGSHs in Victoria. These two incidents have resulted in the death of three Victorian residents. One of these incidents led to the deaths of two young boys. Their mother was also hospitalised and experiences ongoing health problems after she was also exposed to dangerous concentrations of CO. The second incident caused the death of an </w:t>
      </w:r>
      <w:r w:rsidR="00076DDD">
        <w:t>older</w:t>
      </w:r>
      <w:r w:rsidRPr="009D19EC">
        <w:t xml:space="preserve"> woman who lived alone.</w:t>
      </w:r>
      <w:r w:rsidR="006D1BE3" w:rsidRPr="009D19EC">
        <w:t xml:space="preserve"> Both of these </w:t>
      </w:r>
      <w:r w:rsidR="001C3089" w:rsidRPr="009D19EC">
        <w:t xml:space="preserve">incidents were discussed extensively in </w:t>
      </w:r>
      <w:r w:rsidR="00367E13" w:rsidRPr="009D19EC">
        <w:t>chapters 1 and 2.</w:t>
      </w:r>
      <w:r w:rsidRPr="009D19EC">
        <w:t xml:space="preserve"> </w:t>
      </w:r>
      <w:r w:rsidR="002E7A55" w:rsidRPr="009D19EC">
        <w:t xml:space="preserve">Although the number of OFGSHs installed in Victorian buildings </w:t>
      </w:r>
      <w:r w:rsidR="00C01E4D">
        <w:t xml:space="preserve">(estimated </w:t>
      </w:r>
      <w:r w:rsidR="000D0B58">
        <w:t xml:space="preserve">to be approximately </w:t>
      </w:r>
      <w:r w:rsidR="000D0B58" w:rsidRPr="00D7409C">
        <w:t>287,000</w:t>
      </w:r>
      <w:r w:rsidR="000D0B58">
        <w:t xml:space="preserve"> at the end of 2020)</w:t>
      </w:r>
      <w:r w:rsidR="002E7A55" w:rsidRPr="009D19EC">
        <w:t xml:space="preserve"> has likely </w:t>
      </w:r>
      <w:r w:rsidR="00A15AA4" w:rsidRPr="001954B3">
        <w:t>declined</w:t>
      </w:r>
      <w:r w:rsidR="002E7A55" w:rsidRPr="009D19EC">
        <w:t xml:space="preserve"> </w:t>
      </w:r>
      <w:r w:rsidR="00FE7157" w:rsidRPr="009D19EC">
        <w:t xml:space="preserve">since the </w:t>
      </w:r>
      <w:r w:rsidR="00273B0B" w:rsidRPr="009D19EC">
        <w:t>fatalities</w:t>
      </w:r>
      <w:r w:rsidR="00CD739A" w:rsidRPr="009D19EC">
        <w:t xml:space="preserve"> </w:t>
      </w:r>
      <w:r w:rsidR="00FE7157" w:rsidRPr="009D19EC">
        <w:t>in 2010,</w:t>
      </w:r>
      <w:r w:rsidR="00CD2E83" w:rsidRPr="009D19EC">
        <w:t xml:space="preserve"> to reflect the extreme uncertainty surrounding the frequency of fatal incidents,</w:t>
      </w:r>
      <w:r w:rsidR="00FE7157" w:rsidRPr="009D19EC">
        <w:t xml:space="preserve"> </w:t>
      </w:r>
      <w:r w:rsidRPr="009D19EC">
        <w:t xml:space="preserve">the trajectory of two fatal incidents per decade </w:t>
      </w:r>
      <w:r w:rsidR="00FE7157" w:rsidRPr="009D19EC">
        <w:t xml:space="preserve">is assumed to </w:t>
      </w:r>
      <w:r w:rsidRPr="009D19EC">
        <w:t>continue into the first year of modelling (i.e. 0.2 fatal incidents are expected to occur in FY2021)</w:t>
      </w:r>
      <w:r w:rsidR="00FE7157" w:rsidRPr="009D19EC">
        <w:t>. It is also noted that the likelihood</w:t>
      </w:r>
      <w:r w:rsidRPr="009D19EC">
        <w:t xml:space="preserve"> </w:t>
      </w:r>
      <w:r w:rsidR="006630E8" w:rsidRPr="009D19EC">
        <w:t xml:space="preserve">of </w:t>
      </w:r>
      <w:r w:rsidR="007C0008">
        <w:t>an</w:t>
      </w:r>
      <w:r w:rsidR="00B24159" w:rsidRPr="009D19EC">
        <w:t xml:space="preserve"> </w:t>
      </w:r>
      <w:r w:rsidR="000932DA">
        <w:t xml:space="preserve">OFGSH </w:t>
      </w:r>
      <w:r w:rsidR="00A850EB" w:rsidRPr="009D19EC">
        <w:t>leading to a</w:t>
      </w:r>
      <w:r w:rsidR="00B24159" w:rsidRPr="009D19EC">
        <w:t xml:space="preserve"> fatal</w:t>
      </w:r>
      <w:r w:rsidR="0011199B" w:rsidRPr="009D19EC">
        <w:t xml:space="preserve"> CO</w:t>
      </w:r>
      <w:r w:rsidR="00B24159" w:rsidRPr="009D19EC">
        <w:t xml:space="preserve"> exposure </w:t>
      </w:r>
      <w:r w:rsidR="0011199B" w:rsidRPr="009D19EC">
        <w:t>may increase</w:t>
      </w:r>
      <w:r w:rsidR="00B24159" w:rsidRPr="009D19EC">
        <w:t xml:space="preserve"> </w:t>
      </w:r>
      <w:r w:rsidR="00496A96" w:rsidRPr="001954B3">
        <w:t>over time</w:t>
      </w:r>
      <w:r w:rsidR="00B24159" w:rsidRPr="009D19EC">
        <w:t xml:space="preserve"> as </w:t>
      </w:r>
      <w:r w:rsidR="007C0008">
        <w:t>it</w:t>
      </w:r>
      <w:r w:rsidR="00BB0243" w:rsidRPr="009D19EC">
        <w:t xml:space="preserve"> </w:t>
      </w:r>
      <w:r w:rsidR="00A057CD" w:rsidRPr="001954B3">
        <w:t>experience</w:t>
      </w:r>
      <w:r w:rsidR="007C0008">
        <w:t>s</w:t>
      </w:r>
      <w:r w:rsidR="00CD739A" w:rsidRPr="009D19EC">
        <w:t xml:space="preserve"> wear and tear.</w:t>
      </w:r>
      <w:r w:rsidR="0039446B" w:rsidRPr="009D19EC">
        <w:t xml:space="preserve"> </w:t>
      </w:r>
      <w:r w:rsidRPr="00A7337D">
        <w:t>Each fatal incident is assumed to result in the death of 2.5 Victorian residents (i.e. 0.5 fatalities are expected to occur in FY2021</w:t>
      </w:r>
      <w:r w:rsidRPr="009D19EC">
        <w:t>), consistent with the average number of residents living in Victorian households in FY2019.</w:t>
      </w:r>
      <w:r w:rsidR="005B2ACE">
        <w:rPr>
          <w:rStyle w:val="FootnoteReference"/>
        </w:rPr>
        <w:footnoteReference w:id="116"/>
      </w:r>
      <w:r w:rsidRPr="009D19EC">
        <w:t xml:space="preserve"> This estimate can be expressed in per heater terms as 1.74x10</w:t>
      </w:r>
      <w:r w:rsidRPr="009D19EC">
        <w:rPr>
          <w:vertAlign w:val="superscript"/>
        </w:rPr>
        <w:t>-6</w:t>
      </w:r>
      <w:r w:rsidRPr="009D19EC">
        <w:t xml:space="preserve"> fatalities per heater</w:t>
      </w:r>
      <w:r w:rsidR="00C0564C" w:rsidRPr="009D19EC">
        <w:t xml:space="preserve"> </w:t>
      </w:r>
      <w:r w:rsidR="00D12350" w:rsidRPr="009D19EC">
        <w:t>per year</w:t>
      </w:r>
      <w:r w:rsidRPr="009D19EC">
        <w:t>.</w:t>
      </w:r>
      <w:r w:rsidR="00EC1B5F">
        <w:rPr>
          <w:rStyle w:val="FootnoteReference"/>
        </w:rPr>
        <w:footnoteReference w:id="117"/>
      </w:r>
      <w:r w:rsidRPr="009D19EC">
        <w:t xml:space="preserve"> This per heater fatality ratio is assumed to stay constant into the future, with the expected number of fatal CO exposures caused by OFGSHs declining in line with the stock of </w:t>
      </w:r>
      <w:r w:rsidR="000207F0">
        <w:t xml:space="preserve">new or replacement </w:t>
      </w:r>
      <w:r w:rsidRPr="009D19EC">
        <w:t xml:space="preserve">OFGSHs in Victorian buildings. The stock of </w:t>
      </w:r>
      <w:r w:rsidR="00DD6EFC">
        <w:t xml:space="preserve">new </w:t>
      </w:r>
      <w:r w:rsidRPr="009D19EC">
        <w:t xml:space="preserve">OFGSHs in Victoria is expected to be approximately </w:t>
      </w:r>
      <w:r w:rsidR="00F64D4F" w:rsidRPr="00A7337D">
        <w:t>3,800</w:t>
      </w:r>
      <w:r w:rsidRPr="009D19EC">
        <w:t xml:space="preserve"> units lower by the end of the modelling period </w:t>
      </w:r>
      <w:r w:rsidR="00A954AF">
        <w:t xml:space="preserve">(to 2030) </w:t>
      </w:r>
      <w:r w:rsidRPr="009D19EC">
        <w:t xml:space="preserve">under Option 1, as compared to the Base Case. As a result, it is expected that a </w:t>
      </w:r>
      <w:r w:rsidR="00E0655F">
        <w:t>restriction</w:t>
      </w:r>
      <w:r w:rsidRPr="009D19EC">
        <w:t xml:space="preserve"> on </w:t>
      </w:r>
      <w:r w:rsidR="00D33D87" w:rsidRPr="009D19EC">
        <w:t>future</w:t>
      </w:r>
      <w:r w:rsidRPr="009D19EC">
        <w:t xml:space="preserve"> installations would avoid 0.0</w:t>
      </w:r>
      <w:r w:rsidR="000A1BD3">
        <w:t>6</w:t>
      </w:r>
      <w:r w:rsidRPr="009D19EC">
        <w:t xml:space="preserve"> CO related fatalities caused by OFGSHs in Victoria over 10 years. </w:t>
      </w:r>
    </w:p>
    <w:p w14:paraId="789D478B" w14:textId="5E022552" w:rsidR="009D19EC" w:rsidRPr="001954B3" w:rsidRDefault="00762C6C" w:rsidP="001954B3">
      <w:pPr>
        <w:spacing w:before="120" w:after="0"/>
        <w:rPr>
          <w:i/>
          <w:iCs/>
        </w:rPr>
      </w:pPr>
      <w:r w:rsidRPr="001954B3">
        <w:rPr>
          <w:i/>
          <w:iCs/>
        </w:rPr>
        <w:t>Avoided serious non-fatal illnesses</w:t>
      </w:r>
    </w:p>
    <w:p w14:paraId="616882F4" w14:textId="2B5DAD6C" w:rsidR="00762C6C" w:rsidRPr="001954B3" w:rsidRDefault="00BB5B29" w:rsidP="001954B3">
      <w:pPr>
        <w:spacing w:before="120" w:after="0"/>
      </w:pPr>
      <w:r w:rsidRPr="009D19EC">
        <w:t>For statistical purposes</w:t>
      </w:r>
      <w:r w:rsidR="00AC168C" w:rsidRPr="009D19EC">
        <w:t>,</w:t>
      </w:r>
      <w:r w:rsidRPr="009D19EC">
        <w:t xml:space="preserve"> the value of a</w:t>
      </w:r>
      <w:r w:rsidR="00904B08" w:rsidRPr="009D19EC">
        <w:t xml:space="preserve"> single</w:t>
      </w:r>
      <w:r w:rsidRPr="009D19EC">
        <w:t xml:space="preserve"> avoided </w:t>
      </w:r>
      <w:r w:rsidR="00904B08" w:rsidRPr="009D19EC">
        <w:t xml:space="preserve">serious </w:t>
      </w:r>
      <w:r w:rsidRPr="009D19EC">
        <w:t>non</w:t>
      </w:r>
      <w:r w:rsidR="00904B08" w:rsidRPr="009D19EC">
        <w:t>-fatal</w:t>
      </w:r>
      <w:r w:rsidRPr="009D19EC">
        <w:t xml:space="preserve"> </w:t>
      </w:r>
      <w:r w:rsidR="00904B08" w:rsidRPr="009D19EC">
        <w:t xml:space="preserve">CO exposure </w:t>
      </w:r>
      <w:r w:rsidRPr="009D19EC">
        <w:t xml:space="preserve">is estimated </w:t>
      </w:r>
      <w:r w:rsidR="00AC168C" w:rsidRPr="009D19EC">
        <w:t>to be</w:t>
      </w:r>
      <w:r w:rsidRPr="009D19EC">
        <w:t xml:space="preserve"> $</w:t>
      </w:r>
      <w:r w:rsidR="00AC168C" w:rsidRPr="009D19EC">
        <w:t>1,282</w:t>
      </w:r>
      <w:r w:rsidR="00B936F8" w:rsidRPr="009D19EC">
        <w:t xml:space="preserve">,067 </w:t>
      </w:r>
      <w:r w:rsidRPr="009D19EC">
        <w:t>(</w:t>
      </w:r>
      <w:r w:rsidR="00B936F8" w:rsidRPr="009D19EC">
        <w:t>based on</w:t>
      </w:r>
      <w:r w:rsidRPr="009D19EC">
        <w:t xml:space="preserve"> key assumptions in section </w:t>
      </w:r>
      <w:r w:rsidR="00C608E9">
        <w:t>4</w:t>
      </w:r>
      <w:r w:rsidRPr="009D19EC">
        <w:t>.2.</w:t>
      </w:r>
      <w:r w:rsidR="00A24C70">
        <w:t>6</w:t>
      </w:r>
      <w:r w:rsidRPr="009D19EC">
        <w:t xml:space="preserve">). </w:t>
      </w:r>
      <w:r w:rsidR="00762C6C" w:rsidRPr="009D19EC">
        <w:t xml:space="preserve">Data provided by ESV shows that there were </w:t>
      </w:r>
      <w:r w:rsidR="004C2C73">
        <w:t xml:space="preserve">eight </w:t>
      </w:r>
      <w:r w:rsidR="00762C6C" w:rsidRPr="00A7337D">
        <w:t>serious non-fatal CO exposures caused by OFGSHs in the 8 years between 2010-11 and 2018-19.</w:t>
      </w:r>
      <w:r w:rsidR="00762C6C" w:rsidRPr="009D19EC">
        <w:t xml:space="preserve"> </w:t>
      </w:r>
      <w:r w:rsidR="006B6CE4" w:rsidRPr="001954B3">
        <w:t xml:space="preserve">Although the number of </w:t>
      </w:r>
      <w:r w:rsidR="004C2C73">
        <w:t>new or replacement</w:t>
      </w:r>
      <w:r w:rsidR="006B6CE4" w:rsidRPr="001954B3">
        <w:t xml:space="preserve"> OFGSHs installed in Victorian buildings has likely </w:t>
      </w:r>
      <w:r w:rsidR="00CD3E86" w:rsidRPr="001954B3">
        <w:t>declined</w:t>
      </w:r>
      <w:r w:rsidR="006B6CE4" w:rsidRPr="001954B3">
        <w:t xml:space="preserve"> since the serious non-fatal exposure in 2010, to reflect the extreme uncertainty surrounding the frequency of fatal incidents,</w:t>
      </w:r>
      <w:r w:rsidR="00984846" w:rsidRPr="009D19EC">
        <w:t xml:space="preserve"> t</w:t>
      </w:r>
      <w:r w:rsidR="00762C6C" w:rsidRPr="009D19EC">
        <w:t xml:space="preserve">his rate of serious non-fatal exposures is expected to continue into the first year of modelling, with one serious exposure assumed to occur </w:t>
      </w:r>
      <w:r w:rsidR="002C4F48" w:rsidRPr="009D19EC">
        <w:t xml:space="preserve">in the first </w:t>
      </w:r>
      <w:r w:rsidR="00762C6C" w:rsidRPr="009D19EC">
        <w:t>year. Expressed in per heater terms, this estimate is equivalent to 3.49x10</w:t>
      </w:r>
      <w:r w:rsidR="00762C6C" w:rsidRPr="009D19EC">
        <w:rPr>
          <w:vertAlign w:val="superscript"/>
        </w:rPr>
        <w:t>-6</w:t>
      </w:r>
      <w:r w:rsidR="00762C6C" w:rsidRPr="009D19EC">
        <w:t xml:space="preserve"> serious non-fatal exposures per heater annually. Serious non-fatal CO exposures are assumed to result in symptoms resembling brain damage sequalae for a period of about 23 years. This is approximately </w:t>
      </w:r>
      <w:r w:rsidR="00762C6C" w:rsidRPr="009D19EC">
        <w:lastRenderedPageBreak/>
        <w:t>half of the remaining life expectancy for a median aged Victorian resident.</w:t>
      </w:r>
      <w:r w:rsidR="00954643" w:rsidRPr="009D19EC">
        <w:t xml:space="preserve"> </w:t>
      </w:r>
      <w:r w:rsidR="00762C6C" w:rsidRPr="009D19EC">
        <w:t xml:space="preserve">The rate at which these incidents occur is expected to decrease in line with reductions in the stock of </w:t>
      </w:r>
      <w:r w:rsidR="00877796">
        <w:t xml:space="preserve">new </w:t>
      </w:r>
      <w:r w:rsidR="00762C6C" w:rsidRPr="009D19EC">
        <w:t>OFGSHs over the modelling period</w:t>
      </w:r>
      <w:r w:rsidR="00877796">
        <w:t xml:space="preserve"> (to 2030)</w:t>
      </w:r>
      <w:r w:rsidR="00762C6C" w:rsidRPr="009D19EC">
        <w:t xml:space="preserve">. </w:t>
      </w:r>
      <w:bookmarkStart w:id="235" w:name="_Hlk34224646"/>
      <w:r w:rsidR="00762C6C" w:rsidRPr="009D19EC">
        <w:t xml:space="preserve">As the </w:t>
      </w:r>
      <w:r w:rsidR="00E0655F">
        <w:t>restriction</w:t>
      </w:r>
      <w:r w:rsidR="00762C6C" w:rsidRPr="009D19EC">
        <w:t xml:space="preserve"> will cause the heater stock to reduce at a faster rate than would otherwise be true under the Base Case</w:t>
      </w:r>
      <w:bookmarkEnd w:id="235"/>
      <w:r w:rsidR="00762C6C" w:rsidRPr="009D19EC">
        <w:t xml:space="preserve">, it is expected to reduce the number of serious non-fatal CO exposures </w:t>
      </w:r>
      <w:r w:rsidR="00762C6C" w:rsidRPr="008D3101">
        <w:t>caused by OFGSHs in Victoria by 0.1</w:t>
      </w:r>
      <w:r w:rsidR="00264827">
        <w:t>3</w:t>
      </w:r>
      <w:r w:rsidR="00762C6C" w:rsidRPr="008D3101">
        <w:t xml:space="preserve"> over 10 years.</w:t>
      </w:r>
    </w:p>
    <w:p w14:paraId="298E99F0" w14:textId="77777777" w:rsidR="009D19EC" w:rsidRPr="001954B3" w:rsidRDefault="00762C6C" w:rsidP="001954B3">
      <w:pPr>
        <w:spacing w:before="120" w:after="0"/>
        <w:rPr>
          <w:i/>
          <w:iCs/>
        </w:rPr>
      </w:pPr>
      <w:r w:rsidRPr="001954B3">
        <w:rPr>
          <w:i/>
          <w:iCs/>
        </w:rPr>
        <w:t>Avoided low level illnesses</w:t>
      </w:r>
    </w:p>
    <w:p w14:paraId="0174BA70" w14:textId="075B1C93" w:rsidR="00762C6C" w:rsidRPr="009D19EC" w:rsidRDefault="00BC21FA" w:rsidP="001954B3">
      <w:pPr>
        <w:spacing w:before="120"/>
      </w:pPr>
      <w:r w:rsidRPr="001954B3">
        <w:t xml:space="preserve">For statistical purposes, the value of a single avoided </w:t>
      </w:r>
      <w:r w:rsidR="009C70F3" w:rsidRPr="001954B3">
        <w:t>low-</w:t>
      </w:r>
      <w:r w:rsidRPr="001954B3">
        <w:t>level CO exposure is estimated to be $</w:t>
      </w:r>
      <w:r w:rsidR="00FA5BA0" w:rsidRPr="001954B3">
        <w:t xml:space="preserve">6,533 </w:t>
      </w:r>
      <w:r w:rsidRPr="001954B3">
        <w:t xml:space="preserve">(based on key assumptions in section </w:t>
      </w:r>
      <w:r w:rsidR="00C608E9">
        <w:t>4</w:t>
      </w:r>
      <w:r w:rsidRPr="001954B3">
        <w:t>.2.</w:t>
      </w:r>
      <w:r w:rsidR="00A24C70">
        <w:t>6</w:t>
      </w:r>
      <w:r w:rsidRPr="001954B3">
        <w:t>).</w:t>
      </w:r>
      <w:r w:rsidRPr="009D19EC">
        <w:t xml:space="preserve"> </w:t>
      </w:r>
      <w:r w:rsidR="00762C6C" w:rsidRPr="009D19EC">
        <w:t>There is no available data on the number or nature of low-level CO exposures caused by OFGSHs in Victoria. Anecdotal evidence, as discussed in the problem section indicates low level illnesses are significant – often mis-reported or mis-diagnosed because of the similarity of symptoms of CO poisoning to other illnesses such as headache, cold, cough, stomach upset. ESV audit data shows just over 11.2 per cent of households with OFGSH</w:t>
      </w:r>
      <w:r w:rsidR="006D4D62">
        <w:t>s</w:t>
      </w:r>
      <w:r w:rsidR="00762C6C" w:rsidRPr="009D19EC">
        <w:t xml:space="preserve"> tested in a non-random audit program (conducted following a serious non-fatal incident in August 2018) had OFGSH</w:t>
      </w:r>
      <w:r w:rsidR="00C21591">
        <w:t>s</w:t>
      </w:r>
      <w:r w:rsidR="00762C6C" w:rsidRPr="009D19EC">
        <w:t xml:space="preserve"> that had serious levels of CO spillage, and 60 per cent experienced a negative pressure environment (not directly hazardous by itself but extremely hazardous if a problem occurs with </w:t>
      </w:r>
      <w:r w:rsidR="00455C7A">
        <w:t xml:space="preserve">an operating </w:t>
      </w:r>
      <w:r w:rsidR="000932DA">
        <w:t xml:space="preserve">OFGSH </w:t>
      </w:r>
      <w:r w:rsidR="00762C6C" w:rsidRPr="009D19EC">
        <w:t xml:space="preserve">appliance which causes spillage). </w:t>
      </w:r>
      <w:r w:rsidR="00F23501" w:rsidRPr="009D19EC">
        <w:t xml:space="preserve">Assuming that the </w:t>
      </w:r>
      <w:r w:rsidR="00886D93" w:rsidRPr="001954B3">
        <w:t>population</w:t>
      </w:r>
      <w:r w:rsidR="00F23501" w:rsidRPr="009D19EC">
        <w:t xml:space="preserve"> rate of CO spillage is approximately half of that observed in the</w:t>
      </w:r>
      <w:r w:rsidR="00762C6C" w:rsidRPr="009D19EC">
        <w:t xml:space="preserve"> audit data, and </w:t>
      </w:r>
      <w:r w:rsidR="00F23501" w:rsidRPr="009D19EC">
        <w:t xml:space="preserve">that just over 10 per cent of heaters that cause spillage lead </w:t>
      </w:r>
      <w:r w:rsidR="005650C8" w:rsidRPr="009D19EC">
        <w:t>to low level illness</w:t>
      </w:r>
      <w:r w:rsidR="00762C6C" w:rsidRPr="009D19EC">
        <w:t xml:space="preserve">, it is estimated that there could be </w:t>
      </w:r>
      <w:r w:rsidR="00EF1397" w:rsidRPr="001954B3">
        <w:t xml:space="preserve">about </w:t>
      </w:r>
      <w:r w:rsidR="00762C6C" w:rsidRPr="009D19EC">
        <w:t>4,300 instances of low</w:t>
      </w:r>
      <w:r w:rsidR="0013189A">
        <w:t>-</w:t>
      </w:r>
      <w:r w:rsidR="00762C6C" w:rsidRPr="009D19EC">
        <w:t>level CO poisoning in the first year of the modelling period.</w:t>
      </w:r>
      <w:r w:rsidR="00653B3C">
        <w:t xml:space="preserve"> We consider these are conservative assumptions particularly given the potential selection bias in the non-random ESV audit data.</w:t>
      </w:r>
      <w:r w:rsidR="00762C6C" w:rsidRPr="009D19EC">
        <w:t xml:space="preserve"> This represents 0.6 per cent of Victorian OFGSHs causing CO spillage that leads to illness in an average of 2.5 residents per household.</w:t>
      </w:r>
      <w:r w:rsidR="00762C6C" w:rsidRPr="009D19EC">
        <w:rPr>
          <w:rStyle w:val="FootnoteReference"/>
          <w:rFonts w:eastAsiaTheme="majorEastAsia"/>
        </w:rPr>
        <w:footnoteReference w:id="118"/>
      </w:r>
      <w:r w:rsidR="00181124">
        <w:rPr>
          <w:vertAlign w:val="superscript"/>
        </w:rPr>
        <w:t>,</w:t>
      </w:r>
      <w:r w:rsidR="00762C6C" w:rsidRPr="009D19EC">
        <w:rPr>
          <w:rStyle w:val="FootnoteReference"/>
          <w:rFonts w:eastAsiaTheme="majorEastAsia"/>
        </w:rPr>
        <w:footnoteReference w:id="119"/>
      </w:r>
      <w:r w:rsidR="00762C6C" w:rsidRPr="009D19EC">
        <w:t xml:space="preserve"> As the </w:t>
      </w:r>
      <w:r w:rsidR="00E0655F">
        <w:t>restriction</w:t>
      </w:r>
      <w:r w:rsidR="00762C6C" w:rsidRPr="009D19EC">
        <w:t xml:space="preserve"> will result in the </w:t>
      </w:r>
      <w:r w:rsidR="00955081">
        <w:t xml:space="preserve">new </w:t>
      </w:r>
      <w:r w:rsidR="00762C6C" w:rsidRPr="009D19EC">
        <w:t xml:space="preserve">heater stock reducing, it is expected to reduce the number of low level non-fatal CO exposures caused by OFGSHs in Victoria by </w:t>
      </w:r>
      <w:r w:rsidR="00911079">
        <w:t>543</w:t>
      </w:r>
      <w:r w:rsidR="00762C6C" w:rsidRPr="009D19EC">
        <w:t xml:space="preserve"> over 10 years.</w:t>
      </w:r>
    </w:p>
    <w:p w14:paraId="70A1DF9D" w14:textId="58B5065D" w:rsidR="008D3101" w:rsidRPr="001954B3" w:rsidRDefault="008D3101" w:rsidP="001954B3">
      <w:pPr>
        <w:spacing w:after="0"/>
        <w:rPr>
          <w:b/>
          <w:bCs/>
        </w:rPr>
      </w:pPr>
      <w:r w:rsidRPr="001954B3">
        <w:rPr>
          <w:b/>
          <w:bCs/>
        </w:rPr>
        <w:t xml:space="preserve">Energy efficiency </w:t>
      </w:r>
      <w:r w:rsidR="00227C90">
        <w:rPr>
          <w:b/>
          <w:bCs/>
        </w:rPr>
        <w:t>benefits</w:t>
      </w:r>
    </w:p>
    <w:p w14:paraId="2B41C847" w14:textId="78654A96" w:rsidR="008D3101" w:rsidRPr="004A7B83" w:rsidRDefault="008D3101" w:rsidP="008D3101">
      <w:r>
        <w:t xml:space="preserve">Option 1 is also expected to cause consumers to switch from OFGSHs to more energy efficient heating appliances, specifically either room sealed heaters or reverse cycle systems. This may be </w:t>
      </w:r>
      <w:r w:rsidRPr="004A7B83">
        <w:t>problematic for some consumers with limited short term cashflow, as the initial outlay required to purchase relatively energy efficient heating appliances can be greater than for OFGSHs. For example, it is estimated that purchasing and installing a 4.</w:t>
      </w:r>
      <w:r w:rsidR="00823974">
        <w:t>7</w:t>
      </w:r>
      <w:r w:rsidRPr="004A7B83">
        <w:t xml:space="preserve"> star room sealed gas space heater is, on average, approximately $</w:t>
      </w:r>
      <w:r w:rsidR="007E567A">
        <w:t>950</w:t>
      </w:r>
      <w:r w:rsidRPr="004A7B83">
        <w:t xml:space="preserve"> more expensive than a </w:t>
      </w:r>
      <w:r w:rsidR="000932DA">
        <w:t>OFGSHs.</w:t>
      </w:r>
      <w:r w:rsidRPr="004A7B83">
        <w:rPr>
          <w:rStyle w:val="FootnoteReference"/>
        </w:rPr>
        <w:footnoteReference w:id="120"/>
      </w:r>
      <w:r w:rsidRPr="004A7B83">
        <w:t xml:space="preserve"> Due to a lack of financial information regarding those likely to purchase OFGSHs, it is unclear how many consumers would experience these cashflow concerns. Over the course of a 10 year period, however, this initial increase in purchase cost is expected to be significantly outweighed by lower operating costs.</w:t>
      </w:r>
    </w:p>
    <w:p w14:paraId="15AD12FA" w14:textId="35EE8E5F" w:rsidR="008D3101" w:rsidRPr="004A7B83" w:rsidRDefault="008D3101" w:rsidP="008D3101">
      <w:r w:rsidRPr="004A7B83">
        <w:t>As consumers transition to more energy efficient heating appliances household energy expenditure is expected to fall significantly. Over the course of the 10 year modelling period, reduced household energy costs under Option 1 could amount to about $</w:t>
      </w:r>
      <w:r w:rsidR="00C83EA5">
        <w:t>4.9</w:t>
      </w:r>
      <w:r w:rsidRPr="004A7B83">
        <w:t xml:space="preserve"> million. In addition, Option 1 is expected to generate a benefit in additional profits for the reverse cycle industry of approximately $</w:t>
      </w:r>
      <w:r w:rsidR="00AC73D1">
        <w:t>1.3</w:t>
      </w:r>
      <w:r w:rsidRPr="004A7B83">
        <w:t xml:space="preserve"> million. </w:t>
      </w:r>
    </w:p>
    <w:p w14:paraId="072C8EC7" w14:textId="77777777" w:rsidR="009D19EC" w:rsidRPr="009D19EC" w:rsidRDefault="00762C6C" w:rsidP="009D19EC">
      <w:r w:rsidRPr="009D19EC">
        <w:rPr>
          <w:b/>
          <w:bCs/>
        </w:rPr>
        <w:t>Other significant non-quantified benefits</w:t>
      </w:r>
    </w:p>
    <w:p w14:paraId="498D0F82" w14:textId="5D0DEE4C" w:rsidR="00D85A89" w:rsidRPr="001954B3" w:rsidRDefault="00762C6C" w:rsidP="001954B3">
      <w:r w:rsidRPr="009D19EC">
        <w:t xml:space="preserve">The likelihood that the benefits will outweigh the costs is increased when taking account of the trauma and grief avoided from death and serious injuries, as well as other avoided costs such as hospital, police and coroner’s inquest costs, which are likely to be significant but are difficult to </w:t>
      </w:r>
      <w:r w:rsidRPr="009D19EC">
        <w:lastRenderedPageBreak/>
        <w:t xml:space="preserve">assign a monetary value. Interruption to life and </w:t>
      </w:r>
      <w:r w:rsidRPr="00227C90">
        <w:t xml:space="preserve">anxiety resulting from low level illnesses is also likely to occur, particularly if it is ongoing and the cause of illness is </w:t>
      </w:r>
      <w:r w:rsidR="00AC519B" w:rsidRPr="00227C90">
        <w:t>unknown but</w:t>
      </w:r>
      <w:r w:rsidRPr="00227C90">
        <w:t xml:space="preserve"> has not been measured quantitatively. It is noted that, using the </w:t>
      </w:r>
      <w:r w:rsidRPr="001954B3">
        <w:t>VLSY method, impacts such as trauma and grief are only included in the quantification insofar as people tend to consider those things when considering personal risk.</w:t>
      </w:r>
    </w:p>
    <w:p w14:paraId="4759BF41" w14:textId="627685BE" w:rsidR="004A7B83" w:rsidRPr="001954B3" w:rsidRDefault="004A7B83" w:rsidP="004A7B83">
      <w:r w:rsidRPr="001954B3">
        <w:t>Further benefits are also expected to arise from better room sealing generated by alternative heating appliances (e.g. room sealed gas space heaters and reverse cycle system), relative to OFGSHs, which can potentially improve health outcomes for residents. However, these benefits are difficult to quantify.</w:t>
      </w:r>
    </w:p>
    <w:p w14:paraId="1925B580" w14:textId="354C7A03" w:rsidR="00762C6C" w:rsidRPr="00D43677" w:rsidRDefault="00762C6C" w:rsidP="00022EE7">
      <w:pPr>
        <w:pStyle w:val="Heading4"/>
      </w:pPr>
      <w:r w:rsidRPr="00D43677">
        <w:t xml:space="preserve">Option 2: Phase out through a </w:t>
      </w:r>
      <w:r w:rsidR="00732AAE">
        <w:t xml:space="preserve">fast-tracked </w:t>
      </w:r>
      <w:r w:rsidR="00044155" w:rsidRPr="00D43677">
        <w:t>standards-based</w:t>
      </w:r>
      <w:r w:rsidRPr="00D43677">
        <w:t xml:space="preserve"> approach</w:t>
      </w:r>
    </w:p>
    <w:p w14:paraId="47A7F2EA" w14:textId="2D6CA930" w:rsidR="00CA3112" w:rsidRDefault="008C6DB8" w:rsidP="00CA3112">
      <w:r w:rsidRPr="00C92079">
        <w:t xml:space="preserve">For a </w:t>
      </w:r>
      <w:r w:rsidR="00A00559">
        <w:t>fast</w:t>
      </w:r>
      <w:r w:rsidR="00CD0180">
        <w:t>-</w:t>
      </w:r>
      <w:r w:rsidR="00A00559">
        <w:t xml:space="preserve">tracked </w:t>
      </w:r>
      <w:r w:rsidRPr="00C92079">
        <w:t>standards</w:t>
      </w:r>
      <w:r w:rsidR="00F756EB">
        <w:t>-</w:t>
      </w:r>
      <w:r w:rsidRPr="00C92079">
        <w:t>based approach</w:t>
      </w:r>
      <w:r w:rsidR="00BC60CA">
        <w:t xml:space="preserve"> it is estimated that there would be </w:t>
      </w:r>
      <w:r w:rsidR="00CA3112" w:rsidRPr="00C92079">
        <w:t>0.</w:t>
      </w:r>
      <w:r w:rsidR="00CA3112">
        <w:t>0</w:t>
      </w:r>
      <w:r w:rsidR="00921225">
        <w:t>5</w:t>
      </w:r>
      <w:r w:rsidR="00CA3112" w:rsidRPr="00EB4788">
        <w:t xml:space="preserve"> deaths, </w:t>
      </w:r>
      <w:r w:rsidR="00CA3112">
        <w:t>0.0</w:t>
      </w:r>
      <w:r w:rsidR="00921225">
        <w:t>9</w:t>
      </w:r>
      <w:r w:rsidR="00CA3112" w:rsidRPr="00EB4788">
        <w:t xml:space="preserve"> serious illness and </w:t>
      </w:r>
      <w:r w:rsidR="00921225">
        <w:t>403</w:t>
      </w:r>
      <w:r w:rsidR="00CA3112" w:rsidRPr="00EB4788">
        <w:t xml:space="preserve"> low level illnesses </w:t>
      </w:r>
      <w:r w:rsidR="00BC60CA">
        <w:t xml:space="preserve">avoided </w:t>
      </w:r>
      <w:r w:rsidR="00CA3112" w:rsidRPr="00EB4788">
        <w:t>over 10 years</w:t>
      </w:r>
      <w:r w:rsidR="00CA3112">
        <w:t>.</w:t>
      </w:r>
      <w:r w:rsidR="00AC16F6">
        <w:t xml:space="preserve"> </w:t>
      </w:r>
      <w:r w:rsidR="00E039A9">
        <w:t>This would result in estimated benefits of</w:t>
      </w:r>
      <w:r w:rsidR="00BB0893">
        <w:t xml:space="preserve"> </w:t>
      </w:r>
      <w:r w:rsidR="00FF57ED">
        <w:t>$</w:t>
      </w:r>
      <w:r w:rsidR="00DE386A">
        <w:t>3.0</w:t>
      </w:r>
      <w:r w:rsidR="00EF5E75">
        <w:t xml:space="preserve"> million </w:t>
      </w:r>
      <w:r w:rsidR="00FF57ED">
        <w:t>over 10 years</w:t>
      </w:r>
      <w:r w:rsidR="005B28D5">
        <w:t>, partially</w:t>
      </w:r>
      <w:r w:rsidR="009410CC">
        <w:t xml:space="preserve"> offsetting the cost of the option which </w:t>
      </w:r>
      <w:r w:rsidR="00165D68">
        <w:t xml:space="preserve">is </w:t>
      </w:r>
      <w:r w:rsidR="00B17BBF">
        <w:t>$4.9 million.</w:t>
      </w:r>
    </w:p>
    <w:p w14:paraId="56B09EA1" w14:textId="2A724028" w:rsidR="00762C6C" w:rsidRDefault="000972D2" w:rsidP="00762C6C">
      <w:r>
        <w:t>If</w:t>
      </w:r>
      <w:r w:rsidR="00762C6C" w:rsidRPr="0076199A">
        <w:t xml:space="preserve"> consumers switch from </w:t>
      </w:r>
      <w:r w:rsidR="003E11D3">
        <w:t>1.7-</w:t>
      </w:r>
      <w:r w:rsidR="00762C6C" w:rsidRPr="0076199A">
        <w:t xml:space="preserve">star energy efficient OFGSHs to </w:t>
      </w:r>
      <w:r w:rsidR="00140FB5">
        <w:t>an even mix of</w:t>
      </w:r>
      <w:r w:rsidR="00762C6C" w:rsidRPr="0076199A">
        <w:t xml:space="preserve"> </w:t>
      </w:r>
      <w:r w:rsidR="00140FB5">
        <w:t>4.7</w:t>
      </w:r>
      <w:r w:rsidR="00762C6C" w:rsidRPr="0076199A">
        <w:t xml:space="preserve">-star energy efficient room sealed heaters </w:t>
      </w:r>
      <w:r w:rsidR="00140FB5">
        <w:t xml:space="preserve">and 3.8-star </w:t>
      </w:r>
      <w:r w:rsidR="00762C6C" w:rsidRPr="0076199A">
        <w:t xml:space="preserve">reverse cycle systems, </w:t>
      </w:r>
      <w:r w:rsidR="00B43195">
        <w:t xml:space="preserve">reduced household energy costs under </w:t>
      </w:r>
      <w:r w:rsidR="00762C6C" w:rsidRPr="0076199A">
        <w:t>Option 2 could amount to about $</w:t>
      </w:r>
      <w:r w:rsidR="00D1432C">
        <w:t>3.6</w:t>
      </w:r>
      <w:r w:rsidR="00762C6C" w:rsidRPr="0076199A">
        <w:t xml:space="preserve"> million over 10 years</w:t>
      </w:r>
      <w:r w:rsidR="00922530">
        <w:t xml:space="preserve"> while the a</w:t>
      </w:r>
      <w:r w:rsidR="004E0F52">
        <w:t xml:space="preserve">voided GHG emissions </w:t>
      </w:r>
      <w:r w:rsidR="002549F5">
        <w:t xml:space="preserve">would amount to </w:t>
      </w:r>
      <w:r w:rsidR="00922530">
        <w:t xml:space="preserve">around $87,000. </w:t>
      </w:r>
      <w:r w:rsidR="00762C6C" w:rsidRPr="00653A69">
        <w:t xml:space="preserve">In addition, Option </w:t>
      </w:r>
      <w:r w:rsidR="00762C6C">
        <w:t>2</w:t>
      </w:r>
      <w:r w:rsidR="00762C6C" w:rsidRPr="00653A69">
        <w:t xml:space="preserve"> is expected to generate </w:t>
      </w:r>
      <w:r w:rsidR="00762C6C">
        <w:t xml:space="preserve">a benefit in </w:t>
      </w:r>
      <w:r w:rsidR="00762C6C" w:rsidRPr="00653A69">
        <w:t xml:space="preserve">additional profits for the reverse cycle industry of </w:t>
      </w:r>
      <w:r w:rsidR="006945BA">
        <w:t>just less than</w:t>
      </w:r>
      <w:r w:rsidR="006945BA" w:rsidRPr="00653A69" w:rsidDel="00D04ECF">
        <w:t xml:space="preserve"> </w:t>
      </w:r>
      <w:r w:rsidR="00762C6C" w:rsidRPr="00653A69">
        <w:t>$</w:t>
      </w:r>
      <w:r w:rsidR="00D1432C">
        <w:t>1.0</w:t>
      </w:r>
      <w:r w:rsidR="00762C6C" w:rsidRPr="00653A69">
        <w:t xml:space="preserve"> million. </w:t>
      </w:r>
    </w:p>
    <w:p w14:paraId="07EDFDAC" w14:textId="0AAE6200" w:rsidR="00FA2F25" w:rsidRDefault="00FA2F25" w:rsidP="00762C6C">
      <w:r w:rsidRPr="0072001E">
        <w:t>As a res</w:t>
      </w:r>
      <w:r w:rsidRPr="00DA0E5F">
        <w:t>ult, it seems reasonable to conclude that Option 2</w:t>
      </w:r>
      <w:r w:rsidRPr="001A61E6">
        <w:t xml:space="preserve"> would achiev</w:t>
      </w:r>
      <w:r w:rsidRPr="00C15024">
        <w:t>e</w:t>
      </w:r>
      <w:r w:rsidRPr="004D3353">
        <w:t xml:space="preserve"> the benefits required to break even</w:t>
      </w:r>
      <w:r w:rsidR="00EE31F0" w:rsidRPr="004D3353">
        <w:t xml:space="preserve">, with total estimated </w:t>
      </w:r>
      <w:r w:rsidR="002812C6" w:rsidRPr="00096B3A">
        <w:t>benefits of $7.</w:t>
      </w:r>
      <w:r w:rsidR="002812C6">
        <w:t>7</w:t>
      </w:r>
      <w:r w:rsidR="002812C6" w:rsidRPr="00096B3A">
        <w:t xml:space="preserve"> million</w:t>
      </w:r>
      <w:r w:rsidR="002812C6">
        <w:t xml:space="preserve"> expected to outweigh</w:t>
      </w:r>
      <w:r w:rsidR="00EE31F0" w:rsidRPr="004D3353">
        <w:t xml:space="preserve"> total estimated costs o</w:t>
      </w:r>
      <w:r w:rsidR="00EE31F0" w:rsidRPr="00096B3A">
        <w:t>f $</w:t>
      </w:r>
      <w:r w:rsidR="007D48ED" w:rsidRPr="00096B3A">
        <w:t>4.9 million</w:t>
      </w:r>
      <w:r w:rsidR="00EE31F0" w:rsidRPr="00096B3A">
        <w:t>.</w:t>
      </w:r>
    </w:p>
    <w:p w14:paraId="53B78EB9" w14:textId="243174FD" w:rsidR="00762C6C" w:rsidRPr="007B21FA" w:rsidRDefault="001473FF" w:rsidP="000276F0">
      <w:r w:rsidRPr="003C2EA2" w:rsidDel="006C4DBC">
        <w:t xml:space="preserve">It is noted that industry stakeholders have a preference for, and have been involved in, the development of the standards-based approach. A key driver for this </w:t>
      </w:r>
      <w:r w:rsidR="00F86311">
        <w:t xml:space="preserve">option </w:t>
      </w:r>
      <w:r w:rsidRPr="003C2EA2" w:rsidDel="006C4DBC">
        <w:t>is concern about the potential consequence of an</w:t>
      </w:r>
      <w:r w:rsidR="00F44C0A">
        <w:t>y</w:t>
      </w:r>
      <w:r w:rsidRPr="003C2EA2" w:rsidDel="006C4DBC">
        <w:t xml:space="preserve"> explicit ban on the </w:t>
      </w:r>
      <w:r w:rsidR="006F319A">
        <w:t xml:space="preserve">reputation of the </w:t>
      </w:r>
      <w:r w:rsidRPr="003C2EA2" w:rsidDel="006C4DBC">
        <w:t>gas industry more broadly</w:t>
      </w:r>
      <w:r w:rsidR="00DD0482">
        <w:t>, particularly</w:t>
      </w:r>
      <w:r w:rsidRPr="003C2EA2" w:rsidDel="006C4DBC">
        <w:t xml:space="preserve"> in terms of the potential impact on consumer preferences for gas versus other energy sources. </w:t>
      </w:r>
      <w:r w:rsidR="008519C6">
        <w:rPr>
          <w:rFonts w:eastAsia="Times New Roman"/>
        </w:rPr>
        <w:t xml:space="preserve"> </w:t>
      </w:r>
    </w:p>
    <w:p w14:paraId="7E2B845F" w14:textId="3C811221" w:rsidR="00762C6C" w:rsidRDefault="00762C6C" w:rsidP="005024F8">
      <w:pPr>
        <w:pStyle w:val="Heading3"/>
      </w:pPr>
      <w:r>
        <w:t>Breakeven analysis summary</w:t>
      </w:r>
    </w:p>
    <w:p w14:paraId="585D3752" w14:textId="233E7998" w:rsidR="00D2105B" w:rsidRDefault="007F1DD6" w:rsidP="000276F0">
      <w:r>
        <w:fldChar w:fldCharType="begin"/>
      </w:r>
      <w:r>
        <w:instrText xml:space="preserve"> REF _Ref56414824 \h </w:instrText>
      </w:r>
      <w:r>
        <w:fldChar w:fldCharType="separate"/>
      </w:r>
      <w:r w:rsidR="00CD0679">
        <w:t xml:space="preserve">Table </w:t>
      </w:r>
      <w:r w:rsidR="00CD0679">
        <w:rPr>
          <w:noProof/>
        </w:rPr>
        <w:t>4</w:t>
      </w:r>
      <w:r w:rsidR="00CD0679">
        <w:noBreakHyphen/>
      </w:r>
      <w:r w:rsidR="00CD0679">
        <w:rPr>
          <w:noProof/>
        </w:rPr>
        <w:t>4</w:t>
      </w:r>
      <w:r>
        <w:fldChar w:fldCharType="end"/>
      </w:r>
      <w:r>
        <w:t xml:space="preserve"> </w:t>
      </w:r>
      <w:r w:rsidR="00762C6C" w:rsidRPr="001E6629">
        <w:t xml:space="preserve">presents </w:t>
      </w:r>
      <w:r w:rsidR="00762C6C">
        <w:t>estimates of benefits</w:t>
      </w:r>
      <w:r w:rsidR="00762C6C" w:rsidRPr="001E6629">
        <w:t xml:space="preserve"> </w:t>
      </w:r>
      <w:r w:rsidR="00762C6C">
        <w:t>associated with each option, relative to the Base Case</w:t>
      </w:r>
      <w:r w:rsidR="00CA2EEA">
        <w:t xml:space="preserve"> illustrating that a</w:t>
      </w:r>
      <w:r w:rsidR="00D2105B">
        <w:t xml:space="preserve">ll phase out options are expected to breakeven </w:t>
      </w:r>
      <w:r w:rsidR="00763F21">
        <w:t xml:space="preserve">given </w:t>
      </w:r>
      <w:r w:rsidR="002A705C">
        <w:t>relevant</w:t>
      </w:r>
      <w:r w:rsidR="00763F21">
        <w:t xml:space="preserve"> </w:t>
      </w:r>
      <w:r w:rsidR="00D2105B">
        <w:t>cost</w:t>
      </w:r>
      <w:r w:rsidR="00A956DA">
        <w:t xml:space="preserve"> estimates</w:t>
      </w:r>
      <w:r w:rsidR="00D2105B">
        <w:t xml:space="preserve">. </w:t>
      </w:r>
    </w:p>
    <w:p w14:paraId="694403AB" w14:textId="38B955EB" w:rsidR="00D2105B" w:rsidRDefault="00D2105B" w:rsidP="00D2105B">
      <w:pPr>
        <w:spacing w:before="120" w:after="0" w:line="240" w:lineRule="auto"/>
      </w:pPr>
      <w:r>
        <w:t>Benefits from switching to more energy efficiency heating appliances are significant</w:t>
      </w:r>
      <w:r w:rsidR="00FE10FF">
        <w:t xml:space="preserve"> for all options</w:t>
      </w:r>
      <w:r>
        <w:t xml:space="preserve"> and </w:t>
      </w:r>
      <w:r w:rsidR="0099232D">
        <w:t xml:space="preserve">expected to </w:t>
      </w:r>
      <w:r>
        <w:t xml:space="preserve">achieve benefits almost as </w:t>
      </w:r>
      <w:r w:rsidR="0099232D">
        <w:t xml:space="preserve">great </w:t>
      </w:r>
      <w:r>
        <w:t xml:space="preserve">as the </w:t>
      </w:r>
      <w:r w:rsidR="0099232D">
        <w:t>total</w:t>
      </w:r>
      <w:r>
        <w:t xml:space="preserve"> costs of </w:t>
      </w:r>
      <w:r w:rsidR="0099232D">
        <w:t xml:space="preserve">each </w:t>
      </w:r>
      <w:r>
        <w:t>optio</w:t>
      </w:r>
      <w:r w:rsidR="0099232D">
        <w:t>n</w:t>
      </w:r>
      <w:r>
        <w:t xml:space="preserve">. These benefits </w:t>
      </w:r>
      <w:r w:rsidR="00770CD1">
        <w:t>are</w:t>
      </w:r>
      <w:r>
        <w:t xml:space="preserve"> nearly $</w:t>
      </w:r>
      <w:r w:rsidR="0099232D">
        <w:t xml:space="preserve">4.9 </w:t>
      </w:r>
      <w:r>
        <w:t>m</w:t>
      </w:r>
      <w:r w:rsidR="0099232D">
        <w:t>illion</w:t>
      </w:r>
      <w:r>
        <w:t xml:space="preserve"> for Option 1 and </w:t>
      </w:r>
      <w:r w:rsidR="00F5394B">
        <w:t>about</w:t>
      </w:r>
      <w:r>
        <w:t xml:space="preserve"> $</w:t>
      </w:r>
      <w:r w:rsidR="00F5394B">
        <w:t>3</w:t>
      </w:r>
      <w:r>
        <w:t>.</w:t>
      </w:r>
      <w:r w:rsidR="00F5394B">
        <w:t>6</w:t>
      </w:r>
      <w:r>
        <w:t xml:space="preserve"> million for Option 2.</w:t>
      </w:r>
      <w:r w:rsidR="00500922">
        <w:t xml:space="preserve"> Further, significant avoided health costs are expected for both options. These benefits are nearly $4.1 million for Option 1 and about $3 million for Option 2. Together, these benefits outweigh the estimated costs of $6.1m for Option 1 and $4.9m for Option 2.  </w:t>
      </w:r>
    </w:p>
    <w:p w14:paraId="4AE6BAB3" w14:textId="77777777" w:rsidR="00D2105B" w:rsidRDefault="00D2105B" w:rsidP="00D2105B">
      <w:pPr>
        <w:spacing w:before="120" w:after="0" w:line="240" w:lineRule="auto"/>
      </w:pPr>
      <w:r w:rsidRPr="00305656">
        <w:t>The likelihood that the benefits will outweigh the costs for all options is increased when taking account of the trauma and</w:t>
      </w:r>
      <w:r w:rsidRPr="008A63F6">
        <w:t xml:space="preserve"> grief avoided from death and serious injuries, as well as other avoided costs such as hospital, police and coroner’s inquest costs, which are likely to be significant but </w:t>
      </w:r>
      <w:r>
        <w:t>have not been</w:t>
      </w:r>
      <w:r w:rsidRPr="008A63F6">
        <w:t xml:space="preserve"> assigned a monetary value. Interruption to life and anxiety resulting from low level illnesses is also likely to occur, particularly if it is ongoing and the cause of illness is unknown, </w:t>
      </w:r>
      <w:r>
        <w:t>however</w:t>
      </w:r>
      <w:r w:rsidRPr="008A63F6">
        <w:t xml:space="preserve"> has </w:t>
      </w:r>
      <w:r>
        <w:t xml:space="preserve">also </w:t>
      </w:r>
      <w:r w:rsidRPr="008A63F6">
        <w:t xml:space="preserve">not been measured quantitatively. </w:t>
      </w:r>
    </w:p>
    <w:p w14:paraId="10953760" w14:textId="51ED4B5D" w:rsidR="00D2105B" w:rsidRDefault="00D2105B" w:rsidP="00D2105B">
      <w:pPr>
        <w:spacing w:before="120" w:after="0" w:line="240" w:lineRule="auto"/>
      </w:pPr>
      <w:r>
        <w:t xml:space="preserve">Results of sensitivity testing are provided in Appendix </w:t>
      </w:r>
      <w:r w:rsidR="0062129B">
        <w:t>E</w:t>
      </w:r>
      <w:r>
        <w:t>. Testing of key assumptions was found not to change the key findings of the analysis.</w:t>
      </w:r>
    </w:p>
    <w:p w14:paraId="17710661" w14:textId="660E77AD" w:rsidR="00B64E31" w:rsidRDefault="00B64E31" w:rsidP="00D2105B">
      <w:pPr>
        <w:spacing w:before="120" w:after="0" w:line="240" w:lineRule="auto"/>
      </w:pPr>
    </w:p>
    <w:p w14:paraId="541209C7" w14:textId="530E00A4" w:rsidR="00B64E31" w:rsidRDefault="00B64E31" w:rsidP="00D2105B">
      <w:pPr>
        <w:spacing w:before="120" w:after="0" w:line="240" w:lineRule="auto"/>
      </w:pPr>
    </w:p>
    <w:p w14:paraId="5B3B7C40" w14:textId="141A99F0" w:rsidR="00B64E31" w:rsidRDefault="00B64E31" w:rsidP="00D2105B">
      <w:pPr>
        <w:spacing w:before="120" w:after="0" w:line="240" w:lineRule="auto"/>
      </w:pPr>
    </w:p>
    <w:p w14:paraId="5B905B3C" w14:textId="77777777" w:rsidR="00B64E31" w:rsidRDefault="00B64E31" w:rsidP="00D2105B">
      <w:pPr>
        <w:spacing w:before="120" w:after="0" w:line="240" w:lineRule="auto"/>
      </w:pPr>
    </w:p>
    <w:p w14:paraId="1C98F707" w14:textId="5A384D0D" w:rsidR="00DD74A0" w:rsidRDefault="00DD74A0" w:rsidP="00DD74A0">
      <w:pPr>
        <w:pStyle w:val="Caption"/>
      </w:pPr>
      <w:bookmarkStart w:id="236" w:name="_Ref56414824"/>
      <w:r>
        <w:lastRenderedPageBreak/>
        <w:t xml:space="preserve">Table </w:t>
      </w:r>
      <w:r>
        <w:fldChar w:fldCharType="begin"/>
      </w:r>
      <w:r>
        <w:instrText xml:space="preserve"> STYLEREF 1 \s </w:instrText>
      </w:r>
      <w:r>
        <w:fldChar w:fldCharType="separate"/>
      </w:r>
      <w:r w:rsidR="00CD0679">
        <w:rPr>
          <w:noProof/>
        </w:rPr>
        <w:t>4</w:t>
      </w:r>
      <w:r>
        <w:fldChar w:fldCharType="end"/>
      </w:r>
      <w:r>
        <w:noBreakHyphen/>
      </w:r>
      <w:r>
        <w:fldChar w:fldCharType="begin"/>
      </w:r>
      <w:r>
        <w:instrText xml:space="preserve"> SEQ Table \* ARABIC \s 1 </w:instrText>
      </w:r>
      <w:r>
        <w:fldChar w:fldCharType="separate"/>
      </w:r>
      <w:r w:rsidR="00CD0679">
        <w:rPr>
          <w:noProof/>
        </w:rPr>
        <w:t>4</w:t>
      </w:r>
      <w:r>
        <w:fldChar w:fldCharType="end"/>
      </w:r>
      <w:bookmarkEnd w:id="236"/>
      <w:r>
        <w:t xml:space="preserve"> Benefits of phase out options, relative to the Base Case</w:t>
      </w:r>
      <w:r w:rsidR="00AA1596">
        <w:t>, over 10 years</w:t>
      </w:r>
    </w:p>
    <w:tbl>
      <w:tblPr>
        <w:tblStyle w:val="Deloittetable"/>
        <w:tblW w:w="5000" w:type="pct"/>
        <w:tblLayout w:type="fixed"/>
        <w:tblCellMar>
          <w:left w:w="57" w:type="dxa"/>
          <w:right w:w="57" w:type="dxa"/>
        </w:tblCellMar>
        <w:tblLook w:val="04A0" w:firstRow="1" w:lastRow="0" w:firstColumn="1" w:lastColumn="0" w:noHBand="0" w:noVBand="1"/>
      </w:tblPr>
      <w:tblGrid>
        <w:gridCol w:w="2256"/>
        <w:gridCol w:w="2256"/>
        <w:gridCol w:w="2257"/>
        <w:gridCol w:w="2257"/>
      </w:tblGrid>
      <w:tr w:rsidR="0050126C" w:rsidRPr="00D84C5C" w14:paraId="629DD58C" w14:textId="77777777" w:rsidTr="000276F0">
        <w:trPr>
          <w:cnfStyle w:val="100000000000" w:firstRow="1" w:lastRow="0" w:firstColumn="0" w:lastColumn="0" w:oddVBand="0" w:evenVBand="0" w:oddHBand="0" w:evenHBand="0" w:firstRowFirstColumn="0" w:firstRowLastColumn="0" w:lastRowFirstColumn="0" w:lastRowLastColumn="0"/>
          <w:trHeight w:val="687"/>
        </w:trPr>
        <w:tc>
          <w:tcPr>
            <w:tcW w:w="1250" w:type="pct"/>
            <w:hideMark/>
          </w:tcPr>
          <w:p w14:paraId="33498A4E" w14:textId="77777777" w:rsidR="00DD74A0" w:rsidRPr="00D84C5C" w:rsidRDefault="00DD74A0" w:rsidP="00BA44EB">
            <w:pPr>
              <w:spacing w:after="0" w:line="240" w:lineRule="auto"/>
              <w:rPr>
                <w:rFonts w:eastAsia="Times New Roman" w:cs="Times New Roman"/>
                <w:color w:val="000000"/>
                <w:lang w:eastAsia="en-AU"/>
              </w:rPr>
            </w:pPr>
            <w:r w:rsidRPr="00D84C5C">
              <w:rPr>
                <w:rFonts w:eastAsia="Times New Roman" w:cs="Times New Roman"/>
                <w:color w:val="000000"/>
                <w:lang w:eastAsia="en-AU"/>
              </w:rPr>
              <w:t> </w:t>
            </w:r>
          </w:p>
        </w:tc>
        <w:tc>
          <w:tcPr>
            <w:tcW w:w="1250" w:type="pct"/>
          </w:tcPr>
          <w:p w14:paraId="274BA61C" w14:textId="77777777" w:rsidR="00DD74A0" w:rsidRPr="00D84C5C" w:rsidRDefault="00DD74A0" w:rsidP="005A5009">
            <w:pPr>
              <w:spacing w:after="0" w:line="240" w:lineRule="auto"/>
              <w:jc w:val="center"/>
              <w:rPr>
                <w:rFonts w:eastAsia="Times New Roman" w:cs="Times New Roman"/>
                <w:b/>
                <w:bCs/>
                <w:color w:val="000000"/>
                <w:lang w:eastAsia="en-AU"/>
              </w:rPr>
            </w:pPr>
            <w:r>
              <w:rPr>
                <w:rFonts w:eastAsia="Times New Roman" w:cs="Times New Roman"/>
                <w:b/>
                <w:bCs/>
                <w:color w:val="000000"/>
                <w:lang w:eastAsia="en-AU"/>
              </w:rPr>
              <w:t>Base Case</w:t>
            </w:r>
          </w:p>
        </w:tc>
        <w:tc>
          <w:tcPr>
            <w:tcW w:w="1250" w:type="pct"/>
            <w:hideMark/>
          </w:tcPr>
          <w:p w14:paraId="1C30367F" w14:textId="3F28268C" w:rsidR="00DD74A0" w:rsidRPr="00D84C5C" w:rsidRDefault="00DD74A0" w:rsidP="00CF59EF">
            <w:pPr>
              <w:spacing w:after="0" w:line="240" w:lineRule="auto"/>
              <w:jc w:val="center"/>
              <w:rPr>
                <w:rFonts w:eastAsia="Times New Roman" w:cs="Times New Roman"/>
                <w:b/>
                <w:bCs/>
                <w:color w:val="000000"/>
                <w:lang w:eastAsia="en-AU"/>
              </w:rPr>
            </w:pPr>
            <w:r>
              <w:rPr>
                <w:rFonts w:eastAsia="Times New Roman" w:cs="Times New Roman"/>
                <w:b/>
                <w:bCs/>
                <w:color w:val="000000"/>
                <w:lang w:eastAsia="en-AU"/>
              </w:rPr>
              <w:t xml:space="preserve">Option 1 </w:t>
            </w:r>
            <w:r w:rsidR="00AE2DC8">
              <w:rPr>
                <w:rFonts w:eastAsia="Times New Roman" w:cs="Times New Roman"/>
                <w:b/>
                <w:bCs/>
                <w:color w:val="000000"/>
                <w:lang w:eastAsia="en-AU"/>
              </w:rPr>
              <w:t>Restriction</w:t>
            </w:r>
            <w:r w:rsidR="00AE2DC8" w:rsidRPr="00D84C5C">
              <w:rPr>
                <w:rFonts w:eastAsia="Times New Roman" w:cs="Times New Roman"/>
                <w:b/>
                <w:bCs/>
                <w:color w:val="000000"/>
                <w:lang w:eastAsia="en-AU"/>
              </w:rPr>
              <w:t xml:space="preserve"> </w:t>
            </w:r>
            <w:r>
              <w:rPr>
                <w:rFonts w:eastAsia="Times New Roman" w:cs="Times New Roman"/>
                <w:b/>
                <w:bCs/>
                <w:color w:val="000000"/>
                <w:lang w:eastAsia="en-AU"/>
              </w:rPr>
              <w:br/>
            </w:r>
            <w:r w:rsidRPr="00D84C5C">
              <w:rPr>
                <w:rFonts w:eastAsia="Times New Roman" w:cs="Times New Roman"/>
                <w:b/>
                <w:bCs/>
                <w:color w:val="000000"/>
                <w:lang w:eastAsia="en-AU"/>
              </w:rPr>
              <w:t>on all</w:t>
            </w:r>
            <w:r>
              <w:rPr>
                <w:rFonts w:eastAsia="Times New Roman" w:cs="Times New Roman"/>
                <w:b/>
                <w:bCs/>
                <w:color w:val="000000"/>
                <w:lang w:eastAsia="en-AU"/>
              </w:rPr>
              <w:t xml:space="preserve"> future </w:t>
            </w:r>
            <w:r w:rsidRPr="00D84C5C">
              <w:rPr>
                <w:rFonts w:eastAsia="Times New Roman" w:cs="Times New Roman"/>
                <w:b/>
                <w:bCs/>
                <w:color w:val="000000"/>
                <w:lang w:eastAsia="en-AU"/>
              </w:rPr>
              <w:t>installations</w:t>
            </w:r>
          </w:p>
        </w:tc>
        <w:tc>
          <w:tcPr>
            <w:tcW w:w="1250" w:type="pct"/>
            <w:hideMark/>
          </w:tcPr>
          <w:p w14:paraId="00A77411" w14:textId="7E229646" w:rsidR="00DD74A0" w:rsidRPr="00D84C5C" w:rsidRDefault="00DD74A0" w:rsidP="00B02790">
            <w:pPr>
              <w:spacing w:after="0" w:line="240" w:lineRule="auto"/>
              <w:jc w:val="center"/>
              <w:rPr>
                <w:rFonts w:eastAsia="Times New Roman" w:cs="Times New Roman"/>
                <w:b/>
                <w:bCs/>
                <w:color w:val="000000"/>
                <w:lang w:eastAsia="en-AU"/>
              </w:rPr>
            </w:pPr>
            <w:r>
              <w:rPr>
                <w:rFonts w:eastAsia="Times New Roman" w:cs="Times New Roman"/>
                <w:b/>
                <w:bCs/>
                <w:color w:val="000000"/>
                <w:lang w:eastAsia="en-AU"/>
              </w:rPr>
              <w:t xml:space="preserve">Option 2 </w:t>
            </w:r>
            <w:r w:rsidRPr="00D84C5C">
              <w:rPr>
                <w:rFonts w:eastAsia="Times New Roman" w:cs="Times New Roman"/>
                <w:b/>
                <w:bCs/>
                <w:color w:val="000000"/>
                <w:lang w:eastAsia="en-AU"/>
              </w:rPr>
              <w:t xml:space="preserve">Phase out through a </w:t>
            </w:r>
            <w:r w:rsidR="007F273C">
              <w:rPr>
                <w:rFonts w:eastAsia="Times New Roman" w:cs="Times New Roman"/>
                <w:b/>
                <w:bCs/>
                <w:color w:val="000000"/>
                <w:lang w:eastAsia="en-AU"/>
              </w:rPr>
              <w:t xml:space="preserve">fast-tracked </w:t>
            </w:r>
            <w:r w:rsidRPr="00D84C5C">
              <w:rPr>
                <w:rFonts w:eastAsia="Times New Roman" w:cs="Times New Roman"/>
                <w:b/>
                <w:bCs/>
                <w:color w:val="000000"/>
                <w:lang w:eastAsia="en-AU"/>
              </w:rPr>
              <w:t>standards</w:t>
            </w:r>
            <w:r w:rsidR="00F756EB">
              <w:rPr>
                <w:rFonts w:eastAsia="Times New Roman" w:cs="Times New Roman"/>
                <w:b/>
                <w:bCs/>
                <w:color w:val="000000"/>
                <w:lang w:eastAsia="en-AU"/>
              </w:rPr>
              <w:t>-</w:t>
            </w:r>
            <w:r w:rsidRPr="00D84C5C">
              <w:rPr>
                <w:rFonts w:eastAsia="Times New Roman" w:cs="Times New Roman"/>
                <w:b/>
                <w:bCs/>
                <w:color w:val="000000"/>
                <w:lang w:eastAsia="en-AU"/>
              </w:rPr>
              <w:t>based approach</w:t>
            </w:r>
          </w:p>
        </w:tc>
      </w:tr>
      <w:tr w:rsidR="003D01ED" w:rsidRPr="00D84C5C" w14:paraId="3A36009F" w14:textId="77777777" w:rsidTr="000276F0">
        <w:trPr>
          <w:trHeight w:val="334"/>
        </w:trPr>
        <w:tc>
          <w:tcPr>
            <w:tcW w:w="1250" w:type="pct"/>
            <w:hideMark/>
          </w:tcPr>
          <w:p w14:paraId="5C1646BE" w14:textId="77777777" w:rsidR="00DD74A0" w:rsidRPr="00BB341C" w:rsidRDefault="00DD74A0" w:rsidP="00BA44EB">
            <w:pPr>
              <w:spacing w:after="0" w:line="240" w:lineRule="auto"/>
              <w:rPr>
                <w:rFonts w:eastAsia="Times New Roman" w:cs="Times New Roman"/>
                <w:b/>
                <w:color w:val="000000"/>
                <w:lang w:eastAsia="en-AU"/>
              </w:rPr>
            </w:pPr>
            <w:r>
              <w:rPr>
                <w:rFonts w:eastAsia="Times New Roman" w:cs="Times New Roman"/>
                <w:b/>
                <w:color w:val="000000"/>
                <w:lang w:eastAsia="en-AU"/>
              </w:rPr>
              <w:t>Total estimated cost of options</w:t>
            </w:r>
          </w:p>
        </w:tc>
        <w:tc>
          <w:tcPr>
            <w:tcW w:w="1250" w:type="pct"/>
            <w:vAlign w:val="center"/>
          </w:tcPr>
          <w:p w14:paraId="5DA4D850" w14:textId="77777777" w:rsidR="00DD74A0" w:rsidRPr="00271683" w:rsidRDefault="00DD74A0" w:rsidP="0050126C">
            <w:pPr>
              <w:spacing w:after="0" w:line="240" w:lineRule="auto"/>
              <w:jc w:val="center"/>
              <w:rPr>
                <w:rFonts w:eastAsia="Times New Roman" w:cs="Times New Roman"/>
                <w:color w:val="000000"/>
                <w:lang w:eastAsia="en-AU"/>
              </w:rPr>
            </w:pPr>
            <w:r w:rsidRPr="00D84C5C">
              <w:rPr>
                <w:rFonts w:eastAsia="Times New Roman" w:cs="Times New Roman"/>
                <w:b/>
                <w:color w:val="000000"/>
                <w:lang w:eastAsia="en-AU"/>
              </w:rPr>
              <w:t>$0</w:t>
            </w:r>
          </w:p>
        </w:tc>
        <w:tc>
          <w:tcPr>
            <w:tcW w:w="1250" w:type="pct"/>
            <w:vAlign w:val="center"/>
          </w:tcPr>
          <w:p w14:paraId="180B677B" w14:textId="0DC8BDDF" w:rsidR="00DD74A0" w:rsidRPr="0072001E" w:rsidRDefault="000C31F0" w:rsidP="004867F4">
            <w:pPr>
              <w:spacing w:after="0" w:line="240" w:lineRule="auto"/>
              <w:jc w:val="center"/>
              <w:rPr>
                <w:rFonts w:eastAsia="Times New Roman" w:cs="Times New Roman"/>
                <w:color w:val="000000"/>
                <w:highlight w:val="cyan"/>
                <w:lang w:eastAsia="en-AU"/>
              </w:rPr>
            </w:pPr>
            <w:r w:rsidRPr="004A1994">
              <w:rPr>
                <w:rFonts w:eastAsia="Times New Roman" w:cs="Times New Roman"/>
                <w:b/>
                <w:sz w:val="16"/>
                <w:szCs w:val="16"/>
                <w:lang w:eastAsia="en-AU"/>
              </w:rPr>
              <w:t>$</w:t>
            </w:r>
            <w:r w:rsidRPr="008E3D5E">
              <w:rPr>
                <w:b/>
                <w:bCs/>
                <w:color w:val="000000"/>
                <w:sz w:val="16"/>
                <w:szCs w:val="16"/>
              </w:rPr>
              <w:t>6,126,089</w:t>
            </w:r>
          </w:p>
        </w:tc>
        <w:tc>
          <w:tcPr>
            <w:tcW w:w="1250" w:type="pct"/>
            <w:vAlign w:val="center"/>
          </w:tcPr>
          <w:p w14:paraId="088D9B2D" w14:textId="5BC4D73B" w:rsidR="00DD74A0" w:rsidRPr="0072001E" w:rsidRDefault="000C31F0" w:rsidP="00436EED">
            <w:pPr>
              <w:spacing w:after="0" w:line="240" w:lineRule="auto"/>
              <w:jc w:val="center"/>
              <w:rPr>
                <w:rFonts w:eastAsia="Times New Roman" w:cs="Times New Roman"/>
                <w:color w:val="000000"/>
                <w:highlight w:val="cyan"/>
                <w:lang w:eastAsia="en-AU"/>
              </w:rPr>
            </w:pPr>
            <w:r w:rsidRPr="00AF4D76">
              <w:rPr>
                <w:rFonts w:eastAsia="Times New Roman" w:cs="Times New Roman"/>
                <w:b/>
                <w:sz w:val="16"/>
                <w:szCs w:val="16"/>
                <w:lang w:eastAsia="en-AU"/>
              </w:rPr>
              <w:t>$</w:t>
            </w:r>
            <w:r>
              <w:rPr>
                <w:rFonts w:eastAsia="Times New Roman" w:cs="Times New Roman"/>
                <w:b/>
                <w:sz w:val="16"/>
                <w:szCs w:val="16"/>
                <w:lang w:eastAsia="en-AU"/>
              </w:rPr>
              <w:t>4,917,344</w:t>
            </w:r>
          </w:p>
        </w:tc>
      </w:tr>
      <w:tr w:rsidR="003D01ED" w:rsidRPr="00D84C5C" w14:paraId="2E56D48F" w14:textId="77777777" w:rsidTr="000276F0">
        <w:trPr>
          <w:trHeight w:val="134"/>
        </w:trPr>
        <w:tc>
          <w:tcPr>
            <w:tcW w:w="1250" w:type="pct"/>
          </w:tcPr>
          <w:p w14:paraId="44C29B51" w14:textId="77777777" w:rsidR="00DD74A0" w:rsidRPr="00DE3B87" w:rsidRDefault="00DD74A0" w:rsidP="00BA44EB">
            <w:pPr>
              <w:spacing w:after="0" w:line="240" w:lineRule="auto"/>
              <w:rPr>
                <w:b/>
              </w:rPr>
            </w:pPr>
          </w:p>
        </w:tc>
        <w:tc>
          <w:tcPr>
            <w:tcW w:w="1250" w:type="pct"/>
            <w:vAlign w:val="center"/>
          </w:tcPr>
          <w:p w14:paraId="78CD5E2B" w14:textId="77777777" w:rsidR="00DD74A0" w:rsidRPr="00DE3B87" w:rsidRDefault="00DD74A0" w:rsidP="0050126C">
            <w:pPr>
              <w:spacing w:after="0" w:line="240" w:lineRule="auto"/>
              <w:jc w:val="center"/>
              <w:rPr>
                <w:rFonts w:eastAsia="Times New Roman" w:cs="Times New Roman"/>
                <w:b/>
                <w:color w:val="000000"/>
                <w:lang w:eastAsia="en-AU"/>
              </w:rPr>
            </w:pPr>
          </w:p>
        </w:tc>
        <w:tc>
          <w:tcPr>
            <w:tcW w:w="1250" w:type="pct"/>
            <w:vAlign w:val="center"/>
          </w:tcPr>
          <w:p w14:paraId="79A29F77" w14:textId="77777777" w:rsidR="00DD74A0" w:rsidRPr="00DE3B87" w:rsidRDefault="00DD74A0" w:rsidP="004867F4">
            <w:pPr>
              <w:spacing w:after="0" w:line="240" w:lineRule="auto"/>
              <w:jc w:val="center"/>
              <w:rPr>
                <w:rFonts w:eastAsia="Times New Roman" w:cs="Times New Roman"/>
                <w:b/>
                <w:color w:val="000000"/>
                <w:lang w:eastAsia="en-AU"/>
              </w:rPr>
            </w:pPr>
          </w:p>
        </w:tc>
        <w:tc>
          <w:tcPr>
            <w:tcW w:w="1250" w:type="pct"/>
            <w:vAlign w:val="center"/>
          </w:tcPr>
          <w:p w14:paraId="6ECC7E35" w14:textId="77777777" w:rsidR="00DD74A0" w:rsidRPr="00DE3B87" w:rsidRDefault="00DD74A0" w:rsidP="00436EED">
            <w:pPr>
              <w:spacing w:after="0" w:line="240" w:lineRule="auto"/>
              <w:jc w:val="center"/>
              <w:rPr>
                <w:rFonts w:eastAsia="Times New Roman" w:cs="Times New Roman"/>
                <w:b/>
                <w:color w:val="000000"/>
                <w:lang w:eastAsia="en-AU"/>
              </w:rPr>
            </w:pPr>
          </w:p>
        </w:tc>
      </w:tr>
      <w:tr w:rsidR="00DD74A0" w:rsidRPr="00D84C5C" w14:paraId="75BDB143" w14:textId="77777777" w:rsidTr="00795A1C">
        <w:trPr>
          <w:trHeight w:val="334"/>
        </w:trPr>
        <w:tc>
          <w:tcPr>
            <w:tcW w:w="5000" w:type="pct"/>
            <w:gridSpan w:val="4"/>
            <w:tcBorders>
              <w:bottom w:val="single" w:sz="4" w:space="0" w:color="auto"/>
            </w:tcBorders>
            <w:shd w:val="clear" w:color="auto" w:fill="DFF0F9" w:themeFill="accent3" w:themeFillTint="33"/>
            <w:vAlign w:val="center"/>
          </w:tcPr>
          <w:p w14:paraId="0364D133" w14:textId="3AA0B383" w:rsidR="000E4E5A" w:rsidRPr="0028041D" w:rsidRDefault="00795A1C" w:rsidP="000276F0">
            <w:pPr>
              <w:spacing w:after="0" w:line="240" w:lineRule="auto"/>
              <w:rPr>
                <w:rFonts w:eastAsia="Times New Roman" w:cs="Times New Roman"/>
                <w:b/>
                <w:bCs/>
                <w:lang w:eastAsia="en-AU"/>
              </w:rPr>
            </w:pPr>
            <w:r>
              <w:rPr>
                <w:rFonts w:eastAsia="Times New Roman" w:cs="Times New Roman"/>
                <w:b/>
                <w:bCs/>
                <w:lang w:eastAsia="en-AU"/>
              </w:rPr>
              <w:t>Avoided deaths and illnesses</w:t>
            </w:r>
          </w:p>
        </w:tc>
      </w:tr>
      <w:tr w:rsidR="002728D4" w:rsidRPr="00D84C5C" w14:paraId="5B722301" w14:textId="77777777" w:rsidTr="000276F0">
        <w:trPr>
          <w:trHeight w:val="334"/>
        </w:trPr>
        <w:tc>
          <w:tcPr>
            <w:tcW w:w="1250" w:type="pct"/>
            <w:tcBorders>
              <w:top w:val="single" w:sz="4" w:space="0" w:color="auto"/>
              <w:bottom w:val="nil"/>
            </w:tcBorders>
            <w:vAlign w:val="center"/>
          </w:tcPr>
          <w:p w14:paraId="09465D17" w14:textId="77777777" w:rsidR="00DD74A0" w:rsidRDefault="00DD74A0" w:rsidP="00BA44EB">
            <w:pPr>
              <w:spacing w:after="0" w:line="240" w:lineRule="auto"/>
            </w:pPr>
            <w:r>
              <w:t>Number of lives saved</w:t>
            </w:r>
          </w:p>
        </w:tc>
        <w:tc>
          <w:tcPr>
            <w:tcW w:w="1250" w:type="pct"/>
            <w:tcBorders>
              <w:top w:val="single" w:sz="4" w:space="0" w:color="auto"/>
              <w:bottom w:val="nil"/>
            </w:tcBorders>
            <w:vAlign w:val="center"/>
          </w:tcPr>
          <w:p w14:paraId="6B6DF7AC" w14:textId="77777777" w:rsidR="00DD74A0" w:rsidRPr="00271683" w:rsidRDefault="00DD74A0" w:rsidP="0050126C">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250" w:type="pct"/>
            <w:tcBorders>
              <w:top w:val="single" w:sz="4" w:space="0" w:color="auto"/>
              <w:bottom w:val="nil"/>
            </w:tcBorders>
            <w:vAlign w:val="center"/>
          </w:tcPr>
          <w:p w14:paraId="74C363CA" w14:textId="1BF1A4C1" w:rsidR="00DD74A0" w:rsidRPr="00AB4CAD" w:rsidRDefault="00DD74A0" w:rsidP="004867F4">
            <w:pPr>
              <w:spacing w:after="0" w:line="240" w:lineRule="auto"/>
              <w:jc w:val="center"/>
              <w:rPr>
                <w:rFonts w:eastAsia="Times New Roman" w:cs="Times New Roman"/>
                <w:color w:val="000000"/>
                <w:lang w:eastAsia="en-AU"/>
              </w:rPr>
            </w:pPr>
            <w:r w:rsidRPr="00E85FE1">
              <w:rPr>
                <w:rFonts w:eastAsia="Times New Roman" w:cs="Times New Roman"/>
                <w:color w:val="000000"/>
                <w:sz w:val="16"/>
                <w:szCs w:val="16"/>
                <w:lang w:eastAsia="en-AU"/>
              </w:rPr>
              <w:t>0.</w:t>
            </w:r>
            <w:r w:rsidR="009E25E3" w:rsidRPr="00E85FE1">
              <w:rPr>
                <w:rFonts w:eastAsia="Times New Roman" w:cs="Times New Roman"/>
                <w:color w:val="000000"/>
                <w:sz w:val="16"/>
                <w:szCs w:val="16"/>
                <w:lang w:eastAsia="en-AU"/>
              </w:rPr>
              <w:t>0</w:t>
            </w:r>
            <w:r w:rsidR="009E25E3">
              <w:rPr>
                <w:rFonts w:eastAsia="Times New Roman" w:cs="Times New Roman"/>
                <w:color w:val="000000"/>
                <w:sz w:val="16"/>
                <w:szCs w:val="16"/>
                <w:lang w:eastAsia="en-AU"/>
              </w:rPr>
              <w:t>6</w:t>
            </w:r>
          </w:p>
        </w:tc>
        <w:tc>
          <w:tcPr>
            <w:tcW w:w="1250" w:type="pct"/>
            <w:tcBorders>
              <w:top w:val="single" w:sz="4" w:space="0" w:color="auto"/>
              <w:bottom w:val="nil"/>
            </w:tcBorders>
            <w:vAlign w:val="center"/>
          </w:tcPr>
          <w:p w14:paraId="06D82237" w14:textId="204A3EFB" w:rsidR="00DD74A0" w:rsidRPr="00441A93" w:rsidRDefault="00DD74A0" w:rsidP="00436EED">
            <w:pPr>
              <w:spacing w:after="0" w:line="240" w:lineRule="auto"/>
              <w:jc w:val="center"/>
              <w:rPr>
                <w:rFonts w:eastAsia="Times New Roman" w:cs="Times New Roman"/>
                <w:color w:val="000000"/>
                <w:lang w:eastAsia="en-AU"/>
              </w:rPr>
            </w:pPr>
            <w:r w:rsidRPr="00AF4D76">
              <w:rPr>
                <w:rFonts w:eastAsia="Times New Roman" w:cs="Times New Roman"/>
                <w:color w:val="000000"/>
                <w:sz w:val="16"/>
                <w:szCs w:val="16"/>
                <w:lang w:eastAsia="en-AU"/>
              </w:rPr>
              <w:t>0.</w:t>
            </w:r>
            <w:r w:rsidR="009E25E3" w:rsidRPr="00AF4D76">
              <w:rPr>
                <w:rFonts w:eastAsia="Times New Roman" w:cs="Times New Roman"/>
                <w:color w:val="000000"/>
                <w:sz w:val="16"/>
                <w:szCs w:val="16"/>
                <w:lang w:eastAsia="en-AU"/>
              </w:rPr>
              <w:t>0</w:t>
            </w:r>
            <w:r w:rsidR="009E25E3">
              <w:rPr>
                <w:rFonts w:eastAsia="Times New Roman" w:cs="Times New Roman"/>
                <w:color w:val="000000"/>
                <w:sz w:val="16"/>
                <w:szCs w:val="16"/>
                <w:lang w:eastAsia="en-AU"/>
              </w:rPr>
              <w:t>5</w:t>
            </w:r>
          </w:p>
        </w:tc>
      </w:tr>
      <w:tr w:rsidR="0050126C" w:rsidRPr="00441A93" w14:paraId="34A122D9" w14:textId="77777777" w:rsidTr="000276F0">
        <w:trPr>
          <w:trHeight w:val="334"/>
        </w:trPr>
        <w:tc>
          <w:tcPr>
            <w:tcW w:w="1250" w:type="pct"/>
            <w:tcBorders>
              <w:top w:val="nil"/>
            </w:tcBorders>
            <w:vAlign w:val="center"/>
          </w:tcPr>
          <w:p w14:paraId="44B5BD0C" w14:textId="77777777" w:rsidR="00DD74A0" w:rsidRDefault="00DD74A0" w:rsidP="00BA44EB">
            <w:pPr>
              <w:spacing w:after="0" w:line="240" w:lineRule="auto"/>
            </w:pPr>
            <w:r>
              <w:t>Lives saved</w:t>
            </w:r>
          </w:p>
        </w:tc>
        <w:tc>
          <w:tcPr>
            <w:tcW w:w="1250" w:type="pct"/>
            <w:tcBorders>
              <w:top w:val="nil"/>
            </w:tcBorders>
            <w:vAlign w:val="center"/>
          </w:tcPr>
          <w:p w14:paraId="0B224D7B" w14:textId="77777777" w:rsidR="00DD74A0" w:rsidRPr="00271683" w:rsidRDefault="00DD74A0" w:rsidP="0050126C">
            <w:pPr>
              <w:spacing w:after="0" w:line="240" w:lineRule="auto"/>
              <w:jc w:val="center"/>
              <w:rPr>
                <w:rFonts w:eastAsia="Times New Roman" w:cs="Times New Roman"/>
                <w:color w:val="000000"/>
                <w:lang w:eastAsia="en-AU"/>
              </w:rPr>
            </w:pPr>
            <w:r w:rsidRPr="00271683">
              <w:rPr>
                <w:rFonts w:eastAsia="Times New Roman" w:cs="Times New Roman"/>
                <w:color w:val="000000"/>
                <w:lang w:eastAsia="en-AU"/>
              </w:rPr>
              <w:t>$0</w:t>
            </w:r>
          </w:p>
        </w:tc>
        <w:tc>
          <w:tcPr>
            <w:tcW w:w="1250" w:type="pct"/>
            <w:tcBorders>
              <w:top w:val="nil"/>
            </w:tcBorders>
            <w:vAlign w:val="center"/>
          </w:tcPr>
          <w:p w14:paraId="3E030C2D" w14:textId="7EB2D45E" w:rsidR="00DD74A0" w:rsidRPr="00AB4CAD" w:rsidRDefault="00DD74A0" w:rsidP="004867F4">
            <w:pPr>
              <w:spacing w:after="0" w:line="240" w:lineRule="auto"/>
              <w:jc w:val="center"/>
              <w:rPr>
                <w:rFonts w:eastAsia="Times New Roman" w:cs="Times New Roman"/>
                <w:color w:val="000000"/>
                <w:lang w:eastAsia="en-AU"/>
              </w:rPr>
            </w:pPr>
            <w:r w:rsidRPr="007161D6">
              <w:rPr>
                <w:rFonts w:eastAsia="Times New Roman" w:cs="Times New Roman"/>
                <w:color w:val="000000"/>
                <w:sz w:val="16"/>
                <w:szCs w:val="16"/>
                <w:lang w:eastAsia="en-AU"/>
              </w:rPr>
              <w:t>$</w:t>
            </w:r>
            <w:r w:rsidR="00D630AF">
              <w:rPr>
                <w:rFonts w:eastAsia="Times New Roman" w:cs="Times New Roman"/>
                <w:color w:val="000000"/>
                <w:sz w:val="16"/>
                <w:szCs w:val="16"/>
                <w:lang w:eastAsia="en-AU"/>
              </w:rPr>
              <w:t>346,325</w:t>
            </w:r>
          </w:p>
        </w:tc>
        <w:tc>
          <w:tcPr>
            <w:tcW w:w="1250" w:type="pct"/>
            <w:tcBorders>
              <w:top w:val="nil"/>
            </w:tcBorders>
            <w:vAlign w:val="center"/>
          </w:tcPr>
          <w:p w14:paraId="15F6DF6F" w14:textId="2D8A0E10" w:rsidR="00DD74A0" w:rsidRPr="00441A93" w:rsidRDefault="00DD74A0" w:rsidP="00436EED">
            <w:pPr>
              <w:spacing w:after="0" w:line="240" w:lineRule="auto"/>
              <w:jc w:val="center"/>
              <w:rPr>
                <w:rFonts w:eastAsia="Times New Roman" w:cs="Times New Roman"/>
                <w:color w:val="000000"/>
                <w:lang w:eastAsia="en-AU"/>
              </w:rPr>
            </w:pPr>
            <w:r w:rsidRPr="00AF4D76">
              <w:rPr>
                <w:rFonts w:eastAsia="Times New Roman" w:cs="Times New Roman"/>
                <w:color w:val="000000"/>
                <w:sz w:val="16"/>
                <w:szCs w:val="16"/>
                <w:lang w:eastAsia="en-AU"/>
              </w:rPr>
              <w:t>$</w:t>
            </w:r>
            <w:r w:rsidR="005D1D7C">
              <w:rPr>
                <w:rFonts w:eastAsia="Times New Roman" w:cs="Times New Roman"/>
                <w:color w:val="000000"/>
                <w:sz w:val="16"/>
                <w:szCs w:val="16"/>
                <w:lang w:eastAsia="en-AU"/>
              </w:rPr>
              <w:t>256,908</w:t>
            </w:r>
          </w:p>
        </w:tc>
      </w:tr>
      <w:tr w:rsidR="0050126C" w:rsidRPr="00D84C5C" w14:paraId="748E309C" w14:textId="77777777" w:rsidTr="000276F0">
        <w:trPr>
          <w:trHeight w:val="334"/>
        </w:trPr>
        <w:tc>
          <w:tcPr>
            <w:tcW w:w="1250" w:type="pct"/>
            <w:tcBorders>
              <w:bottom w:val="nil"/>
            </w:tcBorders>
            <w:vAlign w:val="center"/>
          </w:tcPr>
          <w:p w14:paraId="24C2B860" w14:textId="77777777" w:rsidR="00DD74A0" w:rsidRDefault="00DD74A0" w:rsidP="00BA44EB">
            <w:pPr>
              <w:spacing w:after="0" w:line="240" w:lineRule="auto"/>
            </w:pPr>
            <w:r>
              <w:t xml:space="preserve">Number of serious non-fatal illnesses </w:t>
            </w:r>
          </w:p>
        </w:tc>
        <w:tc>
          <w:tcPr>
            <w:tcW w:w="1250" w:type="pct"/>
            <w:tcBorders>
              <w:bottom w:val="nil"/>
            </w:tcBorders>
            <w:vAlign w:val="center"/>
          </w:tcPr>
          <w:p w14:paraId="5D27F0AC" w14:textId="77777777" w:rsidR="00DD74A0" w:rsidRPr="00271683" w:rsidRDefault="00DD74A0" w:rsidP="0050126C">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250" w:type="pct"/>
            <w:tcBorders>
              <w:bottom w:val="nil"/>
            </w:tcBorders>
            <w:vAlign w:val="center"/>
          </w:tcPr>
          <w:p w14:paraId="6048E05B" w14:textId="52C4B957" w:rsidR="00DD74A0" w:rsidRPr="00AB4CAD" w:rsidRDefault="00DD74A0" w:rsidP="004867F4">
            <w:pPr>
              <w:spacing w:after="0" w:line="240" w:lineRule="auto"/>
              <w:jc w:val="center"/>
              <w:rPr>
                <w:rFonts w:eastAsia="Times New Roman" w:cs="Times New Roman"/>
                <w:color w:val="000000"/>
                <w:lang w:eastAsia="en-AU"/>
              </w:rPr>
            </w:pPr>
            <w:r w:rsidRPr="00E85FE1">
              <w:rPr>
                <w:rFonts w:eastAsia="Times New Roman" w:cs="Times New Roman"/>
                <w:color w:val="000000"/>
                <w:sz w:val="16"/>
                <w:szCs w:val="16"/>
                <w:lang w:eastAsia="en-AU"/>
              </w:rPr>
              <w:t>0.</w:t>
            </w:r>
            <w:r w:rsidR="009E25E3" w:rsidRPr="00E85FE1">
              <w:rPr>
                <w:rFonts w:eastAsia="Times New Roman" w:cs="Times New Roman"/>
                <w:color w:val="000000"/>
                <w:sz w:val="16"/>
                <w:szCs w:val="16"/>
                <w:lang w:eastAsia="en-AU"/>
              </w:rPr>
              <w:t>1</w:t>
            </w:r>
            <w:r w:rsidR="009E25E3">
              <w:rPr>
                <w:rFonts w:eastAsia="Times New Roman" w:cs="Times New Roman"/>
                <w:color w:val="000000"/>
                <w:sz w:val="16"/>
                <w:szCs w:val="16"/>
                <w:lang w:eastAsia="en-AU"/>
              </w:rPr>
              <w:t>3</w:t>
            </w:r>
          </w:p>
        </w:tc>
        <w:tc>
          <w:tcPr>
            <w:tcW w:w="1250" w:type="pct"/>
            <w:tcBorders>
              <w:bottom w:val="nil"/>
            </w:tcBorders>
            <w:vAlign w:val="center"/>
          </w:tcPr>
          <w:p w14:paraId="66D3F625" w14:textId="600717FE" w:rsidR="00DD74A0" w:rsidRPr="00441A93" w:rsidRDefault="00DD74A0" w:rsidP="00436EED">
            <w:pPr>
              <w:spacing w:after="0" w:line="240" w:lineRule="auto"/>
              <w:jc w:val="center"/>
              <w:rPr>
                <w:rFonts w:eastAsia="Times New Roman" w:cs="Times New Roman"/>
                <w:color w:val="000000"/>
                <w:lang w:eastAsia="en-AU"/>
              </w:rPr>
            </w:pPr>
            <w:r w:rsidRPr="00AF4D76">
              <w:rPr>
                <w:rFonts w:eastAsia="Times New Roman" w:cs="Times New Roman"/>
                <w:color w:val="000000"/>
                <w:sz w:val="16"/>
                <w:szCs w:val="16"/>
                <w:lang w:eastAsia="en-AU"/>
              </w:rPr>
              <w:t>0.</w:t>
            </w:r>
            <w:r w:rsidR="009E25E3" w:rsidRPr="00AF4D76">
              <w:rPr>
                <w:rFonts w:eastAsia="Times New Roman" w:cs="Times New Roman"/>
                <w:color w:val="000000"/>
                <w:sz w:val="16"/>
                <w:szCs w:val="16"/>
                <w:lang w:eastAsia="en-AU"/>
              </w:rPr>
              <w:t>0</w:t>
            </w:r>
            <w:r w:rsidR="009E25E3">
              <w:rPr>
                <w:rFonts w:eastAsia="Times New Roman" w:cs="Times New Roman"/>
                <w:color w:val="000000"/>
                <w:sz w:val="16"/>
                <w:szCs w:val="16"/>
                <w:lang w:eastAsia="en-AU"/>
              </w:rPr>
              <w:t>9</w:t>
            </w:r>
          </w:p>
        </w:tc>
      </w:tr>
      <w:tr w:rsidR="0050126C" w:rsidRPr="00D84C5C" w14:paraId="2B58A020" w14:textId="77777777" w:rsidTr="000276F0">
        <w:trPr>
          <w:trHeight w:val="334"/>
        </w:trPr>
        <w:tc>
          <w:tcPr>
            <w:tcW w:w="1250" w:type="pct"/>
            <w:tcBorders>
              <w:top w:val="nil"/>
            </w:tcBorders>
            <w:vAlign w:val="center"/>
            <w:hideMark/>
          </w:tcPr>
          <w:p w14:paraId="0DEBD094" w14:textId="77777777" w:rsidR="00DD74A0" w:rsidRPr="00271683" w:rsidRDefault="00DD74A0" w:rsidP="00BA44EB">
            <w:pPr>
              <w:spacing w:after="0" w:line="240" w:lineRule="auto"/>
              <w:rPr>
                <w:rFonts w:eastAsia="Times New Roman" w:cs="Times New Roman"/>
                <w:color w:val="000000"/>
                <w:lang w:eastAsia="en-AU"/>
              </w:rPr>
            </w:pPr>
            <w:r>
              <w:t>Avoided serious non-fatal illnesses</w:t>
            </w:r>
          </w:p>
        </w:tc>
        <w:tc>
          <w:tcPr>
            <w:tcW w:w="1250" w:type="pct"/>
            <w:tcBorders>
              <w:top w:val="nil"/>
            </w:tcBorders>
            <w:vAlign w:val="center"/>
          </w:tcPr>
          <w:p w14:paraId="2AAD73A4" w14:textId="77777777" w:rsidR="00DD74A0" w:rsidRPr="00271683" w:rsidRDefault="00DD74A0" w:rsidP="0050126C">
            <w:pPr>
              <w:spacing w:after="0" w:line="240" w:lineRule="auto"/>
              <w:jc w:val="center"/>
              <w:rPr>
                <w:rFonts w:eastAsia="Times New Roman" w:cs="Times New Roman"/>
                <w:color w:val="000000"/>
                <w:lang w:eastAsia="en-AU"/>
              </w:rPr>
            </w:pPr>
            <w:r w:rsidRPr="00271683">
              <w:rPr>
                <w:rFonts w:eastAsia="Times New Roman" w:cs="Times New Roman"/>
                <w:color w:val="000000"/>
                <w:lang w:eastAsia="en-AU"/>
              </w:rPr>
              <w:t>$0</w:t>
            </w:r>
          </w:p>
        </w:tc>
        <w:tc>
          <w:tcPr>
            <w:tcW w:w="1250" w:type="pct"/>
            <w:tcBorders>
              <w:top w:val="nil"/>
            </w:tcBorders>
            <w:vAlign w:val="center"/>
          </w:tcPr>
          <w:p w14:paraId="5B3A250E" w14:textId="2B95E49D" w:rsidR="00DD74A0" w:rsidRPr="00BC40D7" w:rsidRDefault="00DD74A0" w:rsidP="004867F4">
            <w:pPr>
              <w:spacing w:after="0" w:line="240" w:lineRule="auto"/>
              <w:jc w:val="center"/>
              <w:rPr>
                <w:rFonts w:eastAsia="Times New Roman" w:cs="Times New Roman"/>
                <w:color w:val="000000"/>
                <w:lang w:eastAsia="en-AU"/>
              </w:rPr>
            </w:pPr>
            <w:r w:rsidRPr="00E85FE1">
              <w:rPr>
                <w:sz w:val="16"/>
                <w:szCs w:val="16"/>
              </w:rPr>
              <w:t>$</w:t>
            </w:r>
            <w:r w:rsidR="00D630AF">
              <w:rPr>
                <w:sz w:val="16"/>
                <w:szCs w:val="16"/>
              </w:rPr>
              <w:t>161,715</w:t>
            </w:r>
          </w:p>
        </w:tc>
        <w:tc>
          <w:tcPr>
            <w:tcW w:w="1250" w:type="pct"/>
            <w:tcBorders>
              <w:top w:val="nil"/>
            </w:tcBorders>
            <w:vAlign w:val="center"/>
          </w:tcPr>
          <w:p w14:paraId="60AC790E" w14:textId="3070158E" w:rsidR="00DD74A0" w:rsidRPr="00BC40D7" w:rsidRDefault="00DD74A0" w:rsidP="00436EED">
            <w:pPr>
              <w:spacing w:after="0" w:line="240" w:lineRule="auto"/>
              <w:jc w:val="center"/>
              <w:rPr>
                <w:rFonts w:eastAsia="Times New Roman" w:cs="Times New Roman"/>
                <w:color w:val="000000"/>
                <w:lang w:eastAsia="en-AU"/>
              </w:rPr>
            </w:pPr>
            <w:r w:rsidRPr="00AF4D76">
              <w:rPr>
                <w:sz w:val="16"/>
                <w:szCs w:val="16"/>
              </w:rPr>
              <w:t>$</w:t>
            </w:r>
            <w:r w:rsidR="005D1D7C">
              <w:rPr>
                <w:sz w:val="16"/>
                <w:szCs w:val="16"/>
              </w:rPr>
              <w:t>119,962</w:t>
            </w:r>
          </w:p>
        </w:tc>
      </w:tr>
      <w:tr w:rsidR="0050126C" w:rsidRPr="00D84C5C" w14:paraId="33F0B3E6" w14:textId="77777777" w:rsidTr="000276F0">
        <w:trPr>
          <w:trHeight w:val="334"/>
        </w:trPr>
        <w:tc>
          <w:tcPr>
            <w:tcW w:w="1250" w:type="pct"/>
            <w:tcBorders>
              <w:top w:val="nil"/>
              <w:bottom w:val="nil"/>
            </w:tcBorders>
            <w:vAlign w:val="center"/>
          </w:tcPr>
          <w:p w14:paraId="0203B06A" w14:textId="77777777" w:rsidR="00DD74A0" w:rsidRDefault="00DD74A0" w:rsidP="00BA44EB">
            <w:pPr>
              <w:spacing w:after="0" w:line="240" w:lineRule="auto"/>
            </w:pPr>
            <w:r>
              <w:t xml:space="preserve">Number of avoided low level illnesses </w:t>
            </w:r>
          </w:p>
        </w:tc>
        <w:tc>
          <w:tcPr>
            <w:tcW w:w="1250" w:type="pct"/>
            <w:tcBorders>
              <w:top w:val="nil"/>
              <w:bottom w:val="nil"/>
            </w:tcBorders>
            <w:vAlign w:val="center"/>
          </w:tcPr>
          <w:p w14:paraId="62937C3E" w14:textId="77777777" w:rsidR="00DD74A0" w:rsidRPr="00271683" w:rsidRDefault="00DD74A0" w:rsidP="0050126C">
            <w:pPr>
              <w:spacing w:after="0" w:line="240" w:lineRule="auto"/>
              <w:jc w:val="center"/>
              <w:rPr>
                <w:rFonts w:eastAsia="Times New Roman" w:cs="Times New Roman"/>
                <w:color w:val="000000"/>
                <w:lang w:eastAsia="en-AU"/>
              </w:rPr>
            </w:pPr>
            <w:r>
              <w:rPr>
                <w:rFonts w:eastAsia="Times New Roman" w:cs="Times New Roman"/>
                <w:color w:val="000000"/>
                <w:lang w:eastAsia="en-AU"/>
              </w:rPr>
              <w:t>0</w:t>
            </w:r>
          </w:p>
        </w:tc>
        <w:tc>
          <w:tcPr>
            <w:tcW w:w="1250" w:type="pct"/>
            <w:tcBorders>
              <w:top w:val="nil"/>
              <w:bottom w:val="nil"/>
            </w:tcBorders>
            <w:vAlign w:val="center"/>
          </w:tcPr>
          <w:p w14:paraId="4F123708" w14:textId="23B24F39" w:rsidR="00DD74A0" w:rsidRPr="00BC40D7" w:rsidRDefault="009E25E3" w:rsidP="004867F4">
            <w:pPr>
              <w:spacing w:after="0" w:line="240" w:lineRule="auto"/>
              <w:jc w:val="center"/>
            </w:pPr>
            <w:r>
              <w:rPr>
                <w:rFonts w:eastAsia="Times New Roman" w:cs="Times New Roman"/>
                <w:color w:val="000000"/>
                <w:sz w:val="16"/>
                <w:szCs w:val="16"/>
                <w:lang w:eastAsia="en-AU"/>
              </w:rPr>
              <w:t>543</w:t>
            </w:r>
          </w:p>
        </w:tc>
        <w:tc>
          <w:tcPr>
            <w:tcW w:w="1250" w:type="pct"/>
            <w:tcBorders>
              <w:top w:val="nil"/>
              <w:bottom w:val="nil"/>
            </w:tcBorders>
            <w:vAlign w:val="center"/>
          </w:tcPr>
          <w:p w14:paraId="08D61CF4" w14:textId="0A95F17C" w:rsidR="00DD74A0" w:rsidRPr="00BC40D7" w:rsidRDefault="009E25E3" w:rsidP="00436EED">
            <w:pPr>
              <w:spacing w:after="0" w:line="240" w:lineRule="auto"/>
              <w:jc w:val="center"/>
            </w:pPr>
            <w:r>
              <w:rPr>
                <w:rFonts w:eastAsia="Times New Roman" w:cs="Times New Roman"/>
                <w:color w:val="000000"/>
                <w:sz w:val="16"/>
                <w:szCs w:val="16"/>
                <w:lang w:eastAsia="en-AU"/>
              </w:rPr>
              <w:t>403</w:t>
            </w:r>
          </w:p>
        </w:tc>
      </w:tr>
      <w:tr w:rsidR="002728D4" w:rsidRPr="00D84C5C" w14:paraId="5447D454" w14:textId="77777777" w:rsidTr="000276F0">
        <w:trPr>
          <w:trHeight w:val="334"/>
        </w:trPr>
        <w:tc>
          <w:tcPr>
            <w:tcW w:w="1250" w:type="pct"/>
            <w:tcBorders>
              <w:top w:val="nil"/>
              <w:bottom w:val="single" w:sz="4" w:space="0" w:color="000000" w:themeColor="text1"/>
            </w:tcBorders>
            <w:vAlign w:val="center"/>
            <w:hideMark/>
          </w:tcPr>
          <w:p w14:paraId="343243B7" w14:textId="77777777" w:rsidR="00DD74A0" w:rsidRPr="00271683" w:rsidRDefault="00DD74A0" w:rsidP="00BA44EB">
            <w:pPr>
              <w:spacing w:after="0" w:line="240" w:lineRule="auto"/>
              <w:rPr>
                <w:rFonts w:eastAsia="Times New Roman" w:cs="Times New Roman"/>
                <w:color w:val="000000"/>
                <w:lang w:eastAsia="en-AU"/>
              </w:rPr>
            </w:pPr>
            <w:r>
              <w:t>Avoided low level illnesses</w:t>
            </w:r>
          </w:p>
        </w:tc>
        <w:tc>
          <w:tcPr>
            <w:tcW w:w="1250" w:type="pct"/>
            <w:tcBorders>
              <w:top w:val="nil"/>
              <w:bottom w:val="single" w:sz="4" w:space="0" w:color="000000" w:themeColor="text1"/>
            </w:tcBorders>
            <w:vAlign w:val="center"/>
          </w:tcPr>
          <w:p w14:paraId="075C9010" w14:textId="77777777" w:rsidR="00DD74A0" w:rsidRPr="00271683" w:rsidRDefault="00DD74A0" w:rsidP="0050126C">
            <w:pPr>
              <w:spacing w:after="0" w:line="240" w:lineRule="auto"/>
              <w:jc w:val="center"/>
              <w:rPr>
                <w:rFonts w:eastAsia="Times New Roman" w:cs="Times New Roman"/>
                <w:color w:val="000000"/>
                <w:lang w:eastAsia="en-AU"/>
              </w:rPr>
            </w:pPr>
            <w:r w:rsidRPr="00271683">
              <w:rPr>
                <w:rFonts w:eastAsia="Times New Roman" w:cs="Times New Roman"/>
                <w:color w:val="000000"/>
                <w:lang w:eastAsia="en-AU"/>
              </w:rPr>
              <w:t>$0</w:t>
            </w:r>
          </w:p>
        </w:tc>
        <w:tc>
          <w:tcPr>
            <w:tcW w:w="1250" w:type="pct"/>
            <w:tcBorders>
              <w:top w:val="nil"/>
              <w:bottom w:val="single" w:sz="4" w:space="0" w:color="000000" w:themeColor="text1"/>
            </w:tcBorders>
            <w:vAlign w:val="center"/>
          </w:tcPr>
          <w:p w14:paraId="050F5B5B" w14:textId="66C37815" w:rsidR="00DD74A0" w:rsidRPr="00BC40D7" w:rsidRDefault="00DD74A0" w:rsidP="004867F4">
            <w:pPr>
              <w:spacing w:after="0" w:line="240" w:lineRule="auto"/>
              <w:jc w:val="center"/>
              <w:rPr>
                <w:rFonts w:eastAsia="Times New Roman" w:cs="Times New Roman"/>
                <w:color w:val="000000"/>
                <w:lang w:eastAsia="en-AU"/>
              </w:rPr>
            </w:pPr>
            <w:r w:rsidRPr="00E85FE1">
              <w:rPr>
                <w:sz w:val="16"/>
                <w:szCs w:val="16"/>
              </w:rPr>
              <w:t>$</w:t>
            </w:r>
            <w:r w:rsidR="007F71E1">
              <w:rPr>
                <w:sz w:val="16"/>
                <w:szCs w:val="16"/>
              </w:rPr>
              <w:t>3,546,36</w:t>
            </w:r>
            <w:r w:rsidR="00C852DC">
              <w:rPr>
                <w:sz w:val="16"/>
                <w:szCs w:val="16"/>
              </w:rPr>
              <w:t>5</w:t>
            </w:r>
          </w:p>
        </w:tc>
        <w:tc>
          <w:tcPr>
            <w:tcW w:w="1250" w:type="pct"/>
            <w:tcBorders>
              <w:top w:val="nil"/>
              <w:bottom w:val="single" w:sz="4" w:space="0" w:color="000000" w:themeColor="text1"/>
            </w:tcBorders>
            <w:vAlign w:val="center"/>
          </w:tcPr>
          <w:p w14:paraId="3930659C" w14:textId="3A75EA54" w:rsidR="00DD74A0" w:rsidRPr="00BC40D7" w:rsidRDefault="00DD74A0" w:rsidP="00436EED">
            <w:pPr>
              <w:spacing w:after="0" w:line="240" w:lineRule="auto"/>
              <w:jc w:val="center"/>
              <w:rPr>
                <w:rFonts w:eastAsia="Times New Roman" w:cs="Times New Roman"/>
                <w:color w:val="000000"/>
                <w:lang w:eastAsia="en-AU"/>
              </w:rPr>
            </w:pPr>
            <w:r w:rsidRPr="00AF4D76">
              <w:rPr>
                <w:sz w:val="16"/>
                <w:szCs w:val="16"/>
              </w:rPr>
              <w:t>$</w:t>
            </w:r>
            <w:r w:rsidR="0089038D">
              <w:rPr>
                <w:sz w:val="16"/>
                <w:szCs w:val="16"/>
              </w:rPr>
              <w:t>2,630,740</w:t>
            </w:r>
          </w:p>
        </w:tc>
      </w:tr>
      <w:tr w:rsidR="0050126C" w:rsidRPr="00D84C5C" w14:paraId="3729DD33" w14:textId="77777777" w:rsidTr="000276F0">
        <w:trPr>
          <w:trHeight w:val="334"/>
        </w:trPr>
        <w:tc>
          <w:tcPr>
            <w:tcW w:w="1250" w:type="pct"/>
            <w:tcBorders>
              <w:top w:val="single" w:sz="4" w:space="0" w:color="000000" w:themeColor="text1"/>
            </w:tcBorders>
            <w:shd w:val="clear" w:color="auto" w:fill="DFF0F9" w:themeFill="accent3" w:themeFillTint="33"/>
            <w:vAlign w:val="center"/>
          </w:tcPr>
          <w:p w14:paraId="62A98F7A" w14:textId="77777777" w:rsidR="00DD74A0" w:rsidRPr="005B757F" w:rsidRDefault="00DD74A0" w:rsidP="00BA44EB">
            <w:pPr>
              <w:spacing w:after="0" w:line="240" w:lineRule="auto"/>
              <w:rPr>
                <w:b/>
                <w:bCs/>
              </w:rPr>
            </w:pPr>
            <w:r w:rsidRPr="005B757F">
              <w:rPr>
                <w:b/>
                <w:bCs/>
              </w:rPr>
              <w:t>Other benefits</w:t>
            </w:r>
          </w:p>
        </w:tc>
        <w:tc>
          <w:tcPr>
            <w:tcW w:w="1250" w:type="pct"/>
            <w:tcBorders>
              <w:top w:val="single" w:sz="4" w:space="0" w:color="000000" w:themeColor="text1"/>
            </w:tcBorders>
            <w:shd w:val="clear" w:color="auto" w:fill="DFF0F9" w:themeFill="accent3" w:themeFillTint="33"/>
            <w:vAlign w:val="center"/>
          </w:tcPr>
          <w:p w14:paraId="1DF229EB" w14:textId="77777777" w:rsidR="00DD74A0" w:rsidRPr="00271683" w:rsidRDefault="00DD74A0" w:rsidP="0050126C">
            <w:pPr>
              <w:spacing w:after="0" w:line="240" w:lineRule="auto"/>
              <w:jc w:val="center"/>
              <w:rPr>
                <w:rFonts w:eastAsia="Times New Roman" w:cs="Times New Roman"/>
                <w:color w:val="000000"/>
                <w:lang w:eastAsia="en-AU"/>
              </w:rPr>
            </w:pPr>
          </w:p>
        </w:tc>
        <w:tc>
          <w:tcPr>
            <w:tcW w:w="1250" w:type="pct"/>
            <w:tcBorders>
              <w:top w:val="single" w:sz="4" w:space="0" w:color="000000" w:themeColor="text1"/>
            </w:tcBorders>
            <w:shd w:val="clear" w:color="auto" w:fill="DFF0F9" w:themeFill="accent3" w:themeFillTint="33"/>
            <w:vAlign w:val="center"/>
          </w:tcPr>
          <w:p w14:paraId="6E3ED3BE" w14:textId="77777777" w:rsidR="00DD74A0" w:rsidRPr="000C5907" w:rsidRDefault="00DD74A0" w:rsidP="004867F4">
            <w:pPr>
              <w:spacing w:after="0" w:line="240" w:lineRule="auto"/>
              <w:jc w:val="center"/>
            </w:pPr>
          </w:p>
        </w:tc>
        <w:tc>
          <w:tcPr>
            <w:tcW w:w="1250" w:type="pct"/>
            <w:tcBorders>
              <w:top w:val="single" w:sz="4" w:space="0" w:color="000000" w:themeColor="text1"/>
            </w:tcBorders>
            <w:shd w:val="clear" w:color="auto" w:fill="DFF0F9" w:themeFill="accent3" w:themeFillTint="33"/>
            <w:vAlign w:val="center"/>
          </w:tcPr>
          <w:p w14:paraId="7B4E02C7" w14:textId="77777777" w:rsidR="00DD74A0" w:rsidRPr="00FE7E7D" w:rsidRDefault="00DD74A0" w:rsidP="00436EED">
            <w:pPr>
              <w:spacing w:after="0" w:line="240" w:lineRule="auto"/>
              <w:jc w:val="center"/>
            </w:pPr>
          </w:p>
        </w:tc>
      </w:tr>
      <w:tr w:rsidR="00DD74A0" w:rsidRPr="00D84C5C" w14:paraId="616C5B63" w14:textId="77777777" w:rsidTr="000276F0">
        <w:trPr>
          <w:trHeight w:val="334"/>
        </w:trPr>
        <w:tc>
          <w:tcPr>
            <w:tcW w:w="1250" w:type="pct"/>
            <w:vAlign w:val="center"/>
          </w:tcPr>
          <w:p w14:paraId="5C17C0C5" w14:textId="77777777" w:rsidR="00DD74A0" w:rsidRDefault="00DD74A0" w:rsidP="00BA44EB">
            <w:pPr>
              <w:spacing w:after="0" w:line="240" w:lineRule="auto"/>
            </w:pPr>
            <w:r>
              <w:t>Incremental profits to reverse cycle manufacturers</w:t>
            </w:r>
          </w:p>
        </w:tc>
        <w:tc>
          <w:tcPr>
            <w:tcW w:w="1250" w:type="pct"/>
            <w:vAlign w:val="center"/>
          </w:tcPr>
          <w:p w14:paraId="164B3E34" w14:textId="77777777" w:rsidR="00DD74A0" w:rsidRPr="00271683" w:rsidRDefault="00DD74A0" w:rsidP="0050126C">
            <w:pPr>
              <w:spacing w:after="0" w:line="240" w:lineRule="auto"/>
              <w:jc w:val="center"/>
              <w:rPr>
                <w:rFonts w:eastAsia="Times New Roman" w:cs="Times New Roman"/>
                <w:color w:val="000000"/>
                <w:lang w:eastAsia="en-AU"/>
              </w:rPr>
            </w:pPr>
            <w:r w:rsidRPr="00271683">
              <w:rPr>
                <w:rFonts w:eastAsia="Times New Roman" w:cs="Times New Roman"/>
                <w:color w:val="000000"/>
                <w:lang w:eastAsia="en-AU"/>
              </w:rPr>
              <w:t>$0</w:t>
            </w:r>
          </w:p>
        </w:tc>
        <w:tc>
          <w:tcPr>
            <w:tcW w:w="1250" w:type="pct"/>
            <w:vAlign w:val="center"/>
          </w:tcPr>
          <w:p w14:paraId="5F9E154C" w14:textId="45D5CD24" w:rsidR="00DD74A0" w:rsidRPr="00065850" w:rsidRDefault="00DD74A0" w:rsidP="004867F4">
            <w:pPr>
              <w:spacing w:after="0" w:line="240" w:lineRule="auto"/>
              <w:jc w:val="center"/>
            </w:pPr>
            <w:r w:rsidRPr="00E85FE1">
              <w:rPr>
                <w:rFonts w:eastAsia="Times New Roman" w:cs="Times New Roman"/>
                <w:color w:val="000000"/>
                <w:sz w:val="16"/>
                <w:szCs w:val="16"/>
                <w:lang w:eastAsia="en-AU"/>
              </w:rPr>
              <w:t>$</w:t>
            </w:r>
            <w:r w:rsidR="00C96FA8">
              <w:rPr>
                <w:rFonts w:eastAsia="Times New Roman" w:cs="Times New Roman"/>
                <w:color w:val="000000"/>
                <w:sz w:val="16"/>
                <w:szCs w:val="16"/>
                <w:lang w:eastAsia="en-AU"/>
              </w:rPr>
              <w:t>1,251,915</w:t>
            </w:r>
          </w:p>
        </w:tc>
        <w:tc>
          <w:tcPr>
            <w:tcW w:w="1250" w:type="pct"/>
            <w:vAlign w:val="center"/>
          </w:tcPr>
          <w:p w14:paraId="4EA3FE98" w14:textId="362BC674" w:rsidR="00DD74A0" w:rsidRPr="00065850" w:rsidRDefault="00DD74A0" w:rsidP="00436EED">
            <w:pPr>
              <w:spacing w:after="0" w:line="240" w:lineRule="auto"/>
              <w:jc w:val="center"/>
            </w:pPr>
            <w:r w:rsidRPr="00AF4D76">
              <w:rPr>
                <w:rFonts w:eastAsia="Times New Roman" w:cs="Times New Roman"/>
                <w:color w:val="000000"/>
                <w:sz w:val="16"/>
                <w:szCs w:val="16"/>
                <w:lang w:eastAsia="en-AU"/>
              </w:rPr>
              <w:t>$</w:t>
            </w:r>
            <w:r w:rsidR="00965362">
              <w:rPr>
                <w:rFonts w:eastAsia="Times New Roman" w:cs="Times New Roman"/>
                <w:color w:val="000000"/>
                <w:sz w:val="16"/>
                <w:szCs w:val="16"/>
                <w:lang w:eastAsia="en-AU"/>
              </w:rPr>
              <w:t>967,795</w:t>
            </w:r>
          </w:p>
        </w:tc>
      </w:tr>
      <w:tr w:rsidR="00DD74A0" w:rsidRPr="00D84C5C" w14:paraId="1F4E0A9E" w14:textId="77777777" w:rsidTr="000276F0">
        <w:trPr>
          <w:trHeight w:val="334"/>
        </w:trPr>
        <w:tc>
          <w:tcPr>
            <w:tcW w:w="1250" w:type="pct"/>
            <w:vAlign w:val="center"/>
          </w:tcPr>
          <w:p w14:paraId="28D5D2D6" w14:textId="77777777" w:rsidR="00DD74A0" w:rsidRPr="00271683" w:rsidRDefault="00DD74A0" w:rsidP="00BA44EB">
            <w:pPr>
              <w:spacing w:after="0" w:line="240" w:lineRule="auto"/>
              <w:rPr>
                <w:rFonts w:eastAsia="Times New Roman" w:cs="Times New Roman"/>
                <w:color w:val="000000"/>
                <w:lang w:eastAsia="en-AU"/>
              </w:rPr>
            </w:pPr>
            <w:r>
              <w:t>Reduced household energy costs</w:t>
            </w:r>
          </w:p>
        </w:tc>
        <w:tc>
          <w:tcPr>
            <w:tcW w:w="1250" w:type="pct"/>
            <w:vAlign w:val="center"/>
          </w:tcPr>
          <w:p w14:paraId="2E0618E3" w14:textId="77777777" w:rsidR="00DD74A0" w:rsidRPr="00271683" w:rsidRDefault="00DD74A0" w:rsidP="0050126C">
            <w:pPr>
              <w:spacing w:after="0" w:line="240" w:lineRule="auto"/>
              <w:jc w:val="center"/>
              <w:rPr>
                <w:rFonts w:eastAsia="Times New Roman" w:cs="Times New Roman"/>
                <w:color w:val="000000"/>
                <w:lang w:eastAsia="en-AU"/>
              </w:rPr>
            </w:pPr>
            <w:r w:rsidRPr="00271683">
              <w:rPr>
                <w:rFonts w:eastAsia="Times New Roman" w:cs="Times New Roman"/>
                <w:color w:val="000000"/>
                <w:lang w:eastAsia="en-AU"/>
              </w:rPr>
              <w:t>$0</w:t>
            </w:r>
          </w:p>
        </w:tc>
        <w:tc>
          <w:tcPr>
            <w:tcW w:w="1250" w:type="pct"/>
            <w:vAlign w:val="center"/>
          </w:tcPr>
          <w:p w14:paraId="3AF57855" w14:textId="05A1B22E" w:rsidR="00DD74A0" w:rsidRPr="00271683" w:rsidRDefault="00DD74A0" w:rsidP="004867F4">
            <w:pPr>
              <w:spacing w:after="0" w:line="240" w:lineRule="auto"/>
              <w:jc w:val="center"/>
              <w:rPr>
                <w:rFonts w:eastAsia="Times New Roman" w:cs="Times New Roman"/>
                <w:color w:val="000000"/>
                <w:lang w:eastAsia="en-AU"/>
              </w:rPr>
            </w:pPr>
            <w:r w:rsidRPr="00E85FE1">
              <w:rPr>
                <w:sz w:val="16"/>
                <w:szCs w:val="16"/>
              </w:rPr>
              <w:t>$</w:t>
            </w:r>
            <w:r w:rsidR="003A6F07">
              <w:rPr>
                <w:sz w:val="16"/>
                <w:szCs w:val="16"/>
              </w:rPr>
              <w:t>4,</w:t>
            </w:r>
            <w:r w:rsidR="00F91B9C">
              <w:rPr>
                <w:sz w:val="16"/>
                <w:szCs w:val="16"/>
              </w:rPr>
              <w:t>872,288</w:t>
            </w:r>
          </w:p>
        </w:tc>
        <w:tc>
          <w:tcPr>
            <w:tcW w:w="1250" w:type="pct"/>
            <w:vAlign w:val="center"/>
          </w:tcPr>
          <w:p w14:paraId="761633BC" w14:textId="43A8D3C4" w:rsidR="00DD74A0" w:rsidRPr="00271683" w:rsidRDefault="00DD74A0" w:rsidP="00436EED">
            <w:pPr>
              <w:spacing w:after="0" w:line="240" w:lineRule="auto"/>
              <w:jc w:val="center"/>
              <w:rPr>
                <w:rFonts w:eastAsia="Times New Roman" w:cs="Times New Roman"/>
                <w:color w:val="000000"/>
                <w:lang w:eastAsia="en-AU"/>
              </w:rPr>
            </w:pPr>
            <w:r w:rsidRPr="00AF4D76">
              <w:rPr>
                <w:sz w:val="16"/>
                <w:szCs w:val="16"/>
              </w:rPr>
              <w:t>$</w:t>
            </w:r>
            <w:r w:rsidR="00C12A0E">
              <w:rPr>
                <w:sz w:val="16"/>
                <w:szCs w:val="16"/>
              </w:rPr>
              <w:t>3,614,328</w:t>
            </w:r>
          </w:p>
        </w:tc>
      </w:tr>
      <w:tr w:rsidR="00DD74A0" w:rsidRPr="00D84C5C" w14:paraId="7B400394" w14:textId="77777777" w:rsidTr="000276F0">
        <w:trPr>
          <w:trHeight w:val="334"/>
        </w:trPr>
        <w:tc>
          <w:tcPr>
            <w:tcW w:w="1250" w:type="pct"/>
            <w:vAlign w:val="center"/>
          </w:tcPr>
          <w:p w14:paraId="77BFC2A6" w14:textId="77777777" w:rsidR="00DD74A0" w:rsidRPr="00271683" w:rsidRDefault="00DD74A0" w:rsidP="00BA44EB">
            <w:pPr>
              <w:spacing w:after="0" w:line="240" w:lineRule="auto"/>
              <w:rPr>
                <w:rFonts w:eastAsia="Times New Roman" w:cs="Times New Roman"/>
                <w:color w:val="000000"/>
                <w:lang w:eastAsia="en-AU"/>
              </w:rPr>
            </w:pPr>
            <w:r>
              <w:t>Reduced greenhouse gas emissions</w:t>
            </w:r>
          </w:p>
        </w:tc>
        <w:tc>
          <w:tcPr>
            <w:tcW w:w="1250" w:type="pct"/>
            <w:vAlign w:val="center"/>
          </w:tcPr>
          <w:p w14:paraId="129B4288" w14:textId="77777777" w:rsidR="00DD74A0" w:rsidRPr="00271683" w:rsidRDefault="00DD74A0" w:rsidP="0050126C">
            <w:pPr>
              <w:spacing w:after="0" w:line="240" w:lineRule="auto"/>
              <w:jc w:val="center"/>
              <w:rPr>
                <w:rFonts w:eastAsia="Times New Roman" w:cs="Times New Roman"/>
                <w:color w:val="000000"/>
                <w:lang w:eastAsia="en-AU"/>
              </w:rPr>
            </w:pPr>
            <w:r w:rsidRPr="00271683">
              <w:rPr>
                <w:rFonts w:eastAsia="Times New Roman" w:cs="Times New Roman"/>
                <w:color w:val="000000"/>
                <w:lang w:eastAsia="en-AU"/>
              </w:rPr>
              <w:t>$0</w:t>
            </w:r>
          </w:p>
        </w:tc>
        <w:tc>
          <w:tcPr>
            <w:tcW w:w="1250" w:type="pct"/>
            <w:vAlign w:val="center"/>
          </w:tcPr>
          <w:p w14:paraId="6954285B" w14:textId="6D949EA6" w:rsidR="00DD74A0" w:rsidRPr="00271683" w:rsidRDefault="00DD74A0" w:rsidP="004867F4">
            <w:pPr>
              <w:spacing w:after="0" w:line="240" w:lineRule="auto"/>
              <w:jc w:val="center"/>
              <w:rPr>
                <w:rFonts w:eastAsia="Times New Roman" w:cs="Times New Roman"/>
                <w:color w:val="000000"/>
                <w:lang w:eastAsia="en-AU"/>
              </w:rPr>
            </w:pPr>
            <w:r w:rsidRPr="00E85FE1">
              <w:rPr>
                <w:sz w:val="16"/>
                <w:szCs w:val="16"/>
              </w:rPr>
              <w:t>$</w:t>
            </w:r>
            <w:r w:rsidR="00F91B9C">
              <w:rPr>
                <w:sz w:val="16"/>
                <w:szCs w:val="16"/>
              </w:rPr>
              <w:t>114,</w:t>
            </w:r>
            <w:r w:rsidR="000C6DD0">
              <w:rPr>
                <w:sz w:val="16"/>
                <w:szCs w:val="16"/>
              </w:rPr>
              <w:t>667</w:t>
            </w:r>
          </w:p>
        </w:tc>
        <w:tc>
          <w:tcPr>
            <w:tcW w:w="1250" w:type="pct"/>
            <w:vAlign w:val="center"/>
          </w:tcPr>
          <w:p w14:paraId="5C9D19CD" w14:textId="79973E69" w:rsidR="00DD74A0" w:rsidRPr="00271683" w:rsidRDefault="00DD74A0" w:rsidP="00436EED">
            <w:pPr>
              <w:spacing w:after="0" w:line="240" w:lineRule="auto"/>
              <w:jc w:val="center"/>
              <w:rPr>
                <w:rFonts w:eastAsia="Times New Roman" w:cs="Times New Roman"/>
                <w:color w:val="000000"/>
                <w:lang w:eastAsia="en-AU"/>
              </w:rPr>
            </w:pPr>
            <w:r w:rsidRPr="00AF4D76">
              <w:rPr>
                <w:sz w:val="16"/>
                <w:szCs w:val="16"/>
              </w:rPr>
              <w:t>$</w:t>
            </w:r>
            <w:r w:rsidR="00C12A0E">
              <w:rPr>
                <w:sz w:val="16"/>
                <w:szCs w:val="16"/>
              </w:rPr>
              <w:t>86,567</w:t>
            </w:r>
          </w:p>
        </w:tc>
      </w:tr>
      <w:tr w:rsidR="003D01ED" w:rsidRPr="00D84C5C" w14:paraId="572D6DE4" w14:textId="77777777" w:rsidTr="000276F0">
        <w:trPr>
          <w:trHeight w:val="343"/>
        </w:trPr>
        <w:tc>
          <w:tcPr>
            <w:tcW w:w="1250" w:type="pct"/>
            <w:vAlign w:val="center"/>
            <w:hideMark/>
          </w:tcPr>
          <w:p w14:paraId="3ACF6CAA" w14:textId="77777777" w:rsidR="00DD74A0" w:rsidRPr="00D84C5C" w:rsidRDefault="00DD74A0" w:rsidP="00BA44EB">
            <w:pPr>
              <w:spacing w:after="0" w:line="240" w:lineRule="auto"/>
              <w:rPr>
                <w:rFonts w:eastAsia="Times New Roman" w:cs="Times New Roman"/>
                <w:b/>
                <w:bCs/>
                <w:color w:val="000000"/>
                <w:lang w:eastAsia="en-AU"/>
              </w:rPr>
            </w:pPr>
            <w:r w:rsidRPr="00D84C5C">
              <w:rPr>
                <w:rFonts w:eastAsia="Times New Roman" w:cs="Times New Roman"/>
                <w:b/>
                <w:bCs/>
                <w:color w:val="000000"/>
                <w:lang w:eastAsia="en-AU"/>
              </w:rPr>
              <w:t>Total</w:t>
            </w:r>
            <w:r>
              <w:rPr>
                <w:rFonts w:eastAsia="Times New Roman" w:cs="Times New Roman"/>
                <w:b/>
                <w:bCs/>
                <w:color w:val="000000"/>
                <w:lang w:eastAsia="en-AU"/>
              </w:rPr>
              <w:t xml:space="preserve"> estimated and quantified benefits</w:t>
            </w:r>
          </w:p>
        </w:tc>
        <w:tc>
          <w:tcPr>
            <w:tcW w:w="1250" w:type="pct"/>
            <w:vAlign w:val="center"/>
          </w:tcPr>
          <w:p w14:paraId="4288906C" w14:textId="77777777" w:rsidR="00DD74A0" w:rsidRPr="00D84C5C" w:rsidRDefault="00DD74A0" w:rsidP="0050126C">
            <w:pPr>
              <w:spacing w:after="0" w:line="240" w:lineRule="auto"/>
              <w:jc w:val="center"/>
              <w:rPr>
                <w:rFonts w:eastAsia="Times New Roman" w:cs="Times New Roman"/>
                <w:b/>
                <w:bCs/>
                <w:color w:val="FF0000"/>
                <w:lang w:eastAsia="en-AU"/>
              </w:rPr>
            </w:pPr>
            <w:r w:rsidRPr="00D84C5C">
              <w:rPr>
                <w:rFonts w:eastAsia="Times New Roman" w:cs="Times New Roman"/>
                <w:b/>
                <w:color w:val="000000"/>
                <w:lang w:eastAsia="en-AU"/>
              </w:rPr>
              <w:t>$0</w:t>
            </w:r>
          </w:p>
        </w:tc>
        <w:tc>
          <w:tcPr>
            <w:tcW w:w="1250" w:type="pct"/>
            <w:vAlign w:val="center"/>
          </w:tcPr>
          <w:p w14:paraId="0C1950D6" w14:textId="2474A001" w:rsidR="00DD74A0" w:rsidRPr="00E85FE1" w:rsidRDefault="00DD74A0" w:rsidP="004867F4">
            <w:pPr>
              <w:spacing w:after="0" w:line="240" w:lineRule="auto"/>
              <w:jc w:val="center"/>
              <w:rPr>
                <w:b/>
                <w:sz w:val="16"/>
                <w:szCs w:val="16"/>
              </w:rPr>
            </w:pPr>
            <w:r w:rsidRPr="00E85FE1">
              <w:rPr>
                <w:b/>
                <w:sz w:val="16"/>
                <w:szCs w:val="16"/>
              </w:rPr>
              <w:t>$</w:t>
            </w:r>
            <w:r w:rsidR="000C6DD0">
              <w:rPr>
                <w:b/>
                <w:sz w:val="16"/>
                <w:szCs w:val="16"/>
              </w:rPr>
              <w:t>10,293,273</w:t>
            </w:r>
          </w:p>
          <w:p w14:paraId="423ECDCD" w14:textId="77777777" w:rsidR="00DD74A0" w:rsidRPr="007658BE" w:rsidRDefault="00DD74A0" w:rsidP="00436EED">
            <w:pPr>
              <w:spacing w:after="0" w:line="240" w:lineRule="auto"/>
              <w:jc w:val="center"/>
              <w:rPr>
                <w:b/>
              </w:rPr>
            </w:pPr>
          </w:p>
        </w:tc>
        <w:tc>
          <w:tcPr>
            <w:tcW w:w="1250" w:type="pct"/>
            <w:vAlign w:val="center"/>
          </w:tcPr>
          <w:p w14:paraId="7E6A03D1" w14:textId="7354A108" w:rsidR="00DD74A0" w:rsidRPr="00AF4D76" w:rsidRDefault="00DD74A0" w:rsidP="00436EED">
            <w:pPr>
              <w:spacing w:after="0" w:line="240" w:lineRule="auto"/>
              <w:jc w:val="center"/>
              <w:rPr>
                <w:b/>
                <w:sz w:val="16"/>
                <w:szCs w:val="16"/>
              </w:rPr>
            </w:pPr>
            <w:r w:rsidRPr="00AF4D76">
              <w:rPr>
                <w:b/>
                <w:sz w:val="16"/>
                <w:szCs w:val="16"/>
              </w:rPr>
              <w:t>$</w:t>
            </w:r>
            <w:r w:rsidR="00B02A0A">
              <w:rPr>
                <w:b/>
                <w:sz w:val="16"/>
                <w:szCs w:val="16"/>
              </w:rPr>
              <w:t>7,676,300</w:t>
            </w:r>
          </w:p>
          <w:p w14:paraId="44215AAB" w14:textId="77777777" w:rsidR="00DD74A0" w:rsidRPr="007658BE" w:rsidRDefault="00DD74A0" w:rsidP="00436EED">
            <w:pPr>
              <w:spacing w:after="0" w:line="240" w:lineRule="auto"/>
              <w:jc w:val="center"/>
              <w:rPr>
                <w:b/>
              </w:rPr>
            </w:pPr>
          </w:p>
        </w:tc>
      </w:tr>
    </w:tbl>
    <w:p w14:paraId="04DDABE8" w14:textId="121C16C7" w:rsidR="00DD74A0" w:rsidRDefault="006C6775" w:rsidP="00096B3A">
      <w:pPr>
        <w:pStyle w:val="Source"/>
      </w:pPr>
      <w:r>
        <w:t>Note: Some totals do not sum due to rounding</w:t>
      </w:r>
    </w:p>
    <w:p w14:paraId="35E9A160" w14:textId="2C38174F" w:rsidR="00762C6C" w:rsidRPr="00C05212" w:rsidRDefault="0093764B" w:rsidP="00C05212">
      <w:pPr>
        <w:pStyle w:val="Heading3"/>
      </w:pPr>
      <w:r w:rsidRPr="00F65FBA">
        <w:br w:type="page"/>
      </w:r>
      <w:r w:rsidR="00762C6C" w:rsidRPr="00C05212">
        <w:lastRenderedPageBreak/>
        <w:t xml:space="preserve">Preferred </w:t>
      </w:r>
      <w:r w:rsidR="00BB06E6" w:rsidRPr="00C05212">
        <w:t xml:space="preserve">phase out </w:t>
      </w:r>
      <w:r w:rsidR="00762C6C" w:rsidRPr="00C05212">
        <w:t>option</w:t>
      </w:r>
    </w:p>
    <w:p w14:paraId="4932DFF2" w14:textId="4D1832A9" w:rsidR="00A1183D" w:rsidRDefault="00FE2CEE" w:rsidP="000276F0">
      <w:pPr>
        <w:pStyle w:val="BodyText"/>
        <w:spacing w:before="60"/>
      </w:pPr>
      <w:r>
        <w:t xml:space="preserve">Both </w:t>
      </w:r>
      <w:r w:rsidR="00985A2C">
        <w:t xml:space="preserve">phase out </w:t>
      </w:r>
      <w:r w:rsidR="00985A2C" w:rsidRPr="00CD7FCD">
        <w:t xml:space="preserve">options are expected to breakeven </w:t>
      </w:r>
      <w:r w:rsidR="00651B51">
        <w:t xml:space="preserve">and achieve the </w:t>
      </w:r>
      <w:r w:rsidR="00C02F64">
        <w:t xml:space="preserve">primary </w:t>
      </w:r>
      <w:r w:rsidR="00651B51">
        <w:t xml:space="preserve">objective </w:t>
      </w:r>
      <w:r w:rsidR="00C02F64">
        <w:t xml:space="preserve">of ensuring the </w:t>
      </w:r>
      <w:r w:rsidR="00C02F64" w:rsidRPr="00C02F64">
        <w:t>health and safety of the community</w:t>
      </w:r>
      <w:r w:rsidR="00D3408D">
        <w:t xml:space="preserve"> (see section 2.5)</w:t>
      </w:r>
      <w:r w:rsidR="00381B14">
        <w:t>.</w:t>
      </w:r>
      <w:r w:rsidR="00381B14" w:rsidRPr="00381B14">
        <w:t xml:space="preserve"> </w:t>
      </w:r>
      <w:r w:rsidR="00381B14">
        <w:t>While Option 1 is estimated to avoid more deaths and illnesses than Option 2, Option 2 costs around $1.2 million less because it takes effect 7 months later.</w:t>
      </w:r>
      <w:r w:rsidR="00381B14" w:rsidRPr="00381B14">
        <w:t xml:space="preserve"> </w:t>
      </w:r>
      <w:r w:rsidR="00A1183D">
        <w:t xml:space="preserve">This delayed implementation allows Option 2 to better achieve other considerations on the objectives of the RIS </w:t>
      </w:r>
      <w:r w:rsidR="00366698">
        <w:t xml:space="preserve">(see section 2.5) </w:t>
      </w:r>
      <w:r w:rsidR="00A1183D">
        <w:t>including:</w:t>
      </w:r>
    </w:p>
    <w:p w14:paraId="41C0D3D2" w14:textId="357A0645" w:rsidR="00A1183D" w:rsidRDefault="00381B14" w:rsidP="00432333">
      <w:pPr>
        <w:pStyle w:val="ListBullet"/>
        <w:numPr>
          <w:ilvl w:val="0"/>
          <w:numId w:val="41"/>
        </w:numPr>
        <w:spacing w:after="120"/>
        <w:ind w:left="714" w:hanging="357"/>
        <w:contextualSpacing w:val="0"/>
      </w:pPr>
      <w:r>
        <w:t xml:space="preserve">Option 2’s implementation delay </w:t>
      </w:r>
      <w:r w:rsidR="00690984">
        <w:t xml:space="preserve">gives industry more time to prepare for the changes and transition production towards other heaters, limiting revenue reductions and potential jobs lost. </w:t>
      </w:r>
    </w:p>
    <w:p w14:paraId="183139B0" w14:textId="77777777" w:rsidR="00EC3476" w:rsidRDefault="00B1278B" w:rsidP="00432333">
      <w:pPr>
        <w:pStyle w:val="ListBullet"/>
        <w:numPr>
          <w:ilvl w:val="0"/>
          <w:numId w:val="41"/>
        </w:numPr>
        <w:spacing w:after="120"/>
        <w:ind w:left="714" w:hanging="357"/>
        <w:contextualSpacing w:val="0"/>
      </w:pPr>
      <w:r>
        <w:t>Option 2</w:t>
      </w:r>
      <w:r w:rsidR="00690984">
        <w:t xml:space="preserve"> reduces the likelihood of </w:t>
      </w:r>
      <w:r w:rsidR="004576A9">
        <w:t xml:space="preserve">intermittent stock shortages </w:t>
      </w:r>
      <w:r>
        <w:t>for</w:t>
      </w:r>
      <w:r w:rsidR="004576A9">
        <w:t xml:space="preserve"> alternative heaters, which </w:t>
      </w:r>
      <w:r>
        <w:t xml:space="preserve">could </w:t>
      </w:r>
      <w:r w:rsidR="00D34083">
        <w:t>temporarily</w:t>
      </w:r>
      <w:r w:rsidR="002C4C9C">
        <w:t xml:space="preserve"> reduce the affordability of heating for some consumers</w:t>
      </w:r>
      <w:r w:rsidR="00D34083">
        <w:t xml:space="preserve">. </w:t>
      </w:r>
    </w:p>
    <w:p w14:paraId="30C92010" w14:textId="7877E614" w:rsidR="00381B14" w:rsidRDefault="00D34083" w:rsidP="00432333">
      <w:pPr>
        <w:pStyle w:val="ListBullet"/>
        <w:numPr>
          <w:ilvl w:val="0"/>
          <w:numId w:val="41"/>
        </w:numPr>
        <w:spacing w:after="120"/>
        <w:ind w:left="714" w:hanging="357"/>
        <w:contextualSpacing w:val="0"/>
      </w:pPr>
      <w:r>
        <w:t xml:space="preserve">Option 2 is also expected to have </w:t>
      </w:r>
      <w:r w:rsidRPr="00671AFC">
        <w:t>lower impact on the broader gas market</w:t>
      </w:r>
      <w:r>
        <w:t xml:space="preserve"> (i.e. impact on consumer perceptions of gas as an energy source</w:t>
      </w:r>
      <w:r w:rsidR="00EC3476">
        <w:t>) and therefore better m</w:t>
      </w:r>
      <w:r w:rsidR="00EC3476" w:rsidRPr="00EC3476">
        <w:t>aintain</w:t>
      </w:r>
      <w:r w:rsidR="00EC3476">
        <w:t>s</w:t>
      </w:r>
      <w:r w:rsidR="00EC3476" w:rsidRPr="00EC3476">
        <w:t xml:space="preserve"> consumer confidence in gas</w:t>
      </w:r>
      <w:r w:rsidR="00E73301">
        <w:t>.</w:t>
      </w:r>
    </w:p>
    <w:p w14:paraId="2E362A0C" w14:textId="33E17507" w:rsidR="0095127F" w:rsidRPr="004E4649" w:rsidRDefault="0095127F" w:rsidP="00432333">
      <w:pPr>
        <w:pStyle w:val="ListBullet"/>
        <w:numPr>
          <w:ilvl w:val="0"/>
          <w:numId w:val="0"/>
        </w:numPr>
        <w:spacing w:before="120"/>
        <w:contextualSpacing w:val="0"/>
      </w:pPr>
      <w:r>
        <w:t>At the same time, it needs to be recognised that:</w:t>
      </w:r>
    </w:p>
    <w:p w14:paraId="718405B5" w14:textId="51B60D1B" w:rsidR="000A6B85" w:rsidRDefault="0095127F" w:rsidP="000A6B85">
      <w:pPr>
        <w:pStyle w:val="ListParagraph"/>
        <w:numPr>
          <w:ilvl w:val="0"/>
          <w:numId w:val="41"/>
        </w:numPr>
        <w:spacing w:before="120" w:after="0" w:line="240" w:lineRule="auto"/>
      </w:pPr>
      <w:r>
        <w:t xml:space="preserve">Because </w:t>
      </w:r>
      <w:r w:rsidR="000A6B85">
        <w:t>Option 2 take</w:t>
      </w:r>
      <w:r>
        <w:t>s</w:t>
      </w:r>
      <w:r w:rsidR="000A6B85">
        <w:t xml:space="preserve"> effect seven months later than Option 1, </w:t>
      </w:r>
      <w:r>
        <w:t>it means</w:t>
      </w:r>
      <w:r w:rsidR="000A6B85">
        <w:t xml:space="preserve"> slightly fewer deaths and illnesses avoided (estimated 0.01 deaths, 0.04 serious illness, and 140 low level illness</w:t>
      </w:r>
      <w:r w:rsidR="00646F99">
        <w:t>)</w:t>
      </w:r>
      <w:r w:rsidR="003805EA">
        <w:t>.</w:t>
      </w:r>
      <w:r w:rsidR="000A6B85">
        <w:t xml:space="preserve"> Option 2 </w:t>
      </w:r>
      <w:r w:rsidR="00EB246E">
        <w:t xml:space="preserve">also </w:t>
      </w:r>
      <w:r w:rsidR="000A6B85">
        <w:t xml:space="preserve">allows existing certified stock to continue to be sold even after the standard commences on 1 January 2022 – in contrast under Option 1 existing stock cannot be sold after 1 June 2021. </w:t>
      </w:r>
      <w:r w:rsidR="00855F1B">
        <w:t>This might mean slightly fewer</w:t>
      </w:r>
      <w:r w:rsidR="00EF08F3">
        <w:t xml:space="preserve"> </w:t>
      </w:r>
      <w:r w:rsidR="00110ABA">
        <w:t xml:space="preserve">avoided </w:t>
      </w:r>
      <w:r w:rsidR="00EF08F3">
        <w:t xml:space="preserve">deaths and </w:t>
      </w:r>
      <w:r w:rsidR="00B431A5">
        <w:t>illnesses;</w:t>
      </w:r>
      <w:r w:rsidR="00A6120D">
        <w:t xml:space="preserve"> </w:t>
      </w:r>
      <w:r w:rsidR="00B431A5">
        <w:t>however,</w:t>
      </w:r>
      <w:r w:rsidR="009C57EF">
        <w:t xml:space="preserve"> </w:t>
      </w:r>
      <w:r w:rsidR="00354630">
        <w:t>the</w:t>
      </w:r>
      <w:r w:rsidR="00A6120D">
        <w:t xml:space="preserve"> trade-off </w:t>
      </w:r>
      <w:r w:rsidR="00354630">
        <w:t>is that</w:t>
      </w:r>
      <w:r w:rsidR="00A6120D">
        <w:t xml:space="preserve"> industry </w:t>
      </w:r>
      <w:r w:rsidR="00473E4D">
        <w:t xml:space="preserve">and the community </w:t>
      </w:r>
      <w:r w:rsidR="00354630">
        <w:t xml:space="preserve">has </w:t>
      </w:r>
      <w:r w:rsidR="00A6120D">
        <w:t xml:space="preserve">more time to adjust </w:t>
      </w:r>
      <w:r w:rsidR="008C736B">
        <w:t>to the change</w:t>
      </w:r>
      <w:r w:rsidR="00354630">
        <w:t xml:space="preserve">. </w:t>
      </w:r>
      <w:r w:rsidR="00473E4D">
        <w:t xml:space="preserve">As noted above this will reduce the risk of stock shortages, job losses and negative impacts on the gas market. </w:t>
      </w:r>
      <w:r w:rsidR="00354630">
        <w:t xml:space="preserve">It is considered that this trade-off is </w:t>
      </w:r>
      <w:r w:rsidR="002A5AED">
        <w:t>reasonable in the circumstances.</w:t>
      </w:r>
    </w:p>
    <w:p w14:paraId="70DBE2DE" w14:textId="5A69CE49" w:rsidR="000A6B85" w:rsidRDefault="000A6B85" w:rsidP="00C05212">
      <w:pPr>
        <w:pStyle w:val="ListParagraph"/>
        <w:numPr>
          <w:ilvl w:val="0"/>
          <w:numId w:val="41"/>
        </w:numPr>
        <w:spacing w:before="120" w:after="120" w:line="240" w:lineRule="auto"/>
        <w:ind w:left="714" w:hanging="357"/>
        <w:contextualSpacing w:val="0"/>
      </w:pPr>
      <w:r>
        <w:t>Option 2 might also be less effective in enforcing compliance relative to Option 1, because it does not provide a</w:t>
      </w:r>
      <w:r w:rsidR="006931D7">
        <w:t>s</w:t>
      </w:r>
      <w:r>
        <w:t xml:space="preserve"> strong </w:t>
      </w:r>
      <w:r w:rsidR="006931D7">
        <w:t>a</w:t>
      </w:r>
      <w:r>
        <w:t xml:space="preserve"> compliance/enforcement framework </w:t>
      </w:r>
      <w:r w:rsidRPr="00C05212">
        <w:rPr>
          <w:b/>
          <w:bCs/>
        </w:rPr>
        <w:t xml:space="preserve">in Victorian </w:t>
      </w:r>
      <w:r w:rsidR="00EC7CBC">
        <w:rPr>
          <w:b/>
          <w:bCs/>
        </w:rPr>
        <w:t>legislation</w:t>
      </w:r>
      <w:r>
        <w:t xml:space="preserve">. </w:t>
      </w:r>
      <w:r w:rsidR="00856931">
        <w:t xml:space="preserve">At the same time, </w:t>
      </w:r>
      <w:r w:rsidR="00877223">
        <w:t xml:space="preserve">national </w:t>
      </w:r>
      <w:r w:rsidR="00B06CAD">
        <w:t xml:space="preserve">compliance mechanisms do </w:t>
      </w:r>
      <w:r w:rsidR="00E756F3">
        <w:t>exist,</w:t>
      </w:r>
      <w:r w:rsidR="00877223">
        <w:t xml:space="preserve"> and they should be sufficient</w:t>
      </w:r>
      <w:r w:rsidR="00CE5AE6">
        <w:t xml:space="preserve"> to ensure the </w:t>
      </w:r>
      <w:r w:rsidR="00C07359">
        <w:t xml:space="preserve">integrity of </w:t>
      </w:r>
      <w:r w:rsidR="007A09CC">
        <w:t>t</w:t>
      </w:r>
      <w:r w:rsidR="00C07359">
        <w:t>he phase</w:t>
      </w:r>
      <w:r w:rsidR="007D077B">
        <w:t xml:space="preserve"> </w:t>
      </w:r>
      <w:r w:rsidR="00C07359">
        <w:t>out</w:t>
      </w:r>
      <w:r w:rsidR="00877223">
        <w:t>.</w:t>
      </w:r>
    </w:p>
    <w:p w14:paraId="4497F051" w14:textId="292F3ED8" w:rsidR="00A7337D" w:rsidRDefault="00E73301" w:rsidP="00873C70">
      <w:r>
        <w:t>As such, t</w:t>
      </w:r>
      <w:r w:rsidRPr="00CC4A0B">
        <w:t xml:space="preserve">he preferred approach is </w:t>
      </w:r>
      <w:r>
        <w:t xml:space="preserve">the fast-tracked standards-based approach (Option 2). </w:t>
      </w:r>
      <w:r w:rsidR="005A0BF1">
        <w:t xml:space="preserve">Overall, the </w:t>
      </w:r>
      <w:r w:rsidR="000E28A2">
        <w:t>fast-tracked</w:t>
      </w:r>
      <w:r w:rsidR="00B3080B">
        <w:t xml:space="preserve"> </w:t>
      </w:r>
      <w:r w:rsidR="000B3520">
        <w:t>standards-based</w:t>
      </w:r>
      <w:r w:rsidR="00B3080B">
        <w:t xml:space="preserve"> approach is preferred due</w:t>
      </w:r>
      <w:r w:rsidR="00B3080B" w:rsidRPr="00671AFC">
        <w:t xml:space="preserve"> </w:t>
      </w:r>
      <w:r w:rsidR="00B3080B">
        <w:t>to its lower expected costs</w:t>
      </w:r>
      <w:r w:rsidR="00B3080B" w:rsidRPr="00671AFC">
        <w:t xml:space="preserve">, </w:t>
      </w:r>
      <w:r w:rsidR="00D151E6">
        <w:t>its</w:t>
      </w:r>
      <w:r w:rsidR="00D151E6" w:rsidRPr="00671AFC">
        <w:t xml:space="preserve"> </w:t>
      </w:r>
      <w:r w:rsidR="00B3080B" w:rsidRPr="00671AFC">
        <w:t xml:space="preserve">potentially lower impact on the broader gas market, and the relatively </w:t>
      </w:r>
      <w:r w:rsidR="00B3080B" w:rsidRPr="009E0AED">
        <w:t>small</w:t>
      </w:r>
      <w:r w:rsidR="00B3080B" w:rsidRPr="00671AFC">
        <w:t xml:space="preserve"> difference in </w:t>
      </w:r>
      <w:r w:rsidR="00CE7D85">
        <w:t>estimated net</w:t>
      </w:r>
      <w:r w:rsidR="00B3080B" w:rsidRPr="00671AFC">
        <w:t xml:space="preserve"> benefits</w:t>
      </w:r>
      <w:r w:rsidR="00B3080B" w:rsidRPr="009E0AED">
        <w:t xml:space="preserve"> between the options</w:t>
      </w:r>
      <w:r w:rsidR="00B3080B">
        <w:t xml:space="preserve">. </w:t>
      </w:r>
    </w:p>
    <w:p w14:paraId="08B3EE8F" w14:textId="79205BBA" w:rsidR="00B3080B" w:rsidRDefault="00873C70" w:rsidP="000276F0">
      <w:r>
        <w:t xml:space="preserve">In the unlikely event that the </w:t>
      </w:r>
      <w:r w:rsidRPr="00A9649F">
        <w:t xml:space="preserve">fast-tracked standards-based approach </w:t>
      </w:r>
      <w:r>
        <w:t>cannot</w:t>
      </w:r>
      <w:r w:rsidRPr="00A9649F">
        <w:t xml:space="preserve"> come into effect on 1 January 2022</w:t>
      </w:r>
      <w:r>
        <w:t xml:space="preserve">, or within acceptable timeframes, the </w:t>
      </w:r>
      <w:r w:rsidR="00FD4886">
        <w:t xml:space="preserve">Minister may </w:t>
      </w:r>
      <w:r>
        <w:t xml:space="preserve">proceed to introduce the proposed </w:t>
      </w:r>
      <w:r w:rsidRPr="00F96801">
        <w:t xml:space="preserve">regulatory amendments for Option 1 </w:t>
      </w:r>
      <w:r w:rsidR="00F96801" w:rsidRPr="00F96801">
        <w:t xml:space="preserve">either on or before 1 January 2022 </w:t>
      </w:r>
      <w:r w:rsidRPr="00F96801">
        <w:t>to achieve its objectives.</w:t>
      </w:r>
      <w:r w:rsidRPr="00C05212" w:rsidDel="00873C70">
        <w:rPr>
          <w:rStyle w:val="CommentReference"/>
          <w:sz w:val="18"/>
          <w:szCs w:val="18"/>
        </w:rPr>
        <w:t xml:space="preserve"> </w:t>
      </w:r>
      <w:r w:rsidR="00A6613B">
        <w:rPr>
          <w:rStyle w:val="CommentReference"/>
          <w:sz w:val="18"/>
          <w:szCs w:val="18"/>
        </w:rPr>
        <w:t>If this were to occur, it is</w:t>
      </w:r>
      <w:r w:rsidR="00F96801" w:rsidRPr="00C05212">
        <w:rPr>
          <w:rStyle w:val="CommentReference"/>
          <w:sz w:val="18"/>
          <w:szCs w:val="18"/>
        </w:rPr>
        <w:t xml:space="preserve"> es</w:t>
      </w:r>
      <w:r w:rsidR="00F96801">
        <w:rPr>
          <w:rStyle w:val="CommentReference"/>
          <w:sz w:val="18"/>
          <w:szCs w:val="18"/>
        </w:rPr>
        <w:t xml:space="preserve">timated </w:t>
      </w:r>
      <w:r w:rsidR="00A6613B">
        <w:rPr>
          <w:rStyle w:val="CommentReference"/>
          <w:sz w:val="18"/>
          <w:szCs w:val="18"/>
        </w:rPr>
        <w:t xml:space="preserve">that the </w:t>
      </w:r>
      <w:r w:rsidR="00F96801">
        <w:rPr>
          <w:rStyle w:val="CommentReference"/>
          <w:sz w:val="18"/>
          <w:szCs w:val="18"/>
        </w:rPr>
        <w:t xml:space="preserve">costs and benefits </w:t>
      </w:r>
      <w:r w:rsidR="00A6613B">
        <w:rPr>
          <w:rStyle w:val="CommentReference"/>
          <w:sz w:val="18"/>
          <w:szCs w:val="18"/>
        </w:rPr>
        <w:t>realised under this option would not change.</w:t>
      </w:r>
    </w:p>
    <w:p w14:paraId="69323832" w14:textId="60E18289" w:rsidR="00AC0D34" w:rsidRPr="00096B3A" w:rsidRDefault="00AC0D34" w:rsidP="005F3FBD">
      <w:pPr>
        <w:pStyle w:val="Heading4"/>
        <w:rPr>
          <w:color w:val="auto"/>
        </w:rPr>
      </w:pPr>
      <w:r w:rsidRPr="00096B3A">
        <w:rPr>
          <w:color w:val="auto"/>
        </w:rPr>
        <w:t>Scope considerations</w:t>
      </w:r>
      <w:r w:rsidR="00A34557">
        <w:rPr>
          <w:color w:val="auto"/>
        </w:rPr>
        <w:t xml:space="preserve"> for the preferred option </w:t>
      </w:r>
    </w:p>
    <w:p w14:paraId="0E96261F" w14:textId="01F0152C" w:rsidR="000C64D4" w:rsidRPr="005F3FBD" w:rsidRDefault="000C64D4" w:rsidP="000C64D4">
      <w:r w:rsidRPr="005F3FBD">
        <w:t xml:space="preserve">The scope of </w:t>
      </w:r>
      <w:r w:rsidR="00186FA2">
        <w:t xml:space="preserve">Option </w:t>
      </w:r>
      <w:r w:rsidR="00A62882">
        <w:t>2</w:t>
      </w:r>
      <w:r w:rsidR="007413B8">
        <w:t xml:space="preserve"> </w:t>
      </w:r>
      <w:r w:rsidRPr="005F3FBD">
        <w:t xml:space="preserve">is to </w:t>
      </w:r>
      <w:r w:rsidR="004A4F1D">
        <w:t>implement a standard that r</w:t>
      </w:r>
      <w:r w:rsidR="00B84C90">
        <w:t>estrict</w:t>
      </w:r>
      <w:r w:rsidR="004A4F1D">
        <w:t>s</w:t>
      </w:r>
      <w:r w:rsidRPr="005F3FBD">
        <w:t xml:space="preserve"> the </w:t>
      </w:r>
      <w:r w:rsidR="00757458">
        <w:t>production and sale</w:t>
      </w:r>
      <w:r w:rsidRPr="005F3FBD">
        <w:t xml:space="preserve"> of OFGSHs, with the exclusion of fan-assisted OFGSHs </w:t>
      </w:r>
      <w:r w:rsidR="00323694">
        <w:t xml:space="preserve">that meet </w:t>
      </w:r>
      <w:r w:rsidR="008B5B48">
        <w:t>certain</w:t>
      </w:r>
      <w:r w:rsidR="00323694">
        <w:t xml:space="preserve"> exemption criteria detailed</w:t>
      </w:r>
      <w:r w:rsidRPr="005F3FBD">
        <w:t xml:space="preserve"> in this RIS. The modelling in the break-even analysis includes forecast sales of all OFGSHs, including fan-assisted OFGSHs, as sales data on specific models of heaters was not provided during consultation with industry. There are currently six active certifications of fan-assisted OFGSHs, and it is unknown whether they meet the full definition, and therefore would be excluded from </w:t>
      </w:r>
      <w:r w:rsidR="00A22351" w:rsidRPr="00096B3A">
        <w:t xml:space="preserve">any </w:t>
      </w:r>
      <w:r w:rsidR="007656C9">
        <w:t>change in standards made as part of Option 2</w:t>
      </w:r>
      <w:r w:rsidRPr="004341B2">
        <w:t>.</w:t>
      </w:r>
      <w:r w:rsidRPr="005F3FBD">
        <w:t xml:space="preserve"> It is possible that at least one, if not more, of the six fan-assisted </w:t>
      </w:r>
      <w:r w:rsidR="000932DA">
        <w:t xml:space="preserve">OFGSH </w:t>
      </w:r>
      <w:r w:rsidRPr="005F3FBD">
        <w:t>certifications would meet the definition and therefore would not be in scope</w:t>
      </w:r>
      <w:r w:rsidRPr="004341B2">
        <w:t>.</w:t>
      </w:r>
      <w:r w:rsidRPr="005F3FBD">
        <w:t xml:space="preserve"> Therefore, it is possible that the costs to industry are slightly lower than what is calculated in th</w:t>
      </w:r>
      <w:r w:rsidR="008B5B48">
        <w:t>is</w:t>
      </w:r>
      <w:r w:rsidRPr="005F3FBD">
        <w:t xml:space="preserve"> RIS, due to all fan-assisted OFGSHs being included in the modelling. </w:t>
      </w:r>
    </w:p>
    <w:p w14:paraId="2DAE38DB" w14:textId="7268FBD1" w:rsidR="000C64D4" w:rsidRPr="005F3FBD" w:rsidRDefault="000C64D4" w:rsidP="000C64D4">
      <w:r w:rsidRPr="005F3FBD">
        <w:t xml:space="preserve">Additionally, there are currently six certifications of Type 2 decorative gas appliances which partially meet the definition of an OFGSH, in that they (i) are designed to be connected to a flue system including chimneys; and (ii) the combustion air is drawn from the room or space in which it is installed. It is possible some or all of these Type 2 decorative gas appliances may fall into the </w:t>
      </w:r>
      <w:r w:rsidRPr="005F3FBD">
        <w:lastRenderedPageBreak/>
        <w:t xml:space="preserve">definition of an OFGSH, if they do meet the thermal efficiency requirements of AS/NZS5263.1.3:2016. </w:t>
      </w:r>
    </w:p>
    <w:p w14:paraId="0FC7FCBB" w14:textId="2BFD62A3" w:rsidR="000C64D4" w:rsidRPr="005F3FBD" w:rsidRDefault="000C64D4" w:rsidP="00096B3A">
      <w:r w:rsidRPr="005F3FBD">
        <w:t xml:space="preserve">These appliances have not been included in the modelling of costs to industry, however if they were to fall within the scope it is expected the cost-benefit ratio would remain the same, and benefits would still outweigh costs. This is because the cost to industry would be offset by the benefit to consumers </w:t>
      </w:r>
      <w:r w:rsidR="00F94CE9" w:rsidRPr="005F3FBD">
        <w:t>regarding</w:t>
      </w:r>
      <w:r w:rsidRPr="005F3FBD">
        <w:t xml:space="preserve"> energy efficiency and savings in running costs.</w:t>
      </w:r>
    </w:p>
    <w:p w14:paraId="24F4E3E0" w14:textId="0CC9D23B" w:rsidR="00762C6C" w:rsidRPr="00E86754" w:rsidRDefault="00762C6C">
      <w:pPr>
        <w:pStyle w:val="Heading3"/>
      </w:pPr>
      <w:bookmarkStart w:id="237" w:name="_Ref55996349"/>
      <w:r>
        <w:t>Key data and assumptions</w:t>
      </w:r>
      <w:bookmarkEnd w:id="237"/>
      <w:r>
        <w:t xml:space="preserve"> </w:t>
      </w:r>
    </w:p>
    <w:p w14:paraId="61D6DFD1" w14:textId="6AC62E6D" w:rsidR="00762C6C" w:rsidRDefault="007F1DD6" w:rsidP="00E74AA1">
      <w:pPr>
        <w:spacing w:before="120" w:after="0" w:line="240" w:lineRule="auto"/>
      </w:pPr>
      <w:r>
        <w:fldChar w:fldCharType="begin"/>
      </w:r>
      <w:r>
        <w:instrText xml:space="preserve"> REF _Ref56414847 \h </w:instrText>
      </w:r>
      <w:r>
        <w:fldChar w:fldCharType="separate"/>
      </w:r>
      <w:r w:rsidR="00CD0679">
        <w:t xml:space="preserve">Table </w:t>
      </w:r>
      <w:r w:rsidR="00CD0679">
        <w:rPr>
          <w:noProof/>
        </w:rPr>
        <w:t>4</w:t>
      </w:r>
      <w:r w:rsidR="00CD0679">
        <w:noBreakHyphen/>
      </w:r>
      <w:r w:rsidR="00CD0679">
        <w:rPr>
          <w:noProof/>
        </w:rPr>
        <w:t>5</w:t>
      </w:r>
      <w:r>
        <w:fldChar w:fldCharType="end"/>
      </w:r>
      <w:r>
        <w:t xml:space="preserve"> </w:t>
      </w:r>
      <w:r w:rsidR="00762C6C">
        <w:t xml:space="preserve">presents the detailed assumptions underpinning the calculations of costs and benefits associated with the </w:t>
      </w:r>
      <w:r w:rsidR="00AB1903">
        <w:t xml:space="preserve">phase out </w:t>
      </w:r>
      <w:r w:rsidR="00762C6C">
        <w:t>options.</w:t>
      </w:r>
    </w:p>
    <w:p w14:paraId="0B552DCB" w14:textId="5A3E2EA9" w:rsidR="00762C6C" w:rsidRDefault="00762C6C" w:rsidP="00762C6C">
      <w:pPr>
        <w:pStyle w:val="Caption"/>
      </w:pPr>
      <w:bookmarkStart w:id="238" w:name="_Ref56414847"/>
      <w:r>
        <w:t xml:space="preserve">Table </w:t>
      </w:r>
      <w:r w:rsidR="008358B0">
        <w:fldChar w:fldCharType="begin"/>
      </w:r>
      <w:r w:rsidR="008358B0">
        <w:instrText xml:space="preserve"> STYLEREF 1 \s </w:instrText>
      </w:r>
      <w:r w:rsidR="008358B0">
        <w:fldChar w:fldCharType="separate"/>
      </w:r>
      <w:r w:rsidR="00CD0679">
        <w:rPr>
          <w:noProof/>
        </w:rPr>
        <w:t>4</w:t>
      </w:r>
      <w:r w:rsidR="008358B0">
        <w:fldChar w:fldCharType="end"/>
      </w:r>
      <w:r w:rsidR="008358B0">
        <w:noBreakHyphen/>
      </w:r>
      <w:r w:rsidR="008358B0">
        <w:fldChar w:fldCharType="begin"/>
      </w:r>
      <w:r w:rsidR="008358B0">
        <w:instrText xml:space="preserve"> SEQ Table \* ARABIC \s 1 </w:instrText>
      </w:r>
      <w:r w:rsidR="008358B0">
        <w:fldChar w:fldCharType="separate"/>
      </w:r>
      <w:r w:rsidR="00CD0679">
        <w:rPr>
          <w:noProof/>
        </w:rPr>
        <w:t>5</w:t>
      </w:r>
      <w:r w:rsidR="008358B0">
        <w:fldChar w:fldCharType="end"/>
      </w:r>
      <w:bookmarkEnd w:id="238"/>
      <w:r>
        <w:t xml:space="preserve"> Key data and assumptions – </w:t>
      </w:r>
      <w:r w:rsidR="00AB1903">
        <w:t xml:space="preserve">phase out </w:t>
      </w:r>
      <w:r>
        <w:t>options</w:t>
      </w:r>
    </w:p>
    <w:tbl>
      <w:tblPr>
        <w:tblStyle w:val="Deloittetable12"/>
        <w:tblW w:w="0" w:type="auto"/>
        <w:shd w:val="clear" w:color="auto" w:fill="FFFFFF" w:themeFill="background1"/>
        <w:tblLook w:val="04A0" w:firstRow="1" w:lastRow="0" w:firstColumn="1" w:lastColumn="0" w:noHBand="0" w:noVBand="1"/>
      </w:tblPr>
      <w:tblGrid>
        <w:gridCol w:w="1676"/>
        <w:gridCol w:w="7350"/>
      </w:tblGrid>
      <w:tr w:rsidR="00762C6C" w14:paraId="2C0C32CB" w14:textId="77777777" w:rsidTr="00E0167C">
        <w:trPr>
          <w:cnfStyle w:val="100000000000" w:firstRow="1" w:lastRow="0" w:firstColumn="0" w:lastColumn="0" w:oddVBand="0" w:evenVBand="0" w:oddHBand="0" w:evenHBand="0" w:firstRowFirstColumn="0" w:firstRowLastColumn="0" w:lastRowFirstColumn="0" w:lastRowLastColumn="0"/>
          <w:tblHeader/>
        </w:trPr>
        <w:tc>
          <w:tcPr>
            <w:tcW w:w="0" w:type="dxa"/>
            <w:shd w:val="clear" w:color="auto" w:fill="FFFFFF" w:themeFill="background1"/>
          </w:tcPr>
          <w:p w14:paraId="5DCA888E" w14:textId="77777777" w:rsidR="00762C6C" w:rsidRPr="001925DC" w:rsidRDefault="00762C6C" w:rsidP="00E0167C">
            <w:pPr>
              <w:rPr>
                <w:b/>
              </w:rPr>
            </w:pPr>
            <w:r w:rsidRPr="001925DC">
              <w:rPr>
                <w:b/>
              </w:rPr>
              <w:t>Variable</w:t>
            </w:r>
          </w:p>
        </w:tc>
        <w:tc>
          <w:tcPr>
            <w:tcW w:w="0" w:type="dxa"/>
            <w:shd w:val="clear" w:color="auto" w:fill="FFFFFF" w:themeFill="background1"/>
          </w:tcPr>
          <w:p w14:paraId="3DE59830" w14:textId="77777777" w:rsidR="00762C6C" w:rsidRPr="001543C6" w:rsidRDefault="00762C6C" w:rsidP="00E0167C">
            <w:pPr>
              <w:rPr>
                <w:b/>
                <w:highlight w:val="yellow"/>
              </w:rPr>
            </w:pPr>
            <w:r>
              <w:rPr>
                <w:b/>
              </w:rPr>
              <w:t>Key data and</w:t>
            </w:r>
            <w:r w:rsidRPr="001543C6">
              <w:rPr>
                <w:b/>
              </w:rPr>
              <w:t xml:space="preserve"> assumption</w:t>
            </w:r>
            <w:r>
              <w:rPr>
                <w:b/>
              </w:rPr>
              <w:t>s</w:t>
            </w:r>
          </w:p>
        </w:tc>
      </w:tr>
      <w:tr w:rsidR="00762C6C" w14:paraId="0792975C" w14:textId="77777777" w:rsidTr="00E74AA1">
        <w:trPr>
          <w:trHeight w:val="2067"/>
        </w:trPr>
        <w:tc>
          <w:tcPr>
            <w:tcW w:w="0" w:type="dxa"/>
            <w:shd w:val="clear" w:color="auto" w:fill="FFFFFF" w:themeFill="background1"/>
          </w:tcPr>
          <w:p w14:paraId="6B0568EA" w14:textId="77777777" w:rsidR="00762C6C" w:rsidRDefault="00762C6C" w:rsidP="00E0167C">
            <w:r>
              <w:t>Modelling</w:t>
            </w:r>
          </w:p>
        </w:tc>
        <w:tc>
          <w:tcPr>
            <w:tcW w:w="0" w:type="dxa"/>
            <w:shd w:val="clear" w:color="auto" w:fill="FFFFFF" w:themeFill="background1"/>
          </w:tcPr>
          <w:p w14:paraId="4996CAAC" w14:textId="68787EFA" w:rsidR="00762C6C" w:rsidRDefault="00762C6C" w:rsidP="00096B3A">
            <w:pPr>
              <w:pStyle w:val="ListParagraph"/>
              <w:numPr>
                <w:ilvl w:val="0"/>
                <w:numId w:val="44"/>
              </w:numPr>
              <w:ind w:left="447" w:hanging="284"/>
            </w:pPr>
            <w:r>
              <w:t xml:space="preserve">Timeframe for modelling is 10 years </w:t>
            </w:r>
            <w:r w:rsidR="00CA764B">
              <w:t xml:space="preserve">(which would be </w:t>
            </w:r>
            <w:r>
              <w:t>the life of the Regulations</w:t>
            </w:r>
            <w:r w:rsidR="00CA764B">
              <w:t xml:space="preserve"> approach)</w:t>
            </w:r>
            <w:r>
              <w:t>. If a longer timeframe were considered, it would be expected that the benefits realised under each option would increase, however not by any significant amount. Given each of the options considered already break even, and Option 1 break</w:t>
            </w:r>
            <w:r w:rsidR="00BB3F3C">
              <w:t>s</w:t>
            </w:r>
            <w:r>
              <w:t xml:space="preserve"> even after halving the expected energy efficiency benefits, extending the modelling period is not expected to materially alter results.</w:t>
            </w:r>
          </w:p>
          <w:p w14:paraId="38EA1774" w14:textId="17DEC862" w:rsidR="00762C6C" w:rsidRDefault="00762C6C" w:rsidP="00096B3A">
            <w:pPr>
              <w:pStyle w:val="ListParagraph"/>
              <w:numPr>
                <w:ilvl w:val="0"/>
                <w:numId w:val="44"/>
              </w:numPr>
              <w:ind w:left="447" w:hanging="284"/>
            </w:pPr>
            <w:r>
              <w:t>No discount rates are applied - $ are real 2021.</w:t>
            </w:r>
            <w:r w:rsidR="003D51D9">
              <w:rPr>
                <w:rStyle w:val="FootnoteReference"/>
              </w:rPr>
              <w:footnoteReference w:id="121"/>
            </w:r>
          </w:p>
        </w:tc>
      </w:tr>
      <w:tr w:rsidR="00762C6C" w14:paraId="5D5C659C" w14:textId="77777777" w:rsidTr="00E0167C">
        <w:tc>
          <w:tcPr>
            <w:tcW w:w="1696" w:type="dxa"/>
            <w:shd w:val="clear" w:color="auto" w:fill="FFFFFF" w:themeFill="background1"/>
          </w:tcPr>
          <w:p w14:paraId="1DC54C36" w14:textId="261E481D" w:rsidR="00762C6C" w:rsidRDefault="00762C6C" w:rsidP="00E0167C">
            <w:r>
              <w:t>Heater stocks and future sales of OFGSH</w:t>
            </w:r>
            <w:r w:rsidR="00BB3F3C">
              <w:t>s</w:t>
            </w:r>
          </w:p>
        </w:tc>
        <w:tc>
          <w:tcPr>
            <w:tcW w:w="7655" w:type="dxa"/>
            <w:shd w:val="clear" w:color="auto" w:fill="FFFFFF" w:themeFill="background1"/>
          </w:tcPr>
          <w:p w14:paraId="35097867" w14:textId="36B5BBD6" w:rsidR="00762C6C" w:rsidRDefault="00762C6C" w:rsidP="00096B3A">
            <w:pPr>
              <w:pStyle w:val="ListParagraph"/>
              <w:numPr>
                <w:ilvl w:val="0"/>
                <w:numId w:val="44"/>
              </w:numPr>
              <w:ind w:left="447" w:hanging="284"/>
            </w:pPr>
            <w:r>
              <w:t xml:space="preserve">Sales estimates and forecasts provided by GAMAA for the period spanning 2015 to 2028 have been used to estimate the stock of OFGSHs. Note GAMAA estimate of </w:t>
            </w:r>
            <w:r w:rsidR="00A13345">
              <w:t xml:space="preserve">future </w:t>
            </w:r>
            <w:r>
              <w:t xml:space="preserve">sales assumes sales of OFGSHs fall to </w:t>
            </w:r>
            <w:r w:rsidR="008B5B48">
              <w:t xml:space="preserve">zero </w:t>
            </w:r>
            <w:r>
              <w:t xml:space="preserve">by 2026-27, </w:t>
            </w:r>
            <w:r w:rsidR="002F5347">
              <w:t xml:space="preserve">down </w:t>
            </w:r>
            <w:r>
              <w:t xml:space="preserve">from 7,333 in 2018-19. </w:t>
            </w:r>
            <w:r w:rsidR="000424E2">
              <w:t>Total s</w:t>
            </w:r>
            <w:r w:rsidRPr="00A856A5">
              <w:rPr>
                <w:rFonts w:cs="Arial"/>
              </w:rPr>
              <w:t xml:space="preserve">ales </w:t>
            </w:r>
            <w:r w:rsidR="00AE682F" w:rsidRPr="00A856A5">
              <w:rPr>
                <w:rFonts w:cs="Arial"/>
              </w:rPr>
              <w:t>of</w:t>
            </w:r>
            <w:r w:rsidR="00DC26CE" w:rsidRPr="00A856A5">
              <w:rPr>
                <w:rFonts w:cs="Arial"/>
              </w:rPr>
              <w:t xml:space="preserve"> </w:t>
            </w:r>
            <w:r w:rsidR="000932DA" w:rsidRPr="00A856A5">
              <w:rPr>
                <w:rFonts w:cs="Arial"/>
              </w:rPr>
              <w:t xml:space="preserve">OFGSHs </w:t>
            </w:r>
            <w:r w:rsidRPr="00A856A5">
              <w:rPr>
                <w:rFonts w:cs="Arial"/>
              </w:rPr>
              <w:t xml:space="preserve">over 10 years </w:t>
            </w:r>
            <w:r w:rsidR="000424E2">
              <w:rPr>
                <w:rFonts w:cs="Arial"/>
              </w:rPr>
              <w:t>is assumed to be</w:t>
            </w:r>
            <w:r w:rsidRPr="00A856A5">
              <w:rPr>
                <w:rFonts w:cs="Arial"/>
              </w:rPr>
              <w:t xml:space="preserve"> 10,041 units</w:t>
            </w:r>
            <w:r w:rsidR="00DC26CE" w:rsidRPr="00A856A5">
              <w:rPr>
                <w:rFonts w:cs="Arial"/>
              </w:rPr>
              <w:t xml:space="preserve">. </w:t>
            </w:r>
            <w:r w:rsidRPr="00E74AA1">
              <w:t xml:space="preserve">This relatively significant decrease means the estimated safety benefits impact of the phase out options is smaller than if forecast sales in the </w:t>
            </w:r>
            <w:r w:rsidR="000931D4">
              <w:t>B</w:t>
            </w:r>
            <w:r w:rsidRPr="00E74AA1">
              <w:t xml:space="preserve">ase </w:t>
            </w:r>
            <w:r w:rsidR="000931D4">
              <w:t>C</w:t>
            </w:r>
            <w:r w:rsidRPr="00E74AA1">
              <w:t xml:space="preserve">ase </w:t>
            </w:r>
            <w:r w:rsidR="00BB3F3C">
              <w:t>were</w:t>
            </w:r>
            <w:r w:rsidRPr="00E74AA1">
              <w:t xml:space="preserve"> larger.</w:t>
            </w:r>
          </w:p>
          <w:p w14:paraId="475CD784" w14:textId="255AADE1" w:rsidR="00762C6C" w:rsidRDefault="003377D0" w:rsidP="00096B3A">
            <w:pPr>
              <w:pStyle w:val="ListParagraph"/>
              <w:numPr>
                <w:ilvl w:val="0"/>
                <w:numId w:val="44"/>
              </w:numPr>
              <w:ind w:left="447" w:hanging="284"/>
            </w:pPr>
            <w:r w:rsidRPr="000276F0">
              <w:t>While</w:t>
            </w:r>
            <w:r w:rsidR="00FD5D9D" w:rsidRPr="000276F0">
              <w:t xml:space="preserve"> </w:t>
            </w:r>
            <w:r w:rsidR="00EC4962" w:rsidRPr="000276F0">
              <w:t xml:space="preserve">estimates developed for this RIS assume </w:t>
            </w:r>
            <w:r w:rsidR="00566A65" w:rsidRPr="000276F0">
              <w:t>the</w:t>
            </w:r>
            <w:r w:rsidRPr="000276F0">
              <w:t xml:space="preserve"> </w:t>
            </w:r>
            <w:r w:rsidR="00F61B3D" w:rsidRPr="000276F0">
              <w:t xml:space="preserve">absolute number of </w:t>
            </w:r>
            <w:r w:rsidR="000051CF" w:rsidRPr="000276F0">
              <w:t>OFGSHs installed in Victoria</w:t>
            </w:r>
            <w:r w:rsidR="00087F0A" w:rsidRPr="000276F0">
              <w:t xml:space="preserve">n buildings </w:t>
            </w:r>
            <w:r w:rsidR="00566A65" w:rsidRPr="000276F0">
              <w:t>differs from</w:t>
            </w:r>
            <w:r w:rsidRPr="000276F0">
              <w:t xml:space="preserve"> </w:t>
            </w:r>
            <w:r w:rsidR="00EC4962" w:rsidRPr="000276F0">
              <w:t xml:space="preserve">(is less than) </w:t>
            </w:r>
            <w:r w:rsidR="00566A65" w:rsidRPr="000276F0">
              <w:t xml:space="preserve">earlier estimates commissioned by DELWP (2018), </w:t>
            </w:r>
            <w:r w:rsidR="003B4DE7" w:rsidRPr="000276F0">
              <w:t>analysis does</w:t>
            </w:r>
            <w:r w:rsidR="00566A65" w:rsidRPr="000276F0">
              <w:t xml:space="preserve"> assume that the</w:t>
            </w:r>
            <w:r w:rsidR="00762C6C" w:rsidRPr="004E4649">
              <w:t xml:space="preserve"> proportion of OFGSHs retired each year is </w:t>
            </w:r>
            <w:r w:rsidR="00762C6C" w:rsidRPr="00A7337D">
              <w:t>consistent with</w:t>
            </w:r>
            <w:r w:rsidR="0065424A" w:rsidRPr="000276F0">
              <w:t xml:space="preserve"> the findings of that study</w:t>
            </w:r>
            <w:r w:rsidR="00762C6C" w:rsidRPr="004E4649">
              <w:t>.</w:t>
            </w:r>
            <w:r w:rsidR="00762C6C">
              <w:t xml:space="preserve"> This varies each year but typically ranges from 7 to 8 per cent of the total </w:t>
            </w:r>
            <w:r w:rsidR="000932DA">
              <w:t xml:space="preserve">OFGSH </w:t>
            </w:r>
            <w:r w:rsidR="00762C6C">
              <w:t>stock. Specifically, the rate of retirement increases each year, from 7.45</w:t>
            </w:r>
            <w:r w:rsidR="001A645C">
              <w:t xml:space="preserve"> per cent</w:t>
            </w:r>
            <w:r w:rsidR="00762C6C">
              <w:t xml:space="preserve"> in FY2021 to 7.78</w:t>
            </w:r>
            <w:r w:rsidR="001A645C">
              <w:t xml:space="preserve"> per cent</w:t>
            </w:r>
            <w:r w:rsidR="00762C6C">
              <w:t xml:space="preserve"> in FY2030. </w:t>
            </w:r>
          </w:p>
          <w:p w14:paraId="4AC3FA28" w14:textId="254F4DC0" w:rsidR="00993680" w:rsidRDefault="00993680" w:rsidP="00993680">
            <w:pPr>
              <w:pStyle w:val="ListParagraph"/>
              <w:numPr>
                <w:ilvl w:val="0"/>
                <w:numId w:val="44"/>
              </w:numPr>
              <w:ind w:left="447" w:hanging="284"/>
            </w:pPr>
            <w:r>
              <w:t xml:space="preserve">Deloitte projections of the stock of OFGSHs installed in Victoria commence in 2015. The projections commence in 2015 to align with revised sales data provided by GAMAA, which also commence in that year. It is assumed that 395,003 OFGSHs were installed in buildings across Victoria in 2015. </w:t>
            </w:r>
          </w:p>
          <w:p w14:paraId="4A8B5DE8" w14:textId="5EEF30B6" w:rsidR="00762C6C" w:rsidRDefault="00762C6C" w:rsidP="00096B3A">
            <w:pPr>
              <w:pStyle w:val="ListParagraph"/>
              <w:numPr>
                <w:ilvl w:val="0"/>
                <w:numId w:val="44"/>
              </w:numPr>
              <w:ind w:left="447" w:hanging="284"/>
            </w:pPr>
            <w:r>
              <w:t xml:space="preserve">The stock of </w:t>
            </w:r>
            <w:r w:rsidR="000932DA">
              <w:t xml:space="preserve">OFGSHs </w:t>
            </w:r>
            <w:r>
              <w:t xml:space="preserve">in Victorian buildings </w:t>
            </w:r>
            <w:r w:rsidR="00185B3F">
              <w:t xml:space="preserve">is </w:t>
            </w:r>
            <w:r>
              <w:t>therefore</w:t>
            </w:r>
            <w:r w:rsidR="00185B3F">
              <w:t xml:space="preserve"> projected to</w:t>
            </w:r>
            <w:r>
              <w:t xml:space="preserve"> decline to 135,274 by the close of FY2030-31 under the Base Case.</w:t>
            </w:r>
          </w:p>
          <w:p w14:paraId="5F9E7787" w14:textId="3FDEE80A" w:rsidR="00762C6C" w:rsidRDefault="00762C6C" w:rsidP="00096B3A">
            <w:pPr>
              <w:pStyle w:val="ListParagraph"/>
              <w:numPr>
                <w:ilvl w:val="0"/>
                <w:numId w:val="44"/>
              </w:numPr>
              <w:ind w:left="447" w:hanging="284"/>
            </w:pPr>
            <w:r>
              <w:rPr>
                <w:rFonts w:cs="Arial"/>
              </w:rPr>
              <w:t>Industry has advised that “…</w:t>
            </w:r>
            <w:r w:rsidRPr="006C2919">
              <w:rPr>
                <w:rFonts w:cs="Arial"/>
                <w:i/>
              </w:rPr>
              <w:t>All manufacturers have indicated that the</w:t>
            </w:r>
            <w:r>
              <w:rPr>
                <w:rFonts w:cs="Arial"/>
              </w:rPr>
              <w:t>[ir]</w:t>
            </w:r>
            <w:r w:rsidRPr="006C2919">
              <w:rPr>
                <w:rFonts w:cs="Arial"/>
              </w:rPr>
              <w:t xml:space="preserve"> </w:t>
            </w:r>
            <w:r w:rsidRPr="006C2919">
              <w:rPr>
                <w:rFonts w:cs="Arial"/>
                <w:i/>
              </w:rPr>
              <w:t>limited development funds available will not be used to further develop new OFGSHs</w:t>
            </w:r>
            <w:r w:rsidRPr="006C2919">
              <w:rPr>
                <w:rFonts w:cs="Arial"/>
              </w:rPr>
              <w:t>.</w:t>
            </w:r>
            <w:r>
              <w:rPr>
                <w:rFonts w:cs="Arial"/>
              </w:rPr>
              <w:t xml:space="preserve">” If this is correct this means </w:t>
            </w:r>
            <w:r w:rsidR="00EC7137">
              <w:rPr>
                <w:rFonts w:cs="Arial"/>
              </w:rPr>
              <w:t>that all</w:t>
            </w:r>
            <w:r>
              <w:rPr>
                <w:rFonts w:cs="Arial"/>
              </w:rPr>
              <w:t xml:space="preserve"> </w:t>
            </w:r>
            <w:r w:rsidR="00EC7137">
              <w:rPr>
                <w:rFonts w:cs="Arial"/>
              </w:rPr>
              <w:t>o</w:t>
            </w:r>
            <w:r>
              <w:rPr>
                <w:rFonts w:cs="Arial"/>
              </w:rPr>
              <w:t>ption</w:t>
            </w:r>
            <w:r w:rsidR="00EC7137">
              <w:rPr>
                <w:rFonts w:cs="Arial"/>
              </w:rPr>
              <w:t>s</w:t>
            </w:r>
            <w:r>
              <w:rPr>
                <w:rFonts w:cs="Arial"/>
              </w:rPr>
              <w:t xml:space="preserve"> will in practice lead </w:t>
            </w:r>
            <w:r w:rsidR="00752327">
              <w:rPr>
                <w:rFonts w:cs="Arial"/>
              </w:rPr>
              <w:t xml:space="preserve">to </w:t>
            </w:r>
            <w:r w:rsidRPr="00A856A5">
              <w:rPr>
                <w:rFonts w:cs="Arial"/>
              </w:rPr>
              <w:t xml:space="preserve">zero </w:t>
            </w:r>
            <w:r w:rsidR="006553F7" w:rsidRPr="00A856A5">
              <w:rPr>
                <w:rFonts w:cs="Arial"/>
              </w:rPr>
              <w:t xml:space="preserve">future </w:t>
            </w:r>
            <w:r w:rsidR="000932DA" w:rsidRPr="00A856A5">
              <w:rPr>
                <w:rFonts w:cs="Arial"/>
              </w:rPr>
              <w:t xml:space="preserve">OFGSH </w:t>
            </w:r>
            <w:r w:rsidRPr="00A856A5">
              <w:rPr>
                <w:rFonts w:cs="Arial"/>
              </w:rPr>
              <w:t>sales</w:t>
            </w:r>
            <w:r w:rsidR="00A856A5" w:rsidRPr="00A856A5">
              <w:rPr>
                <w:rFonts w:cs="Arial"/>
              </w:rPr>
              <w:t>.</w:t>
            </w:r>
          </w:p>
        </w:tc>
      </w:tr>
      <w:tr w:rsidR="00762C6C" w14:paraId="47EFAC2C" w14:textId="77777777" w:rsidTr="00E0167C">
        <w:tc>
          <w:tcPr>
            <w:tcW w:w="1696" w:type="dxa"/>
            <w:shd w:val="clear" w:color="auto" w:fill="FFFFFF" w:themeFill="background1"/>
          </w:tcPr>
          <w:p w14:paraId="3CB2FD45" w14:textId="77777777" w:rsidR="00762C6C" w:rsidRDefault="00762C6C" w:rsidP="00E0167C">
            <w:r>
              <w:t xml:space="preserve">Consumer decisions </w:t>
            </w:r>
          </w:p>
        </w:tc>
        <w:tc>
          <w:tcPr>
            <w:tcW w:w="7655" w:type="dxa"/>
            <w:shd w:val="clear" w:color="auto" w:fill="FFFFFF" w:themeFill="background1"/>
          </w:tcPr>
          <w:p w14:paraId="39AB139D" w14:textId="562D0665" w:rsidR="00762C6C" w:rsidRDefault="00784B8A" w:rsidP="00096B3A">
            <w:pPr>
              <w:pStyle w:val="ListParagraph"/>
              <w:numPr>
                <w:ilvl w:val="0"/>
                <w:numId w:val="42"/>
              </w:numPr>
              <w:ind w:left="447" w:hanging="284"/>
              <w:rPr>
                <w:rFonts w:cs="Arial"/>
              </w:rPr>
            </w:pPr>
            <w:r w:rsidRPr="002D21EF">
              <w:rPr>
                <w:rFonts w:cs="Arial"/>
              </w:rPr>
              <w:t>Should</w:t>
            </w:r>
            <w:r w:rsidR="00762C6C" w:rsidRPr="001543C6">
              <w:rPr>
                <w:rFonts w:cs="Arial"/>
              </w:rPr>
              <w:t xml:space="preserve"> </w:t>
            </w:r>
            <w:r w:rsidR="006B3256" w:rsidRPr="002D21EF">
              <w:rPr>
                <w:rFonts w:cs="Arial"/>
              </w:rPr>
              <w:t>installation of</w:t>
            </w:r>
            <w:r w:rsidR="006B3256">
              <w:rPr>
                <w:rFonts w:cs="Arial"/>
              </w:rPr>
              <w:t xml:space="preserve"> </w:t>
            </w:r>
            <w:r w:rsidR="000932DA">
              <w:rPr>
                <w:rFonts w:cs="Arial"/>
              </w:rPr>
              <w:t xml:space="preserve">OFGSHs </w:t>
            </w:r>
            <w:r w:rsidR="00762C6C" w:rsidRPr="001543C6">
              <w:rPr>
                <w:rFonts w:cs="Arial"/>
              </w:rPr>
              <w:t>be phased out through</w:t>
            </w:r>
            <w:r w:rsidR="00762C6C">
              <w:rPr>
                <w:rFonts w:cs="Arial"/>
              </w:rPr>
              <w:t xml:space="preserve"> any of the proposed options</w:t>
            </w:r>
            <w:r w:rsidR="00762C6C" w:rsidRPr="001543C6">
              <w:rPr>
                <w:rFonts w:cs="Arial"/>
              </w:rPr>
              <w:t xml:space="preserve">, </w:t>
            </w:r>
            <w:r w:rsidR="00762C6C">
              <w:rPr>
                <w:rFonts w:cs="Arial"/>
              </w:rPr>
              <w:t>50</w:t>
            </w:r>
            <w:r w:rsidR="001A645C">
              <w:rPr>
                <w:rFonts w:cs="Arial"/>
              </w:rPr>
              <w:t xml:space="preserve"> per cent</w:t>
            </w:r>
            <w:r w:rsidR="00762C6C">
              <w:rPr>
                <w:rFonts w:cs="Arial"/>
              </w:rPr>
              <w:t xml:space="preserve"> of</w:t>
            </w:r>
            <w:r w:rsidR="00762C6C" w:rsidRPr="001543C6">
              <w:rPr>
                <w:rFonts w:cs="Arial"/>
              </w:rPr>
              <w:t xml:space="preserve"> Victorian consumers that would have purchased an </w:t>
            </w:r>
            <w:r w:rsidR="00762C6C" w:rsidRPr="001543C6">
              <w:rPr>
                <w:rFonts w:cs="Arial"/>
              </w:rPr>
              <w:lastRenderedPageBreak/>
              <w:t>OF</w:t>
            </w:r>
            <w:r w:rsidR="004B4469">
              <w:rPr>
                <w:rFonts w:cs="Arial"/>
              </w:rPr>
              <w:t>GS</w:t>
            </w:r>
            <w:r w:rsidR="00762C6C" w:rsidRPr="001543C6">
              <w:rPr>
                <w:rFonts w:cs="Arial"/>
              </w:rPr>
              <w:t xml:space="preserve">H under the Base Case </w:t>
            </w:r>
            <w:r w:rsidR="00762C6C">
              <w:rPr>
                <w:rFonts w:cs="Arial"/>
              </w:rPr>
              <w:t xml:space="preserve">instead </w:t>
            </w:r>
            <w:r w:rsidR="00762C6C" w:rsidRPr="001543C6">
              <w:rPr>
                <w:rFonts w:cs="Arial"/>
              </w:rPr>
              <w:t xml:space="preserve">choose to purchase a room sealed </w:t>
            </w:r>
            <w:r w:rsidR="00762C6C">
              <w:rPr>
                <w:rFonts w:cs="Arial"/>
              </w:rPr>
              <w:t xml:space="preserve">(RS) </w:t>
            </w:r>
            <w:r w:rsidR="00762C6C" w:rsidRPr="001543C6">
              <w:rPr>
                <w:rFonts w:cs="Arial"/>
              </w:rPr>
              <w:t xml:space="preserve">heater. </w:t>
            </w:r>
            <w:r w:rsidR="00762C6C">
              <w:rPr>
                <w:rFonts w:cs="Arial"/>
              </w:rPr>
              <w:t>The remaining 50</w:t>
            </w:r>
            <w:r w:rsidR="001A645C">
              <w:rPr>
                <w:rFonts w:cs="Arial"/>
              </w:rPr>
              <w:t xml:space="preserve"> per cent</w:t>
            </w:r>
            <w:r w:rsidR="00762C6C">
              <w:rPr>
                <w:rFonts w:cs="Arial"/>
              </w:rPr>
              <w:t xml:space="preserve"> choose to purchase a reverse cycle system.</w:t>
            </w:r>
            <w:r w:rsidR="00762C6C" w:rsidRPr="001543C6">
              <w:rPr>
                <w:rFonts w:cs="Arial"/>
              </w:rPr>
              <w:t xml:space="preserve"> </w:t>
            </w:r>
          </w:p>
          <w:p w14:paraId="731C35D0" w14:textId="77777777" w:rsidR="00762C6C" w:rsidRDefault="00762C6C" w:rsidP="00096B3A">
            <w:pPr>
              <w:pStyle w:val="ListParagraph"/>
              <w:numPr>
                <w:ilvl w:val="0"/>
                <w:numId w:val="42"/>
              </w:numPr>
              <w:ind w:left="447" w:hanging="284"/>
              <w:rPr>
                <w:rFonts w:cs="Arial"/>
              </w:rPr>
            </w:pPr>
            <w:r>
              <w:rPr>
                <w:rFonts w:cs="Arial"/>
              </w:rPr>
              <w:t>This reflects broader trends of rising gas prices and a decline in the lifecycle costs associated with reverse cycle systems.</w:t>
            </w:r>
          </w:p>
          <w:p w14:paraId="1C496D38" w14:textId="2B4377FA" w:rsidR="00762C6C" w:rsidRPr="004D7183" w:rsidRDefault="00762C6C" w:rsidP="00096B3A">
            <w:pPr>
              <w:pStyle w:val="ListParagraph"/>
              <w:numPr>
                <w:ilvl w:val="0"/>
                <w:numId w:val="42"/>
              </w:numPr>
              <w:ind w:left="447" w:hanging="284"/>
              <w:rPr>
                <w:rFonts w:cs="Arial"/>
              </w:rPr>
            </w:pPr>
            <w:r>
              <w:rPr>
                <w:rFonts w:cs="Arial"/>
              </w:rPr>
              <w:t xml:space="preserve">Although there is anecdotal evidence that some owners of </w:t>
            </w:r>
            <w:r w:rsidR="000932DA">
              <w:rPr>
                <w:rFonts w:cs="Arial"/>
              </w:rPr>
              <w:t xml:space="preserve">OFGSHs </w:t>
            </w:r>
            <w:r>
              <w:rPr>
                <w:rFonts w:cs="Arial"/>
              </w:rPr>
              <w:t>already have reverse cycle system (which they use for cooling, but not heating) and hence might not incur any costs for a new heating appliance, this has not been factored into our analysis.</w:t>
            </w:r>
          </w:p>
        </w:tc>
      </w:tr>
      <w:tr w:rsidR="00762C6C" w14:paraId="7414AB37" w14:textId="77777777" w:rsidTr="00E0167C">
        <w:tc>
          <w:tcPr>
            <w:tcW w:w="1696" w:type="dxa"/>
            <w:shd w:val="clear" w:color="auto" w:fill="FFFFFF" w:themeFill="background1"/>
          </w:tcPr>
          <w:p w14:paraId="50AD01FA" w14:textId="77E5D003" w:rsidR="00762C6C" w:rsidRDefault="00762C6C" w:rsidP="00E0167C">
            <w:r>
              <w:lastRenderedPageBreak/>
              <w:t xml:space="preserve">Timing of </w:t>
            </w:r>
            <w:r w:rsidR="00AB1903">
              <w:t xml:space="preserve">phase out </w:t>
            </w:r>
            <w:r>
              <w:t>options</w:t>
            </w:r>
          </w:p>
        </w:tc>
        <w:tc>
          <w:tcPr>
            <w:tcW w:w="7655" w:type="dxa"/>
            <w:shd w:val="clear" w:color="auto" w:fill="FFFFFF" w:themeFill="background1"/>
          </w:tcPr>
          <w:p w14:paraId="619E1913" w14:textId="79A159C9" w:rsidR="00DD5E50" w:rsidRPr="00096B3A" w:rsidRDefault="00103E96" w:rsidP="00096B3A">
            <w:pPr>
              <w:pStyle w:val="ListParagraph"/>
              <w:numPr>
                <w:ilvl w:val="0"/>
                <w:numId w:val="43"/>
              </w:numPr>
              <w:ind w:left="447" w:hanging="284"/>
              <w:rPr>
                <w:rFonts w:cs="Arial"/>
              </w:rPr>
            </w:pPr>
            <w:r w:rsidRPr="002D21EF">
              <w:rPr>
                <w:rFonts w:cs="Arial"/>
              </w:rPr>
              <w:t>A</w:t>
            </w:r>
            <w:r w:rsidR="00DD5E50" w:rsidRPr="002D21EF">
              <w:rPr>
                <w:rFonts w:cs="Arial"/>
              </w:rPr>
              <w:t xml:space="preserve"> </w:t>
            </w:r>
            <w:r w:rsidRPr="002D21EF">
              <w:rPr>
                <w:rFonts w:cs="Arial"/>
              </w:rPr>
              <w:t>restriction</w:t>
            </w:r>
            <w:r w:rsidR="00DD5E50" w:rsidRPr="006E5EDF">
              <w:rPr>
                <w:rFonts w:cs="Arial"/>
              </w:rPr>
              <w:t xml:space="preserve"> on</w:t>
            </w:r>
            <w:r w:rsidR="00493E3E" w:rsidRPr="006E5EDF">
              <w:rPr>
                <w:rFonts w:cs="Arial"/>
              </w:rPr>
              <w:t xml:space="preserve"> </w:t>
            </w:r>
            <w:r w:rsidR="00493E3E" w:rsidRPr="00096B3A">
              <w:rPr>
                <w:rFonts w:cs="Arial"/>
              </w:rPr>
              <w:t>the installation of</w:t>
            </w:r>
            <w:r w:rsidR="00DD5E50" w:rsidRPr="006E5EDF">
              <w:rPr>
                <w:rFonts w:cs="Arial"/>
              </w:rPr>
              <w:t xml:space="preserve"> </w:t>
            </w:r>
            <w:r w:rsidR="00DD5E50" w:rsidRPr="00096B3A">
              <w:rPr>
                <w:rFonts w:cs="Arial"/>
              </w:rPr>
              <w:t>OF</w:t>
            </w:r>
            <w:r w:rsidR="009C4B00" w:rsidRPr="00096B3A">
              <w:rPr>
                <w:rFonts w:cs="Arial"/>
              </w:rPr>
              <w:t>GS</w:t>
            </w:r>
            <w:r w:rsidR="00DD5E50" w:rsidRPr="00096B3A">
              <w:rPr>
                <w:rFonts w:cs="Arial"/>
              </w:rPr>
              <w:t>Hs</w:t>
            </w:r>
            <w:r w:rsidR="001F7B64" w:rsidRPr="00096B3A">
              <w:rPr>
                <w:rFonts w:cs="Arial"/>
              </w:rPr>
              <w:t xml:space="preserve"> through regulations</w:t>
            </w:r>
            <w:r w:rsidR="00DD5E50" w:rsidRPr="00096B3A">
              <w:rPr>
                <w:rFonts w:cs="Arial"/>
              </w:rPr>
              <w:t xml:space="preserve"> (Option 1) will commence from 1 </w:t>
            </w:r>
            <w:r w:rsidR="00FF6B64" w:rsidRPr="00096B3A">
              <w:rPr>
                <w:rFonts w:cs="Arial"/>
              </w:rPr>
              <w:t>June</w:t>
            </w:r>
            <w:r w:rsidR="00DD5E50" w:rsidRPr="00096B3A">
              <w:rPr>
                <w:rFonts w:cs="Arial"/>
              </w:rPr>
              <w:t xml:space="preserve"> 2021</w:t>
            </w:r>
            <w:r w:rsidR="00626BC2">
              <w:rPr>
                <w:rFonts w:cs="Arial"/>
              </w:rPr>
              <w:t>.</w:t>
            </w:r>
            <w:r w:rsidR="00DD5E50" w:rsidRPr="00096B3A">
              <w:rPr>
                <w:rFonts w:cs="Arial"/>
              </w:rPr>
              <w:t xml:space="preserve"> </w:t>
            </w:r>
          </w:p>
          <w:p w14:paraId="6373FF43" w14:textId="5F1AEF55" w:rsidR="00762C6C" w:rsidRPr="001925DC" w:rsidRDefault="00103E96" w:rsidP="00096B3A">
            <w:pPr>
              <w:pStyle w:val="ListParagraph"/>
              <w:numPr>
                <w:ilvl w:val="0"/>
                <w:numId w:val="43"/>
              </w:numPr>
              <w:ind w:left="447" w:hanging="284"/>
              <w:rPr>
                <w:rFonts w:cs="Arial"/>
              </w:rPr>
            </w:pPr>
            <w:r w:rsidRPr="002D21EF">
              <w:rPr>
                <w:rFonts w:cs="Arial"/>
              </w:rPr>
              <w:t>A</w:t>
            </w:r>
            <w:r w:rsidR="00DD5E50" w:rsidRPr="006E5EDF">
              <w:rPr>
                <w:rFonts w:cs="Arial"/>
              </w:rPr>
              <w:t xml:space="preserve"> </w:t>
            </w:r>
            <w:r w:rsidR="000E28A2" w:rsidRPr="006E5EDF">
              <w:rPr>
                <w:rFonts w:cs="Arial"/>
              </w:rPr>
              <w:t>fast-tracked</w:t>
            </w:r>
            <w:r w:rsidR="006E5EDF" w:rsidRPr="006E5EDF">
              <w:rPr>
                <w:rFonts w:cs="Arial"/>
              </w:rPr>
              <w:t xml:space="preserve"> </w:t>
            </w:r>
            <w:r w:rsidR="00DD5E50" w:rsidRPr="006E5EDF">
              <w:rPr>
                <w:rFonts w:cs="Arial"/>
              </w:rPr>
              <w:t>standards</w:t>
            </w:r>
            <w:r w:rsidR="00F756EB">
              <w:rPr>
                <w:rFonts w:cs="Arial"/>
              </w:rPr>
              <w:t>-</w:t>
            </w:r>
            <w:r w:rsidR="00DD5E50" w:rsidRPr="006E5EDF">
              <w:rPr>
                <w:rFonts w:cs="Arial"/>
              </w:rPr>
              <w:t xml:space="preserve">based approach </w:t>
            </w:r>
            <w:r w:rsidR="00DD5E50" w:rsidRPr="00096B3A">
              <w:rPr>
                <w:rFonts w:cs="Arial"/>
              </w:rPr>
              <w:t>(Option 2)</w:t>
            </w:r>
            <w:r w:rsidR="00DD5E50" w:rsidRPr="006E5EDF">
              <w:rPr>
                <w:rFonts w:cs="Arial"/>
              </w:rPr>
              <w:t xml:space="preserve"> </w:t>
            </w:r>
            <w:r w:rsidR="00DD5E50" w:rsidRPr="00096B3A">
              <w:rPr>
                <w:rFonts w:cs="Arial"/>
              </w:rPr>
              <w:t>implemented through</w:t>
            </w:r>
            <w:r w:rsidR="00287896" w:rsidRPr="00096B3A">
              <w:rPr>
                <w:rFonts w:cs="Arial"/>
              </w:rPr>
              <w:t xml:space="preserve"> amendments to </w:t>
            </w:r>
            <w:r w:rsidR="0050422C" w:rsidRPr="00096B3A">
              <w:rPr>
                <w:rFonts w:cs="Arial"/>
              </w:rPr>
              <w:t>AS/NZS 5263.1.3</w:t>
            </w:r>
            <w:r w:rsidR="00DD5E50" w:rsidRPr="006E5EDF">
              <w:rPr>
                <w:rFonts w:cs="Arial"/>
              </w:rPr>
              <w:t xml:space="preserve"> </w:t>
            </w:r>
            <w:r w:rsidR="00B342A6">
              <w:rPr>
                <w:rFonts w:cs="Arial"/>
              </w:rPr>
              <w:t xml:space="preserve">and AS/NZS5263.1.8 </w:t>
            </w:r>
            <w:r w:rsidR="00DD5E50" w:rsidRPr="006E5EDF">
              <w:rPr>
                <w:rFonts w:cs="Arial"/>
              </w:rPr>
              <w:t xml:space="preserve">would take effect </w:t>
            </w:r>
            <w:r w:rsidR="006E5EDF" w:rsidRPr="006E5EDF">
              <w:rPr>
                <w:rFonts w:cs="Arial"/>
              </w:rPr>
              <w:t xml:space="preserve">on </w:t>
            </w:r>
            <w:r w:rsidR="0054540D" w:rsidRPr="002D21EF">
              <w:rPr>
                <w:rFonts w:cs="Arial"/>
              </w:rPr>
              <w:t>1 January 2022</w:t>
            </w:r>
            <w:r w:rsidR="006E5EDF" w:rsidRPr="006E5EDF">
              <w:rPr>
                <w:rFonts w:cs="Arial"/>
              </w:rPr>
              <w:t>.</w:t>
            </w:r>
          </w:p>
        </w:tc>
      </w:tr>
      <w:tr w:rsidR="00762C6C" w14:paraId="18F784E4" w14:textId="77777777" w:rsidTr="00E0167C">
        <w:tc>
          <w:tcPr>
            <w:tcW w:w="1696" w:type="dxa"/>
            <w:shd w:val="clear" w:color="auto" w:fill="FFFFFF" w:themeFill="background1"/>
          </w:tcPr>
          <w:p w14:paraId="57F9632D" w14:textId="77777777" w:rsidR="00762C6C" w:rsidRDefault="00762C6C" w:rsidP="00E0167C">
            <w:r>
              <w:t>Industry costs: change in profits</w:t>
            </w:r>
          </w:p>
        </w:tc>
        <w:tc>
          <w:tcPr>
            <w:tcW w:w="7655" w:type="dxa"/>
            <w:shd w:val="clear" w:color="auto" w:fill="FFFFFF" w:themeFill="background1"/>
          </w:tcPr>
          <w:p w14:paraId="155E9B7A" w14:textId="03F58603" w:rsidR="00762C6C" w:rsidRPr="00E03E36" w:rsidRDefault="00762C6C" w:rsidP="00096B3A">
            <w:pPr>
              <w:pStyle w:val="ListParagraph"/>
              <w:numPr>
                <w:ilvl w:val="0"/>
                <w:numId w:val="45"/>
              </w:numPr>
              <w:ind w:left="447" w:hanging="284"/>
            </w:pPr>
            <w:r>
              <w:t>Data from DELWP and ESV suggests that the r</w:t>
            </w:r>
            <w:r w:rsidRPr="00BF5EA1">
              <w:t>etail price</w:t>
            </w:r>
            <w:r>
              <w:t xml:space="preserve"> of an</w:t>
            </w:r>
            <w:r w:rsidRPr="00BF5EA1">
              <w:t xml:space="preserve"> </w:t>
            </w:r>
            <w:r w:rsidR="000932DA">
              <w:t xml:space="preserve">OFGSH </w:t>
            </w:r>
            <w:r>
              <w:t>is</w:t>
            </w:r>
            <w:r w:rsidRPr="00BF5EA1">
              <w:t xml:space="preserve"> $1</w:t>
            </w:r>
            <w:r>
              <w:t>,</w:t>
            </w:r>
            <w:r w:rsidR="00A754E5" w:rsidRPr="002D21EF">
              <w:t>703</w:t>
            </w:r>
            <w:r w:rsidRPr="00BF5EA1">
              <w:t xml:space="preserve"> </w:t>
            </w:r>
            <w:r>
              <w:t xml:space="preserve">excluding installation, which costs </w:t>
            </w:r>
            <w:r w:rsidR="00A754E5">
              <w:t xml:space="preserve">an additional </w:t>
            </w:r>
            <w:r w:rsidRPr="00BF5EA1">
              <w:t>$</w:t>
            </w:r>
            <w:r w:rsidRPr="002D21EF">
              <w:t>5</w:t>
            </w:r>
            <w:r w:rsidR="00A754E5" w:rsidRPr="002D21EF">
              <w:t>74</w:t>
            </w:r>
            <w:r>
              <w:t>.</w:t>
            </w:r>
          </w:p>
          <w:p w14:paraId="697F60E6" w14:textId="5A498A7F" w:rsidR="00762C6C" w:rsidRPr="00E03E36" w:rsidRDefault="00762C6C" w:rsidP="00096B3A">
            <w:pPr>
              <w:pStyle w:val="ListParagraph"/>
              <w:numPr>
                <w:ilvl w:val="0"/>
                <w:numId w:val="45"/>
              </w:numPr>
              <w:ind w:left="447" w:hanging="284"/>
            </w:pPr>
            <w:r>
              <w:t>Data from DELWP and ESV suggests that the r</w:t>
            </w:r>
            <w:r w:rsidRPr="00BF5EA1">
              <w:t xml:space="preserve">etail price </w:t>
            </w:r>
            <w:r>
              <w:t>of a room sealed</w:t>
            </w:r>
            <w:r w:rsidRPr="00BF5EA1">
              <w:t xml:space="preserve"> heater </w:t>
            </w:r>
            <w:r>
              <w:t>is</w:t>
            </w:r>
            <w:r w:rsidRPr="00BF5EA1">
              <w:t xml:space="preserve"> $1</w:t>
            </w:r>
            <w:r>
              <w:t>,</w:t>
            </w:r>
            <w:r w:rsidR="008D740D" w:rsidRPr="002D21EF">
              <w:t>905</w:t>
            </w:r>
            <w:r w:rsidRPr="00BF5EA1">
              <w:t xml:space="preserve"> and the cost of installation is</w:t>
            </w:r>
            <w:r>
              <w:t xml:space="preserve"> </w:t>
            </w:r>
            <w:r w:rsidRPr="00BF5EA1">
              <w:t>$1</w:t>
            </w:r>
            <w:r>
              <w:t>,</w:t>
            </w:r>
            <w:r w:rsidR="00DE26AA" w:rsidRPr="002D21EF">
              <w:t>329</w:t>
            </w:r>
            <w:r w:rsidRPr="00BF5EA1">
              <w:t xml:space="preserve"> per heater</w:t>
            </w:r>
            <w:r>
              <w:t>.</w:t>
            </w:r>
          </w:p>
          <w:p w14:paraId="56B53FA1" w14:textId="0DB3248B" w:rsidR="00762C6C" w:rsidRPr="00E03E36" w:rsidRDefault="00762C6C" w:rsidP="00096B3A">
            <w:pPr>
              <w:pStyle w:val="ListParagraph"/>
              <w:numPr>
                <w:ilvl w:val="0"/>
                <w:numId w:val="45"/>
              </w:numPr>
              <w:ind w:left="447" w:hanging="284"/>
            </w:pPr>
            <w:r>
              <w:t xml:space="preserve">Similarly, the </w:t>
            </w:r>
            <w:r w:rsidR="00A365B2">
              <w:t>average</w:t>
            </w:r>
            <w:r>
              <w:t xml:space="preserve"> retail price of a </w:t>
            </w:r>
            <w:r w:rsidR="00B754FF">
              <w:t xml:space="preserve">3 to </w:t>
            </w:r>
            <w:r w:rsidR="00B754FF" w:rsidRPr="002D21EF">
              <w:t>8k</w:t>
            </w:r>
            <w:r w:rsidRPr="002D21EF">
              <w:t>W</w:t>
            </w:r>
            <w:r>
              <w:t xml:space="preserve"> reverse cycle system is $1,</w:t>
            </w:r>
            <w:r w:rsidR="00EB7FE7">
              <w:t xml:space="preserve">236 </w:t>
            </w:r>
            <w:r>
              <w:t xml:space="preserve">excluding installation which costs </w:t>
            </w:r>
            <w:r w:rsidR="00EB7FE7">
              <w:t xml:space="preserve">a further </w:t>
            </w:r>
            <w:r>
              <w:t>$1,0</w:t>
            </w:r>
            <w:r w:rsidR="002854A5">
              <w:t>3</w:t>
            </w:r>
            <w:r w:rsidDel="002854A5">
              <w:t>0</w:t>
            </w:r>
            <w:r>
              <w:t>.</w:t>
            </w:r>
          </w:p>
          <w:p w14:paraId="0256E8CC" w14:textId="2C8DA0C5" w:rsidR="00762C6C" w:rsidRPr="00F659C6" w:rsidRDefault="00784B8A" w:rsidP="00096B3A">
            <w:pPr>
              <w:pStyle w:val="ListParagraph"/>
              <w:numPr>
                <w:ilvl w:val="0"/>
                <w:numId w:val="45"/>
              </w:numPr>
              <w:ind w:left="447" w:hanging="284"/>
            </w:pPr>
            <w:r w:rsidRPr="002D21EF">
              <w:t>The</w:t>
            </w:r>
            <w:r w:rsidR="00762C6C">
              <w:t xml:space="preserve"> p</w:t>
            </w:r>
            <w:r w:rsidR="00762C6C" w:rsidRPr="00917826">
              <w:t>rice</w:t>
            </w:r>
            <w:r w:rsidR="00762C6C">
              <w:t>s</w:t>
            </w:r>
            <w:r w:rsidR="00762C6C" w:rsidRPr="00917826">
              <w:t xml:space="preserve"> </w:t>
            </w:r>
            <w:r w:rsidR="00762C6C">
              <w:t xml:space="preserve">and installation costs </w:t>
            </w:r>
            <w:r w:rsidR="00762C6C" w:rsidRPr="00917826">
              <w:t xml:space="preserve">of </w:t>
            </w:r>
            <w:r w:rsidR="00762C6C">
              <w:t>all</w:t>
            </w:r>
            <w:r w:rsidR="00762C6C" w:rsidRPr="00917826">
              <w:t xml:space="preserve"> heaters remain the same in real terms. </w:t>
            </w:r>
            <w:r w:rsidR="00762C6C">
              <w:t>H</w:t>
            </w:r>
            <w:r w:rsidR="00762C6C" w:rsidRPr="00917826">
              <w:t xml:space="preserve">eaters do not increase or decrease in price as a result of </w:t>
            </w:r>
            <w:r w:rsidR="00762C6C">
              <w:t>more/less</w:t>
            </w:r>
            <w:r w:rsidR="00762C6C" w:rsidRPr="00917826">
              <w:t xml:space="preserve"> </w:t>
            </w:r>
            <w:r w:rsidR="00762C6C" w:rsidRPr="00F659C6">
              <w:t>demand.</w:t>
            </w:r>
          </w:p>
          <w:p w14:paraId="5B2D7D66" w14:textId="4E0B13CA" w:rsidR="00762C6C" w:rsidRPr="00562E48" w:rsidRDefault="00762C6C" w:rsidP="00096B3A">
            <w:pPr>
              <w:pStyle w:val="ListParagraph"/>
              <w:numPr>
                <w:ilvl w:val="0"/>
                <w:numId w:val="45"/>
              </w:numPr>
              <w:ind w:left="447" w:hanging="284"/>
            </w:pPr>
            <w:r>
              <w:t>The g</w:t>
            </w:r>
            <w:r w:rsidRPr="00F659C6">
              <w:t xml:space="preserve">ross margin </w:t>
            </w:r>
            <w:r>
              <w:t xml:space="preserve">on </w:t>
            </w:r>
            <w:r w:rsidR="000932DA">
              <w:t xml:space="preserve">OFGSHs </w:t>
            </w:r>
            <w:r>
              <w:t>is assumed to be</w:t>
            </w:r>
            <w:r w:rsidRPr="00F659C6">
              <w:t xml:space="preserve"> 30</w:t>
            </w:r>
            <w:r w:rsidR="001A645C">
              <w:t xml:space="preserve"> per cent</w:t>
            </w:r>
            <w:r w:rsidRPr="00F659C6">
              <w:t xml:space="preserve"> </w:t>
            </w:r>
            <w:r>
              <w:t>while the</w:t>
            </w:r>
            <w:r w:rsidRPr="00F659C6">
              <w:t xml:space="preserve"> gross margin on </w:t>
            </w:r>
            <w:r>
              <w:t>a room sealed</w:t>
            </w:r>
            <w:r w:rsidRPr="00F659C6">
              <w:t xml:space="preserve"> heater </w:t>
            </w:r>
            <w:r>
              <w:t>is assumed to be</w:t>
            </w:r>
            <w:r w:rsidRPr="00F659C6">
              <w:t xml:space="preserve"> 20</w:t>
            </w:r>
            <w:r w:rsidR="001A645C">
              <w:t xml:space="preserve"> per cent</w:t>
            </w:r>
            <w:r>
              <w:t xml:space="preserve"> reflecting transition costs incurred by the gas heater industry. </w:t>
            </w:r>
            <w:r w:rsidR="00784B8A" w:rsidRPr="002D21EF">
              <w:t>All</w:t>
            </w:r>
            <w:r>
              <w:t xml:space="preserve"> manufacturers who currently produce OFGSHs will either shift to manufacturing alternative gas heating appliances (e.g. room sealed gas heaters</w:t>
            </w:r>
            <w:r w:rsidR="00C1297A">
              <w:t>) or</w:t>
            </w:r>
            <w:r>
              <w:t xml:space="preserve"> exit the heater market.</w:t>
            </w:r>
          </w:p>
          <w:p w14:paraId="7B30A119" w14:textId="1A031775" w:rsidR="00762C6C" w:rsidRPr="00562E48" w:rsidRDefault="00762C6C" w:rsidP="00096B3A">
            <w:pPr>
              <w:pStyle w:val="ListParagraph"/>
              <w:numPr>
                <w:ilvl w:val="0"/>
                <w:numId w:val="45"/>
              </w:numPr>
              <w:ind w:left="447" w:hanging="284"/>
            </w:pPr>
            <w:r>
              <w:t xml:space="preserve">The gross margin on reverse cycle systems is also assumed to be </w:t>
            </w:r>
            <w:r w:rsidRPr="00F659C6">
              <w:t>30</w:t>
            </w:r>
            <w:r w:rsidR="001A645C">
              <w:t xml:space="preserve"> per cent</w:t>
            </w:r>
          </w:p>
          <w:p w14:paraId="13A13445" w14:textId="6885CD23" w:rsidR="00762C6C" w:rsidRPr="00562E48" w:rsidRDefault="00762C6C" w:rsidP="00096B3A">
            <w:pPr>
              <w:pStyle w:val="ListParagraph"/>
              <w:numPr>
                <w:ilvl w:val="0"/>
                <w:numId w:val="45"/>
              </w:numPr>
              <w:ind w:left="447" w:hanging="284"/>
              <w:rPr>
                <w:rFonts w:cs="Arial"/>
              </w:rPr>
            </w:pPr>
            <w:r w:rsidRPr="00562E48">
              <w:rPr>
                <w:rFonts w:cs="Arial"/>
              </w:rPr>
              <w:t xml:space="preserve">10,041 units </w:t>
            </w:r>
            <w:r>
              <w:rPr>
                <w:rFonts w:cs="Arial"/>
              </w:rPr>
              <w:t>of OFGSHs are expected to be sold</w:t>
            </w:r>
            <w:r w:rsidRPr="00562E48">
              <w:rPr>
                <w:rFonts w:cs="Arial"/>
              </w:rPr>
              <w:t xml:space="preserve"> over 10 years</w:t>
            </w:r>
            <w:r w:rsidR="00790826">
              <w:rPr>
                <w:rFonts w:cs="Arial"/>
              </w:rPr>
              <w:t xml:space="preserve"> </w:t>
            </w:r>
            <w:r w:rsidR="00790826" w:rsidRPr="002D21EF">
              <w:rPr>
                <w:rFonts w:cs="Arial"/>
              </w:rPr>
              <w:t>in Victoria</w:t>
            </w:r>
            <w:r w:rsidRPr="00562E48">
              <w:rPr>
                <w:rFonts w:cs="Arial"/>
              </w:rPr>
              <w:t xml:space="preserve"> (GAMAA)</w:t>
            </w:r>
            <w:r w:rsidRPr="00E03E36">
              <w:rPr>
                <w:rFonts w:cs="Arial"/>
              </w:rPr>
              <w:t xml:space="preserve"> </w:t>
            </w:r>
            <w:r w:rsidRPr="00562E48">
              <w:rPr>
                <w:rFonts w:cs="Arial"/>
              </w:rPr>
              <w:t xml:space="preserve">which declines </w:t>
            </w:r>
            <w:r>
              <w:rPr>
                <w:rFonts w:cs="Arial"/>
              </w:rPr>
              <w:t xml:space="preserve">at different rates </w:t>
            </w:r>
            <w:r w:rsidRPr="00562E48">
              <w:rPr>
                <w:rFonts w:cs="Arial"/>
              </w:rPr>
              <w:t>based on the option</w:t>
            </w:r>
            <w:r>
              <w:rPr>
                <w:rFonts w:cs="Arial"/>
              </w:rPr>
              <w:t>. (see also discussion on heater stocks above)</w:t>
            </w:r>
            <w:r w:rsidR="00626BC2">
              <w:rPr>
                <w:rFonts w:cs="Arial"/>
              </w:rPr>
              <w:t>.</w:t>
            </w:r>
          </w:p>
          <w:p w14:paraId="2A5EFC08" w14:textId="70CEF089" w:rsidR="00762C6C" w:rsidRPr="00DF7480" w:rsidRDefault="00762C6C" w:rsidP="00096B3A">
            <w:pPr>
              <w:pStyle w:val="ListParagraph"/>
              <w:numPr>
                <w:ilvl w:val="0"/>
                <w:numId w:val="45"/>
              </w:numPr>
              <w:ind w:left="447" w:hanging="284"/>
              <w:rPr>
                <w:rFonts w:cs="Arial"/>
              </w:rPr>
            </w:pPr>
            <w:r w:rsidRPr="000845CE">
              <w:rPr>
                <w:rFonts w:cs="Arial"/>
              </w:rPr>
              <w:t>The decline in profits</w:t>
            </w:r>
            <w:r>
              <w:rPr>
                <w:rFonts w:cs="Arial"/>
              </w:rPr>
              <w:t xml:space="preserve"> for the gas heater </w:t>
            </w:r>
            <w:r w:rsidRPr="000845CE">
              <w:rPr>
                <w:rFonts w:cs="Arial"/>
              </w:rPr>
              <w:t xml:space="preserve">industry is greatest under the </w:t>
            </w:r>
            <w:r w:rsidR="003D06E7">
              <w:rPr>
                <w:rFonts w:cs="Arial"/>
              </w:rPr>
              <w:t>restriction</w:t>
            </w:r>
            <w:r w:rsidR="003D06E7" w:rsidRPr="000845CE">
              <w:rPr>
                <w:rFonts w:cs="Arial"/>
              </w:rPr>
              <w:t xml:space="preserve"> </w:t>
            </w:r>
            <w:r w:rsidRPr="000845CE">
              <w:rPr>
                <w:rFonts w:cs="Arial"/>
              </w:rPr>
              <w:t xml:space="preserve">on </w:t>
            </w:r>
            <w:r w:rsidR="004D151C">
              <w:rPr>
                <w:rFonts w:cs="Arial"/>
              </w:rPr>
              <w:t>future</w:t>
            </w:r>
            <w:r w:rsidRPr="000845CE">
              <w:rPr>
                <w:rFonts w:cs="Arial"/>
              </w:rPr>
              <w:t xml:space="preserve"> installations</w:t>
            </w:r>
            <w:r w:rsidR="00FD185C">
              <w:rPr>
                <w:rFonts w:cs="Arial"/>
              </w:rPr>
              <w:t xml:space="preserve"> and</w:t>
            </w:r>
            <w:r w:rsidR="006142B3">
              <w:rPr>
                <w:rFonts w:cs="Arial"/>
              </w:rPr>
              <w:t xml:space="preserve"> phase out through prescribed regulations</w:t>
            </w:r>
            <w:r>
              <w:rPr>
                <w:rFonts w:cs="Arial"/>
              </w:rPr>
              <w:t>, relative to other options</w:t>
            </w:r>
            <w:r w:rsidR="006142B3" w:rsidRPr="002D21EF">
              <w:rPr>
                <w:rFonts w:cs="Arial"/>
              </w:rPr>
              <w:t>.</w:t>
            </w:r>
          </w:p>
        </w:tc>
      </w:tr>
      <w:tr w:rsidR="00762C6C" w14:paraId="6EDC39F7" w14:textId="77777777" w:rsidTr="00E0167C">
        <w:tc>
          <w:tcPr>
            <w:tcW w:w="1696" w:type="dxa"/>
            <w:shd w:val="clear" w:color="auto" w:fill="FFFFFF" w:themeFill="background1"/>
          </w:tcPr>
          <w:p w14:paraId="6AB1EB54" w14:textId="77777777" w:rsidR="00762C6C" w:rsidRDefault="00762C6C" w:rsidP="00E0167C">
            <w:r>
              <w:t>Community costs: cost of purchasing more expensive heaters</w:t>
            </w:r>
            <w:r>
              <w:tab/>
            </w:r>
          </w:p>
        </w:tc>
        <w:tc>
          <w:tcPr>
            <w:tcW w:w="7655" w:type="dxa"/>
            <w:shd w:val="clear" w:color="auto" w:fill="FFFFFF" w:themeFill="background1"/>
          </w:tcPr>
          <w:p w14:paraId="469DE0D0" w14:textId="77777777" w:rsidR="00762C6C" w:rsidRPr="00562E48" w:rsidRDefault="00762C6C" w:rsidP="00096B3A">
            <w:pPr>
              <w:pStyle w:val="ListParagraph"/>
              <w:numPr>
                <w:ilvl w:val="0"/>
                <w:numId w:val="46"/>
              </w:numPr>
              <w:ind w:left="447" w:hanging="284"/>
            </w:pPr>
            <w:r w:rsidRPr="00562E48">
              <w:t>Retail price OFGSH</w:t>
            </w:r>
            <w:r>
              <w:t>s, reverse cycle systems</w:t>
            </w:r>
            <w:r w:rsidRPr="00562E48">
              <w:t xml:space="preserve"> and RS heaters as above</w:t>
            </w:r>
          </w:p>
          <w:p w14:paraId="31C66999" w14:textId="77777777" w:rsidR="00762C6C" w:rsidRPr="00917826" w:rsidRDefault="00762C6C" w:rsidP="00096B3A">
            <w:pPr>
              <w:pStyle w:val="ListParagraph"/>
              <w:numPr>
                <w:ilvl w:val="0"/>
                <w:numId w:val="46"/>
              </w:numPr>
              <w:ind w:left="447" w:hanging="284"/>
              <w:rPr>
                <w:rFonts w:cs="Arial"/>
              </w:rPr>
            </w:pPr>
            <w:r>
              <w:t xml:space="preserve">The sales of OFGSHs are as per GAMAA’s estimates above, however sales decline at different rates depending on the option. </w:t>
            </w:r>
          </w:p>
          <w:p w14:paraId="23CDEAD9" w14:textId="5620CABA" w:rsidR="00762C6C" w:rsidRDefault="00C50BDB" w:rsidP="00096B3A">
            <w:pPr>
              <w:pStyle w:val="ListParagraph"/>
              <w:numPr>
                <w:ilvl w:val="0"/>
                <w:numId w:val="46"/>
              </w:numPr>
              <w:ind w:left="447" w:hanging="284"/>
              <w:rPr>
                <w:rFonts w:cs="Arial"/>
              </w:rPr>
            </w:pPr>
            <w:r>
              <w:rPr>
                <w:rFonts w:cs="Arial"/>
              </w:rPr>
              <w:t>C</w:t>
            </w:r>
            <w:r w:rsidR="00762C6C">
              <w:rPr>
                <w:rFonts w:cs="Arial"/>
              </w:rPr>
              <w:t xml:space="preserve">onsumers that would have purchased OFGSHs under the Base Case purchase either a reverse cycle system or a room sealed gas heater. While the reverse cycle is cheaper than a room sealed heater, the room sealed heater is able to deliver the feeling of radiant heat that a reverse cycle system cannot. </w:t>
            </w:r>
          </w:p>
          <w:p w14:paraId="2DB75FA0" w14:textId="76C2DB46" w:rsidR="00762C6C" w:rsidRPr="00F659C6" w:rsidRDefault="00762C6C" w:rsidP="00096B3A">
            <w:pPr>
              <w:pStyle w:val="ListParagraph"/>
              <w:numPr>
                <w:ilvl w:val="0"/>
                <w:numId w:val="46"/>
              </w:numPr>
              <w:ind w:left="447" w:hanging="284"/>
              <w:rPr>
                <w:rFonts w:cs="Arial"/>
              </w:rPr>
            </w:pPr>
            <w:r w:rsidRPr="00F659C6">
              <w:rPr>
                <w:rFonts w:cs="Arial"/>
              </w:rPr>
              <w:t xml:space="preserve">The additional cost </w:t>
            </w:r>
            <w:r>
              <w:rPr>
                <w:rFonts w:cs="Arial"/>
              </w:rPr>
              <w:t>of purchasing more expensive heaters</w:t>
            </w:r>
            <w:r w:rsidRPr="00F659C6">
              <w:rPr>
                <w:rFonts w:cs="Arial"/>
              </w:rPr>
              <w:t xml:space="preserve"> is greatest under the </w:t>
            </w:r>
            <w:r w:rsidR="008663F0">
              <w:rPr>
                <w:rFonts w:cs="Arial"/>
              </w:rPr>
              <w:t>restriction</w:t>
            </w:r>
            <w:r w:rsidRPr="00F659C6">
              <w:rPr>
                <w:rFonts w:cs="Arial"/>
              </w:rPr>
              <w:t xml:space="preserve"> on all </w:t>
            </w:r>
            <w:r w:rsidR="004D151C">
              <w:rPr>
                <w:rFonts w:cs="Arial"/>
              </w:rPr>
              <w:t>future</w:t>
            </w:r>
            <w:r w:rsidRPr="00F659C6">
              <w:rPr>
                <w:rFonts w:cs="Arial"/>
              </w:rPr>
              <w:t xml:space="preserve"> installations</w:t>
            </w:r>
            <w:r w:rsidR="00394F97">
              <w:rPr>
                <w:rFonts w:cs="Arial"/>
              </w:rPr>
              <w:t xml:space="preserve"> and phase out through prescribed regulations</w:t>
            </w:r>
            <w:r>
              <w:rPr>
                <w:rFonts w:cs="Arial"/>
              </w:rPr>
              <w:t xml:space="preserve">. </w:t>
            </w:r>
            <w:r w:rsidR="00C50BDB">
              <w:rPr>
                <w:rFonts w:cs="Arial"/>
              </w:rPr>
              <w:t>W</w:t>
            </w:r>
            <w:r>
              <w:rPr>
                <w:rFonts w:cs="Arial"/>
              </w:rPr>
              <w:t xml:space="preserve">hile the cost imposed on the community to purchase alternative heaters is high, the decision to purchase a more efficient heater does also produce benefits to the community </w:t>
            </w:r>
            <w:r w:rsidRPr="002F2835">
              <w:rPr>
                <w:rFonts w:cs="Arial"/>
              </w:rPr>
              <w:t xml:space="preserve">(see energy efficiency). </w:t>
            </w:r>
          </w:p>
        </w:tc>
      </w:tr>
      <w:tr w:rsidR="00762C6C" w14:paraId="32CD0715" w14:textId="77777777" w:rsidTr="00E0167C">
        <w:tc>
          <w:tcPr>
            <w:tcW w:w="1696" w:type="dxa"/>
            <w:shd w:val="clear" w:color="auto" w:fill="FFFFFF" w:themeFill="background1"/>
          </w:tcPr>
          <w:p w14:paraId="11A8A574" w14:textId="77777777" w:rsidR="00762C6C" w:rsidRDefault="00762C6C" w:rsidP="00E0167C">
            <w:r>
              <w:t>Government costs: monitoring and enforcement</w:t>
            </w:r>
          </w:p>
        </w:tc>
        <w:tc>
          <w:tcPr>
            <w:tcW w:w="7655" w:type="dxa"/>
            <w:shd w:val="clear" w:color="auto" w:fill="FFFFFF" w:themeFill="background1"/>
          </w:tcPr>
          <w:p w14:paraId="0DE01C33" w14:textId="77777777" w:rsidR="00762C6C" w:rsidRPr="00913637" w:rsidRDefault="00762C6C" w:rsidP="00096B3A">
            <w:pPr>
              <w:pStyle w:val="ListParagraph"/>
              <w:numPr>
                <w:ilvl w:val="0"/>
                <w:numId w:val="47"/>
              </w:numPr>
              <w:ind w:left="447" w:hanging="284"/>
              <w:rPr>
                <w:rFonts w:cs="Arial"/>
              </w:rPr>
            </w:pPr>
            <w:r w:rsidRPr="00913637">
              <w:rPr>
                <w:rFonts w:cs="Arial"/>
              </w:rPr>
              <w:t xml:space="preserve">DELWP indicated that in 2019 it spent $1,217,000 on </w:t>
            </w:r>
            <w:r>
              <w:rPr>
                <w:rFonts w:cs="Arial"/>
              </w:rPr>
              <w:t xml:space="preserve">educational </w:t>
            </w:r>
            <w:r w:rsidRPr="00913637">
              <w:rPr>
                <w:rFonts w:cs="Arial"/>
              </w:rPr>
              <w:t>awareness campaigns</w:t>
            </w:r>
            <w:r>
              <w:rPr>
                <w:rFonts w:cs="Arial"/>
              </w:rPr>
              <w:t xml:space="preserve"> to alert the community about the dangers of CO. This includes campaigns run by ESV.</w:t>
            </w:r>
          </w:p>
          <w:p w14:paraId="69A687D2" w14:textId="2A4D9990" w:rsidR="00762C6C" w:rsidRDefault="00762C6C" w:rsidP="00096B3A">
            <w:pPr>
              <w:pStyle w:val="ListParagraph"/>
              <w:numPr>
                <w:ilvl w:val="0"/>
                <w:numId w:val="47"/>
              </w:numPr>
              <w:ind w:left="447" w:hanging="284"/>
              <w:rPr>
                <w:rFonts w:cs="Arial"/>
              </w:rPr>
            </w:pPr>
            <w:r>
              <w:rPr>
                <w:rFonts w:cs="Arial"/>
              </w:rPr>
              <w:lastRenderedPageBreak/>
              <w:t>DELWP estimates its</w:t>
            </w:r>
            <w:r w:rsidRPr="00913637">
              <w:rPr>
                <w:rFonts w:cs="Arial"/>
              </w:rPr>
              <w:t xml:space="preserve"> expenditure on education </w:t>
            </w:r>
            <w:r>
              <w:rPr>
                <w:rFonts w:cs="Arial"/>
              </w:rPr>
              <w:t xml:space="preserve">campaigns </w:t>
            </w:r>
            <w:r w:rsidRPr="00913637">
              <w:rPr>
                <w:rFonts w:cs="Arial"/>
              </w:rPr>
              <w:t xml:space="preserve">under the Base Case </w:t>
            </w:r>
            <w:r>
              <w:rPr>
                <w:rFonts w:cs="Arial"/>
              </w:rPr>
              <w:t>will be</w:t>
            </w:r>
            <w:r w:rsidRPr="00913637">
              <w:rPr>
                <w:rFonts w:cs="Arial"/>
              </w:rPr>
              <w:t xml:space="preserve"> $483,000 </w:t>
            </w:r>
            <w:r>
              <w:rPr>
                <w:rFonts w:cs="Arial"/>
              </w:rPr>
              <w:t>p.a.</w:t>
            </w:r>
            <w:r w:rsidR="001C0C05">
              <w:rPr>
                <w:rStyle w:val="FootnoteReference"/>
                <w:rFonts w:cs="Arial"/>
              </w:rPr>
              <w:footnoteReference w:id="122"/>
            </w:r>
            <w:r>
              <w:rPr>
                <w:rFonts w:cs="Arial"/>
              </w:rPr>
              <w:t xml:space="preserve"> </w:t>
            </w:r>
          </w:p>
          <w:p w14:paraId="34B58571" w14:textId="380F81F4" w:rsidR="00762C6C" w:rsidRPr="00913637" w:rsidRDefault="00762C6C" w:rsidP="00096B3A">
            <w:pPr>
              <w:pStyle w:val="ListParagraph"/>
              <w:numPr>
                <w:ilvl w:val="0"/>
                <w:numId w:val="47"/>
              </w:numPr>
              <w:ind w:left="447" w:hanging="284"/>
            </w:pPr>
            <w:r>
              <w:t>Incremental m</w:t>
            </w:r>
            <w:r w:rsidRPr="006B3EE6">
              <w:t xml:space="preserve">onitoring </w:t>
            </w:r>
            <w:r>
              <w:t xml:space="preserve">and enforcement costs for all options are assumed to be zero, relative to the Base Case. </w:t>
            </w:r>
          </w:p>
        </w:tc>
      </w:tr>
      <w:tr w:rsidR="00762C6C" w14:paraId="5B823A4F" w14:textId="77777777" w:rsidTr="00E0167C">
        <w:tc>
          <w:tcPr>
            <w:tcW w:w="1696" w:type="dxa"/>
            <w:shd w:val="clear" w:color="auto" w:fill="FFFFFF" w:themeFill="background1"/>
          </w:tcPr>
          <w:p w14:paraId="7E9591F5" w14:textId="77777777" w:rsidR="00762C6C" w:rsidRDefault="00762C6C" w:rsidP="00E0167C">
            <w:r>
              <w:lastRenderedPageBreak/>
              <w:t>Government costs: implementation</w:t>
            </w:r>
          </w:p>
        </w:tc>
        <w:tc>
          <w:tcPr>
            <w:tcW w:w="7655" w:type="dxa"/>
            <w:shd w:val="clear" w:color="auto" w:fill="FFFFFF" w:themeFill="background1"/>
          </w:tcPr>
          <w:p w14:paraId="4B0D6255" w14:textId="26D0DEAB" w:rsidR="00762C6C" w:rsidRPr="009D1993" w:rsidRDefault="009C1C6F" w:rsidP="00096B3A">
            <w:pPr>
              <w:pStyle w:val="ListParagraph"/>
              <w:numPr>
                <w:ilvl w:val="0"/>
                <w:numId w:val="43"/>
              </w:numPr>
              <w:ind w:left="447" w:hanging="284"/>
              <w:rPr>
                <w:rFonts w:cs="Arial"/>
              </w:rPr>
            </w:pPr>
            <w:r>
              <w:t>I</w:t>
            </w:r>
            <w:r w:rsidR="00762C6C" w:rsidRPr="00653A69">
              <w:t xml:space="preserve">mplementation, monitoring and enforcement costs will be </w:t>
            </w:r>
            <w:r w:rsidR="0068487D">
              <w:t xml:space="preserve">up to $0.8 million </w:t>
            </w:r>
            <w:r w:rsidR="00D60868">
              <w:t>for all options.</w:t>
            </w:r>
          </w:p>
        </w:tc>
      </w:tr>
      <w:tr w:rsidR="00762C6C" w14:paraId="647D6AA8" w14:textId="77777777" w:rsidTr="00E0167C">
        <w:tc>
          <w:tcPr>
            <w:tcW w:w="1696" w:type="dxa"/>
            <w:shd w:val="clear" w:color="auto" w:fill="FFFFFF" w:themeFill="background1"/>
          </w:tcPr>
          <w:p w14:paraId="2E03C3F7" w14:textId="77777777" w:rsidR="00762C6C" w:rsidRDefault="00762C6C" w:rsidP="00E0167C">
            <w:r>
              <w:t>Safety benefits: lives saved</w:t>
            </w:r>
          </w:p>
        </w:tc>
        <w:tc>
          <w:tcPr>
            <w:tcW w:w="7655" w:type="dxa"/>
            <w:shd w:val="clear" w:color="auto" w:fill="FFFFFF" w:themeFill="background1"/>
          </w:tcPr>
          <w:p w14:paraId="61819759" w14:textId="77777777" w:rsidR="00762C6C" w:rsidRPr="008D49F0" w:rsidRDefault="00762C6C" w:rsidP="00096B3A">
            <w:pPr>
              <w:pStyle w:val="ListParagraph"/>
              <w:numPr>
                <w:ilvl w:val="0"/>
                <w:numId w:val="43"/>
              </w:numPr>
              <w:ind w:left="447" w:hanging="284"/>
            </w:pPr>
            <w:r>
              <w:t xml:space="preserve">This is measured using </w:t>
            </w:r>
            <w:r w:rsidRPr="008D49F0">
              <w:t xml:space="preserve">the GBD methodology </w:t>
            </w:r>
            <w:r>
              <w:t>and Value of Statistical Life Year benchmark.</w:t>
            </w:r>
          </w:p>
          <w:p w14:paraId="43980926" w14:textId="16DED015" w:rsidR="00762C6C" w:rsidRPr="00917826" w:rsidRDefault="00762C6C" w:rsidP="00096B3A">
            <w:pPr>
              <w:pStyle w:val="ListParagraph"/>
              <w:numPr>
                <w:ilvl w:val="0"/>
                <w:numId w:val="43"/>
              </w:numPr>
              <w:ind w:left="447" w:hanging="284"/>
              <w:rPr>
                <w:rFonts w:cs="Arial"/>
              </w:rPr>
            </w:pPr>
            <w:r w:rsidRPr="00917826">
              <w:rPr>
                <w:rFonts w:cs="Arial"/>
              </w:rPr>
              <w:t>Value of a statistical life year (in $2020) is assumed to equal $219,390.</w:t>
            </w:r>
            <w:r>
              <w:rPr>
                <w:rStyle w:val="FootnoteReference"/>
                <w:rFonts w:cs="Arial"/>
              </w:rPr>
              <w:footnoteReference w:id="123"/>
            </w:r>
          </w:p>
          <w:p w14:paraId="3AA3CC26" w14:textId="77777777" w:rsidR="00762C6C" w:rsidRPr="0021755F" w:rsidRDefault="00762C6C" w:rsidP="00096B3A">
            <w:pPr>
              <w:pStyle w:val="ListParagraph"/>
              <w:numPr>
                <w:ilvl w:val="0"/>
                <w:numId w:val="43"/>
              </w:numPr>
              <w:ind w:left="447" w:hanging="284"/>
              <w:rPr>
                <w:rFonts w:cs="Arial"/>
              </w:rPr>
            </w:pPr>
            <w:r w:rsidRPr="0021755F">
              <w:rPr>
                <w:rFonts w:cs="Arial"/>
              </w:rPr>
              <w:t>The trend of 2 fatal incidents over the past 10 years is expected to continue into the first year of the modelling period. Each fatal incident is expected to result in 2.5 deaths, consistent with the average number of resident</w:t>
            </w:r>
            <w:r>
              <w:rPr>
                <w:rFonts w:cs="Arial"/>
              </w:rPr>
              <w:t>s</w:t>
            </w:r>
            <w:r w:rsidRPr="0021755F">
              <w:rPr>
                <w:rFonts w:cs="Arial"/>
              </w:rPr>
              <w:t xml:space="preserve"> living in Victorian households. </w:t>
            </w:r>
            <w:r>
              <w:rPr>
                <w:rFonts w:cs="Arial"/>
              </w:rPr>
              <w:t>The number of fatal incidents is expected to decline</w:t>
            </w:r>
            <w:r w:rsidRPr="0021755F">
              <w:rPr>
                <w:rFonts w:cs="Arial"/>
              </w:rPr>
              <w:t xml:space="preserve"> thereafter</w:t>
            </w:r>
            <w:r>
              <w:rPr>
                <w:rFonts w:cs="Arial"/>
              </w:rPr>
              <w:t>,</w:t>
            </w:r>
            <w:r w:rsidRPr="0021755F">
              <w:rPr>
                <w:rFonts w:cs="Arial"/>
              </w:rPr>
              <w:t xml:space="preserve"> based on the forecast stock of OFGSHs in Victorian buildings.</w:t>
            </w:r>
          </w:p>
          <w:p w14:paraId="38DBA360" w14:textId="77777777" w:rsidR="00762C6C" w:rsidRDefault="00762C6C" w:rsidP="00096B3A">
            <w:pPr>
              <w:pStyle w:val="ListParagraph"/>
              <w:numPr>
                <w:ilvl w:val="0"/>
                <w:numId w:val="43"/>
              </w:numPr>
              <w:spacing w:after="240"/>
              <w:ind w:left="447" w:hanging="284"/>
              <w:rPr>
                <w:rFonts w:cs="Arial"/>
              </w:rPr>
            </w:pPr>
            <w:r>
              <w:rPr>
                <w:rFonts w:cs="Arial"/>
              </w:rPr>
              <w:t xml:space="preserve">Victims of fatal CO exposures are assumed to have a life expectancy of 82.33 years – the gender weighted average life expectancy in Victoria. </w:t>
            </w:r>
          </w:p>
          <w:p w14:paraId="5D175DFC" w14:textId="77777777" w:rsidR="00762C6C" w:rsidRDefault="00762C6C" w:rsidP="00096B3A">
            <w:pPr>
              <w:pStyle w:val="ListParagraph"/>
              <w:numPr>
                <w:ilvl w:val="0"/>
                <w:numId w:val="43"/>
              </w:numPr>
              <w:ind w:left="447" w:hanging="284"/>
              <w:rPr>
                <w:rFonts w:cs="Arial"/>
              </w:rPr>
            </w:pPr>
            <w:r>
              <w:rPr>
                <w:rFonts w:cs="Arial"/>
              </w:rPr>
              <w:t>Victims are also assumed to be 36.00 years of age at their time of death – the median age of a Victorian resident.</w:t>
            </w:r>
          </w:p>
        </w:tc>
      </w:tr>
      <w:tr w:rsidR="00762C6C" w:rsidRPr="003C3E13" w14:paraId="5C5040B7" w14:textId="77777777" w:rsidTr="00E0167C">
        <w:tc>
          <w:tcPr>
            <w:tcW w:w="1696" w:type="dxa"/>
            <w:shd w:val="clear" w:color="auto" w:fill="FFFFFF" w:themeFill="background1"/>
          </w:tcPr>
          <w:p w14:paraId="3A718E44" w14:textId="77777777" w:rsidR="00762C6C" w:rsidRDefault="00762C6C" w:rsidP="00E0167C">
            <w:r>
              <w:t>Safety benefits: avoided non-fatal CO exposure</w:t>
            </w:r>
          </w:p>
        </w:tc>
        <w:tc>
          <w:tcPr>
            <w:tcW w:w="7655" w:type="dxa"/>
            <w:shd w:val="clear" w:color="auto" w:fill="FFFFFF" w:themeFill="background1"/>
          </w:tcPr>
          <w:p w14:paraId="316B9B60" w14:textId="77777777" w:rsidR="00762C6C" w:rsidRPr="00CD4390" w:rsidRDefault="00762C6C" w:rsidP="00096B3A">
            <w:pPr>
              <w:pStyle w:val="ListParagraph"/>
              <w:numPr>
                <w:ilvl w:val="0"/>
                <w:numId w:val="43"/>
              </w:numPr>
              <w:ind w:left="447" w:hanging="284"/>
              <w:rPr>
                <w:rFonts w:cs="Arial"/>
              </w:rPr>
            </w:pPr>
            <w:r w:rsidRPr="00CD4390">
              <w:rPr>
                <w:rFonts w:cs="Arial"/>
              </w:rPr>
              <w:t>This is measured using the GBD methodology.</w:t>
            </w:r>
          </w:p>
          <w:p w14:paraId="08346F18" w14:textId="45F93ECA" w:rsidR="00762C6C" w:rsidRPr="00CD4390" w:rsidRDefault="00762C6C" w:rsidP="00096B3A">
            <w:pPr>
              <w:pStyle w:val="ListParagraph"/>
              <w:numPr>
                <w:ilvl w:val="0"/>
                <w:numId w:val="43"/>
              </w:numPr>
              <w:ind w:left="447" w:hanging="284"/>
              <w:rPr>
                <w:rFonts w:cs="Arial"/>
              </w:rPr>
            </w:pPr>
            <w:r w:rsidRPr="00CD4390">
              <w:rPr>
                <w:rFonts w:cs="Arial"/>
                <w:u w:val="single"/>
              </w:rPr>
              <w:t>Serious illness</w:t>
            </w:r>
            <w:r w:rsidRPr="00CD4390">
              <w:rPr>
                <w:rFonts w:cs="Arial"/>
              </w:rPr>
              <w:t>: It has been assumed that a single serious non-fatal CO exposure occurs in the first year of the modelling period. This serious exposure is assumed to cause symptoms that resemble brain damage sequalae for a period of 23.16 years, which is half the remaining life expectancy of a median aged Victorian resident.</w:t>
            </w:r>
            <w:r w:rsidR="002C1B49">
              <w:rPr>
                <w:rStyle w:val="FootnoteReference"/>
                <w:rFonts w:cs="Arial"/>
              </w:rPr>
              <w:footnoteReference w:id="124"/>
            </w:r>
            <w:r w:rsidRPr="00CD4390">
              <w:rPr>
                <w:rFonts w:cs="Arial"/>
              </w:rPr>
              <w:t xml:space="preserve"> Brain damage sequalae have a disability weighting of 0.35</w:t>
            </w:r>
            <w:r>
              <w:rPr>
                <w:rFonts w:cs="Arial"/>
              </w:rPr>
              <w:t>.</w:t>
            </w:r>
            <w:r w:rsidRPr="00CD4390">
              <w:rPr>
                <w:rStyle w:val="FootnoteReference"/>
                <w:rFonts w:cs="Arial"/>
              </w:rPr>
              <w:footnoteReference w:id="125"/>
            </w:r>
            <w:r w:rsidRPr="00CD4390">
              <w:rPr>
                <w:rFonts w:cs="Arial"/>
              </w:rPr>
              <w:t xml:space="preserve"> The number of similar incidents is assumed to continue at the same per heater rate over the following years. The total number of serious CO exposures, however, is expected to decline in line with the stock of OFGSHs in Victoria.</w:t>
            </w:r>
          </w:p>
          <w:p w14:paraId="5E96AE8E" w14:textId="05EA9A5C" w:rsidR="00762C6C" w:rsidRPr="00CD4390" w:rsidRDefault="00762C6C" w:rsidP="00096B3A">
            <w:pPr>
              <w:pStyle w:val="ListParagraph"/>
              <w:numPr>
                <w:ilvl w:val="0"/>
                <w:numId w:val="43"/>
              </w:numPr>
              <w:ind w:left="447" w:hanging="284"/>
              <w:rPr>
                <w:rFonts w:cs="Arial"/>
              </w:rPr>
            </w:pPr>
            <w:r w:rsidRPr="00CD4390">
              <w:rPr>
                <w:rFonts w:cs="Arial"/>
              </w:rPr>
              <w:t>The initial assumed incidence rate of one serio</w:t>
            </w:r>
            <w:r w:rsidR="00783ED3">
              <w:rPr>
                <w:rFonts w:cs="Arial"/>
              </w:rPr>
              <w:t>u</w:t>
            </w:r>
            <w:r w:rsidRPr="00CD4390">
              <w:rPr>
                <w:rFonts w:cs="Arial"/>
              </w:rPr>
              <w:t xml:space="preserve">s non-fatal CO exposure is based on data provided by ESV – 8 serious exposures in the 8 years between 2010-11 and 2018-19. </w:t>
            </w:r>
          </w:p>
          <w:p w14:paraId="55B35853" w14:textId="6A58B054" w:rsidR="00762C6C" w:rsidRPr="00CD4390" w:rsidRDefault="00762C6C" w:rsidP="00096B3A">
            <w:pPr>
              <w:pStyle w:val="ListParagraph"/>
              <w:numPr>
                <w:ilvl w:val="0"/>
                <w:numId w:val="43"/>
              </w:numPr>
              <w:ind w:left="447" w:hanging="284"/>
              <w:rPr>
                <w:rFonts w:cs="Arial"/>
              </w:rPr>
            </w:pPr>
            <w:r w:rsidRPr="00CD4390">
              <w:rPr>
                <w:u w:val="single"/>
              </w:rPr>
              <w:t>Low level illness</w:t>
            </w:r>
            <w:r w:rsidRPr="00CD4390">
              <w:t xml:space="preserve">: Based on ESV audit data, which shows just over 11.2 per cent of households tested in a non-random audit program (conducted following a serious non-fatal incident in August 2018) had </w:t>
            </w:r>
            <w:r w:rsidR="000932DA">
              <w:t xml:space="preserve">OFGSHs </w:t>
            </w:r>
            <w:r w:rsidRPr="00CD4390">
              <w:t>which had serious levels of CO spillage</w:t>
            </w:r>
            <w:r w:rsidR="00163FDB">
              <w:t>. It was also found that about</w:t>
            </w:r>
            <w:r w:rsidR="00163FDB" w:rsidRPr="00CD4390">
              <w:t xml:space="preserve"> 60 per cent </w:t>
            </w:r>
            <w:r w:rsidR="00163FDB">
              <w:t>of all OFGSHs considered during the audit were installed in areas where negative pressure conditions could eventuate</w:t>
            </w:r>
            <w:r w:rsidRPr="00CD4390">
              <w:t xml:space="preserve"> (not directly hazardous by itself but extremely hazardous if a problem occurs with the </w:t>
            </w:r>
            <w:r w:rsidR="000932DA">
              <w:t xml:space="preserve">OFGSH </w:t>
            </w:r>
            <w:r w:rsidRPr="00CD4390">
              <w:t>appliance which causes spillage)</w:t>
            </w:r>
            <w:r w:rsidR="00163FDB">
              <w:t>.</w:t>
            </w:r>
            <w:r w:rsidRPr="00CD4390">
              <w:t xml:space="preserve"> </w:t>
            </w:r>
            <w:r w:rsidR="00163FDB">
              <w:t>As a result, it has been</w:t>
            </w:r>
            <w:r w:rsidRPr="00CD4390">
              <w:t xml:space="preserve"> assumed that there could be around 4,300 instances of low level CO poisoning in the first year of the modelling period. This represents 0.6 per cent of Victorian OFGSHs causing CO spillage that leads to illness in 2.5 </w:t>
            </w:r>
            <w:r w:rsidRPr="00CD4390">
              <w:lastRenderedPageBreak/>
              <w:t>residents per household.</w:t>
            </w:r>
            <w:r w:rsidR="00F046C2">
              <w:rPr>
                <w:rStyle w:val="FootnoteReference"/>
              </w:rPr>
              <w:footnoteReference w:id="126"/>
            </w:r>
            <w:r w:rsidRPr="00CD4390">
              <w:t xml:space="preserve"> </w:t>
            </w:r>
            <w:r w:rsidRPr="00CD4390">
              <w:rPr>
                <w:rFonts w:cs="Arial"/>
              </w:rPr>
              <w:t>This exposure is assumed to cause symptoms such as cold, headache and dizziness for 6 months per incident (this length of time is a Deloitte estimate based on use of heater in a year</w:t>
            </w:r>
            <w:r w:rsidRPr="000276F0">
              <w:rPr>
                <w:rFonts w:cs="Arial"/>
              </w:rPr>
              <w:t>).</w:t>
            </w:r>
            <w:r w:rsidR="00666947">
              <w:rPr>
                <w:rStyle w:val="FootnoteReference"/>
                <w:rFonts w:cs="Arial"/>
              </w:rPr>
              <w:footnoteReference w:id="127"/>
            </w:r>
            <w:r w:rsidRPr="00CD4390">
              <w:rPr>
                <w:rFonts w:cs="Arial"/>
              </w:rPr>
              <w:t xml:space="preserve"> A disability weighting</w:t>
            </w:r>
            <w:r w:rsidRPr="00CD4390">
              <w:rPr>
                <w:rStyle w:val="FootnoteReference"/>
                <w:rFonts w:cs="Arial"/>
              </w:rPr>
              <w:footnoteReference w:id="128"/>
            </w:r>
            <w:r w:rsidRPr="00CD4390">
              <w:rPr>
                <w:rFonts w:cs="Arial"/>
              </w:rPr>
              <w:t xml:space="preserve"> of 0.06 is used, which is the disability weighting for asthma.</w:t>
            </w:r>
            <w:r w:rsidRPr="00CD4390">
              <w:rPr>
                <w:rStyle w:val="FootnoteReference"/>
                <w:rFonts w:cs="Arial"/>
              </w:rPr>
              <w:footnoteReference w:id="129"/>
            </w:r>
          </w:p>
        </w:tc>
      </w:tr>
      <w:tr w:rsidR="00762C6C" w14:paraId="3855E3E5" w14:textId="77777777" w:rsidTr="00E0167C">
        <w:tc>
          <w:tcPr>
            <w:tcW w:w="1696" w:type="dxa"/>
            <w:shd w:val="clear" w:color="auto" w:fill="FFFFFF" w:themeFill="background1"/>
          </w:tcPr>
          <w:p w14:paraId="0DCFA126" w14:textId="77777777" w:rsidR="00762C6C" w:rsidRDefault="00762C6C" w:rsidP="00E0167C">
            <w:r>
              <w:lastRenderedPageBreak/>
              <w:t>Energy efficiency: reduced energy costs / reduced GHG emissions</w:t>
            </w:r>
          </w:p>
        </w:tc>
        <w:tc>
          <w:tcPr>
            <w:tcW w:w="7655" w:type="dxa"/>
            <w:shd w:val="clear" w:color="auto" w:fill="FFFFFF" w:themeFill="background1"/>
          </w:tcPr>
          <w:p w14:paraId="7165DB29" w14:textId="23B0617C" w:rsidR="00762C6C" w:rsidRPr="003D2132" w:rsidRDefault="00762C6C" w:rsidP="00096B3A">
            <w:pPr>
              <w:pStyle w:val="ListParagraph"/>
              <w:numPr>
                <w:ilvl w:val="0"/>
                <w:numId w:val="43"/>
              </w:numPr>
              <w:ind w:left="447" w:hanging="284"/>
              <w:rPr>
                <w:rFonts w:cs="Arial"/>
              </w:rPr>
            </w:pPr>
            <w:r w:rsidRPr="00CD4390">
              <w:t xml:space="preserve">All OFGSHs are assumed to have a </w:t>
            </w:r>
            <w:r w:rsidR="0020141D">
              <w:t>1.7</w:t>
            </w:r>
            <w:r w:rsidRPr="00CD4390">
              <w:t>-star energy efficiency rating</w:t>
            </w:r>
            <w:r w:rsidR="00844CF4">
              <w:t>.</w:t>
            </w:r>
            <w:r w:rsidRPr="00CD4390">
              <w:t xml:space="preserve"> </w:t>
            </w:r>
            <w:r w:rsidR="00844CF4">
              <w:t>A</w:t>
            </w:r>
            <w:r w:rsidRPr="00CD4390">
              <w:t xml:space="preserve">ll RS gas space heaters </w:t>
            </w:r>
            <w:r w:rsidR="00844CF4">
              <w:t xml:space="preserve">are assumed to have a 4.7-star energy efficiency rating, </w:t>
            </w:r>
            <w:r w:rsidRPr="00CD4390">
              <w:t xml:space="preserve">and reverse cycle air conditioners have a </w:t>
            </w:r>
            <w:r w:rsidR="00A90193">
              <w:t>3.8</w:t>
            </w:r>
            <w:r w:rsidRPr="00CD4390">
              <w:t>-star energy efficiency rating. Based on selected OFGSHs, RS gas space heaters and reverse cycle air conditioners, the average energy efficiency ratings observed are as follows;</w:t>
            </w:r>
          </w:p>
          <w:p w14:paraId="6B95A21D" w14:textId="01884CA6" w:rsidR="00762C6C" w:rsidRPr="003D2132" w:rsidRDefault="00762C6C" w:rsidP="00DA1171">
            <w:pPr>
              <w:pStyle w:val="ListParagraph"/>
              <w:numPr>
                <w:ilvl w:val="0"/>
                <w:numId w:val="266"/>
              </w:numPr>
              <w:rPr>
                <w:rFonts w:cs="Arial"/>
              </w:rPr>
            </w:pPr>
            <w:r w:rsidRPr="00CD4390">
              <w:t>OFGSH:</w:t>
            </w:r>
            <w:r w:rsidRPr="0072001E">
              <w:t xml:space="preserve"> </w:t>
            </w:r>
            <w:r w:rsidR="0058302A">
              <w:t>1.7</w:t>
            </w:r>
            <w:r w:rsidRPr="0072001E">
              <w:t xml:space="preserve"> stars</w:t>
            </w:r>
          </w:p>
          <w:p w14:paraId="667913DD" w14:textId="64F12FC7" w:rsidR="00762C6C" w:rsidRPr="003D2132" w:rsidRDefault="00762C6C" w:rsidP="00DA1171">
            <w:pPr>
              <w:pStyle w:val="ListParagraph"/>
              <w:numPr>
                <w:ilvl w:val="0"/>
                <w:numId w:val="266"/>
              </w:numPr>
              <w:rPr>
                <w:rFonts w:cs="Arial"/>
              </w:rPr>
            </w:pPr>
            <w:r w:rsidRPr="00CD4390">
              <w:t>RS gas space heaters:</w:t>
            </w:r>
            <w:r w:rsidRPr="0072001E">
              <w:t xml:space="preserve"> 4.</w:t>
            </w:r>
            <w:r w:rsidR="00274B11">
              <w:t>7</w:t>
            </w:r>
            <w:r w:rsidRPr="0072001E">
              <w:t xml:space="preserve"> stars</w:t>
            </w:r>
          </w:p>
          <w:p w14:paraId="4DFC03B0" w14:textId="38CFCFDF" w:rsidR="00762C6C" w:rsidRPr="00CD4390" w:rsidRDefault="00274B11" w:rsidP="00DA1171">
            <w:pPr>
              <w:pStyle w:val="ListParagraph"/>
              <w:numPr>
                <w:ilvl w:val="0"/>
                <w:numId w:val="266"/>
              </w:numPr>
              <w:rPr>
                <w:rFonts w:cs="Arial"/>
              </w:rPr>
            </w:pPr>
            <w:r>
              <w:t>3 to 8 kW</w:t>
            </w:r>
            <w:r w:rsidRPr="0072001E">
              <w:t xml:space="preserve"> </w:t>
            </w:r>
            <w:r w:rsidR="00762C6C" w:rsidRPr="0072001E">
              <w:t>r</w:t>
            </w:r>
            <w:r w:rsidR="00762C6C" w:rsidRPr="00CD4390">
              <w:t xml:space="preserve">everse cycle air conditioners: </w:t>
            </w:r>
            <w:r>
              <w:t>3.8</w:t>
            </w:r>
            <w:r w:rsidR="00762C6C" w:rsidRPr="0072001E">
              <w:t xml:space="preserve"> stars</w:t>
            </w:r>
            <w:r w:rsidR="00525FF3">
              <w:t>.</w:t>
            </w:r>
          </w:p>
          <w:p w14:paraId="5826612F" w14:textId="17666BDD" w:rsidR="00762C6C" w:rsidRPr="00CD4390" w:rsidRDefault="00762C6C" w:rsidP="00096B3A">
            <w:pPr>
              <w:pStyle w:val="ListParagraph"/>
              <w:numPr>
                <w:ilvl w:val="0"/>
                <w:numId w:val="43"/>
              </w:numPr>
              <w:ind w:left="447" w:hanging="284"/>
              <w:rPr>
                <w:rFonts w:cs="Arial"/>
              </w:rPr>
            </w:pPr>
            <w:r w:rsidRPr="00CD4390">
              <w:t>Under each of the options, half of the consumers default to purchasing RS gas space heaters (the next cheapest alternative in terms of capital and installation costs). The other half are assumed to purchase reverse cycle air conditioners (more efficient, heating and cooling capacity)</w:t>
            </w:r>
            <w:r w:rsidR="00525FF3">
              <w:t>.</w:t>
            </w:r>
          </w:p>
          <w:p w14:paraId="536B37A4" w14:textId="77777777" w:rsidR="00762C6C" w:rsidRPr="00CD4390" w:rsidRDefault="00762C6C" w:rsidP="00096B3A">
            <w:pPr>
              <w:pStyle w:val="ListParagraph"/>
              <w:numPr>
                <w:ilvl w:val="0"/>
                <w:numId w:val="43"/>
              </w:numPr>
              <w:ind w:left="447" w:hanging="284"/>
              <w:rPr>
                <w:rFonts w:cs="Arial"/>
              </w:rPr>
            </w:pPr>
            <w:r w:rsidRPr="00CD4390">
              <w:rPr>
                <w:rFonts w:cs="Arial"/>
              </w:rPr>
              <w:t>All heating units are assumed to be installed and operated in medium rooms (approx. 30m</w:t>
            </w:r>
            <w:r w:rsidRPr="00CD4390">
              <w:rPr>
                <w:rFonts w:cs="Arial"/>
                <w:vertAlign w:val="superscript"/>
              </w:rPr>
              <w:t>2</w:t>
            </w:r>
            <w:r w:rsidRPr="00CD4390">
              <w:rPr>
                <w:rFonts w:cs="Arial"/>
              </w:rPr>
              <w:t>).</w:t>
            </w:r>
          </w:p>
          <w:p w14:paraId="53427A2D" w14:textId="71D7A46A" w:rsidR="00762C6C" w:rsidRPr="00CD4390" w:rsidRDefault="00F62D3B" w:rsidP="00096B3A">
            <w:pPr>
              <w:pStyle w:val="ListParagraph"/>
              <w:numPr>
                <w:ilvl w:val="0"/>
                <w:numId w:val="43"/>
              </w:numPr>
              <w:ind w:left="447" w:hanging="284"/>
              <w:rPr>
                <w:rFonts w:cs="Arial"/>
              </w:rPr>
            </w:pPr>
            <w:r>
              <w:rPr>
                <w:rFonts w:cs="Arial"/>
              </w:rPr>
              <w:t>Assumed r</w:t>
            </w:r>
            <w:r w:rsidR="00762C6C" w:rsidRPr="00CD4390">
              <w:rPr>
                <w:rFonts w:cs="Arial"/>
              </w:rPr>
              <w:t xml:space="preserve">unning costs </w:t>
            </w:r>
            <w:r w:rsidR="00E5270B">
              <w:rPr>
                <w:rFonts w:cs="Arial"/>
              </w:rPr>
              <w:t xml:space="preserve">and greenhouse gas emissions </w:t>
            </w:r>
            <w:r>
              <w:rPr>
                <w:rFonts w:cs="Arial"/>
              </w:rPr>
              <w:t>have been estimated based on a linear extrapolation of</w:t>
            </w:r>
            <w:r w:rsidRPr="00CD4390">
              <w:rPr>
                <w:rFonts w:cs="Arial"/>
              </w:rPr>
              <w:t xml:space="preserve"> </w:t>
            </w:r>
            <w:r w:rsidR="00E5270B">
              <w:rPr>
                <w:rFonts w:cs="Arial"/>
              </w:rPr>
              <w:t>parameters</w:t>
            </w:r>
            <w:r w:rsidR="00762C6C" w:rsidRPr="00CD4390">
              <w:rPr>
                <w:rFonts w:cs="Arial"/>
              </w:rPr>
              <w:t xml:space="preserve"> outlined by Sustainability Victoria for 3- and 5-star gas space heaters and reverse cycle air conditioners.</w:t>
            </w:r>
          </w:p>
        </w:tc>
      </w:tr>
    </w:tbl>
    <w:p w14:paraId="1F87A453" w14:textId="31091509" w:rsidR="00762C6C" w:rsidRDefault="00762C6C" w:rsidP="00762C6C">
      <w:pPr>
        <w:contextualSpacing/>
      </w:pPr>
    </w:p>
    <w:p w14:paraId="4478CFD6" w14:textId="1A17680C" w:rsidR="00261D0B" w:rsidRDefault="00261D0B" w:rsidP="00762C6C">
      <w:pPr>
        <w:contextualSpacing/>
      </w:pPr>
    </w:p>
    <w:p w14:paraId="79752824" w14:textId="77777777" w:rsidR="00261D0B" w:rsidRPr="00FF5BFF" w:rsidRDefault="00261D0B" w:rsidP="00FF5BFF">
      <w:pPr>
        <w:pStyle w:val="Heading3"/>
        <w:numPr>
          <w:ilvl w:val="1"/>
          <w:numId w:val="172"/>
        </w:numPr>
        <w:rPr>
          <w:color w:val="62B5E5" w:themeColor="accent3"/>
        </w:rPr>
      </w:pPr>
      <w:r w:rsidRPr="00FF5BFF">
        <w:rPr>
          <w:color w:val="62B5E5" w:themeColor="accent3"/>
        </w:rPr>
        <w:t xml:space="preserve">Analysis of CO alarms </w:t>
      </w:r>
    </w:p>
    <w:p w14:paraId="1E91F7B3" w14:textId="77777777" w:rsidR="00261D0B" w:rsidRPr="00261D0B" w:rsidRDefault="00CB55C6" w:rsidP="00F5738C">
      <w:r>
        <w:t xml:space="preserve">Breakeven analysis is used in this section to </w:t>
      </w:r>
      <w:r w:rsidR="006A3398">
        <w:t xml:space="preserve">assess </w:t>
      </w:r>
      <w:r w:rsidR="0099460D">
        <w:t>potential for</w:t>
      </w:r>
      <w:r w:rsidR="007A7C9C">
        <w:t xml:space="preserve"> </w:t>
      </w:r>
      <w:r w:rsidR="00664797">
        <w:t>mandatory CO alarms in rental properties.</w:t>
      </w:r>
    </w:p>
    <w:p w14:paraId="60D84300" w14:textId="77777777" w:rsidR="00261D0B" w:rsidRPr="005376C0" w:rsidRDefault="00261D0B" w:rsidP="005024F8">
      <w:pPr>
        <w:pStyle w:val="Heading3"/>
      </w:pPr>
      <w:r w:rsidRPr="005376C0">
        <w:t xml:space="preserve">Cost of </w:t>
      </w:r>
      <w:r w:rsidR="009F08E2" w:rsidRPr="005376C0">
        <w:t>CO alarms</w:t>
      </w:r>
      <w:r w:rsidR="00896D97" w:rsidRPr="005376C0">
        <w:t xml:space="preserve"> </w:t>
      </w:r>
    </w:p>
    <w:p w14:paraId="638F40F2" w14:textId="595650BC" w:rsidR="00230410" w:rsidRDefault="00D4506B" w:rsidP="00F5738C">
      <w:r>
        <w:t>The cost of purchasing and installing CO alarms</w:t>
      </w:r>
      <w:r w:rsidR="00261D0B" w:rsidRPr="00394350">
        <w:t xml:space="preserve"> </w:t>
      </w:r>
      <w:r w:rsidR="00394350" w:rsidRPr="00394350">
        <w:t>in rental properties</w:t>
      </w:r>
      <w:r>
        <w:t xml:space="preserve"> </w:t>
      </w:r>
      <w:r w:rsidR="002E685C">
        <w:t xml:space="preserve">with an </w:t>
      </w:r>
      <w:r w:rsidR="000932DA">
        <w:t xml:space="preserve">OFGSH </w:t>
      </w:r>
      <w:r>
        <w:t xml:space="preserve">is </w:t>
      </w:r>
      <w:r w:rsidR="00E83C70">
        <w:t xml:space="preserve">approximately </w:t>
      </w:r>
      <w:r w:rsidR="00627C5A">
        <w:t>$7.</w:t>
      </w:r>
      <w:r w:rsidR="0062129B" w:rsidRPr="00DA2E0A">
        <w:t>9 million.</w:t>
      </w:r>
      <w:r w:rsidR="0062129B" w:rsidRPr="00DA2E0A">
        <w:rPr>
          <w:rStyle w:val="FootnoteReference"/>
          <w:sz w:val="17"/>
          <w:szCs w:val="17"/>
        </w:rPr>
        <w:footnoteReference w:id="130"/>
      </w:r>
      <w:r w:rsidR="00261D0B" w:rsidRPr="00394350">
        <w:t xml:space="preserve"> </w:t>
      </w:r>
    </w:p>
    <w:p w14:paraId="09BB7DFA" w14:textId="24A20438" w:rsidR="00261D0B" w:rsidRPr="00261D0B" w:rsidRDefault="00E725E0" w:rsidP="00B37B78">
      <w:r>
        <w:t>The key assumptions are an</w:t>
      </w:r>
      <w:r w:rsidRPr="00E725E0">
        <w:t xml:space="preserve"> average cost </w:t>
      </w:r>
      <w:r>
        <w:t>for a</w:t>
      </w:r>
      <w:r w:rsidRPr="00E725E0">
        <w:t xml:space="preserve"> CO alarm </w:t>
      </w:r>
      <w:r>
        <w:t>of</w:t>
      </w:r>
      <w:r w:rsidRPr="00E725E0">
        <w:t xml:space="preserve"> $60 and </w:t>
      </w:r>
      <w:r w:rsidR="00C618F5">
        <w:t xml:space="preserve">that, as </w:t>
      </w:r>
      <w:r w:rsidRPr="00E725E0">
        <w:t>per ESV advice, CO alarms should be replaced every 7 years</w:t>
      </w:r>
      <w:r w:rsidR="000E2656">
        <w:t>, which means there</w:t>
      </w:r>
      <w:r w:rsidRPr="00E725E0">
        <w:t xml:space="preserve"> are two CO alarm purchases over the 10 year period from 2020</w:t>
      </w:r>
      <w:r w:rsidR="000E2656">
        <w:t xml:space="preserve">. Each rental household </w:t>
      </w:r>
      <w:r w:rsidR="00595D51">
        <w:t xml:space="preserve">with an </w:t>
      </w:r>
      <w:r w:rsidR="000932DA">
        <w:t xml:space="preserve">OFGSH </w:t>
      </w:r>
      <w:r w:rsidR="000B5669">
        <w:t xml:space="preserve">throughout the 10 year period </w:t>
      </w:r>
      <w:r w:rsidR="000E2656">
        <w:t>purchases one alarm</w:t>
      </w:r>
      <w:r w:rsidR="00A07105">
        <w:t>, twice</w:t>
      </w:r>
      <w:r w:rsidR="000E2656">
        <w:t xml:space="preserve">. </w:t>
      </w:r>
      <w:r w:rsidR="00202F46">
        <w:t>The number of households that purchase the</w:t>
      </w:r>
      <w:r w:rsidR="00202F46" w:rsidRPr="00E74AA1">
        <w:t xml:space="preserve"> 2nd </w:t>
      </w:r>
      <w:r w:rsidR="00485C03">
        <w:t xml:space="preserve">alarm </w:t>
      </w:r>
      <w:r w:rsidR="00202F46">
        <w:t>a</w:t>
      </w:r>
      <w:r w:rsidR="00485C03">
        <w:t xml:space="preserve">fter 8 years is </w:t>
      </w:r>
      <w:r w:rsidR="00AB4D11">
        <w:t>reduced because existing OFGSHs in households is expected to decline over the period.</w:t>
      </w:r>
      <w:r w:rsidR="00202F46">
        <w:t xml:space="preserve"> </w:t>
      </w:r>
      <w:r w:rsidR="000E2656">
        <w:t>All k</w:t>
      </w:r>
      <w:r w:rsidR="00261D0B" w:rsidRPr="00394350">
        <w:t>ey data are outlined in section 4.</w:t>
      </w:r>
      <w:r w:rsidR="00C422C0">
        <w:t>2.</w:t>
      </w:r>
      <w:r w:rsidR="00C13702">
        <w:t>6</w:t>
      </w:r>
      <w:r w:rsidR="00261D0B" w:rsidRPr="00394350">
        <w:t>.</w:t>
      </w:r>
    </w:p>
    <w:p w14:paraId="78DC8F2C" w14:textId="77777777" w:rsidR="00261D0B" w:rsidRPr="00261D0B" w:rsidRDefault="00261D0B" w:rsidP="005024F8">
      <w:pPr>
        <w:pStyle w:val="Heading3"/>
      </w:pPr>
      <w:r w:rsidRPr="00261D0B">
        <w:lastRenderedPageBreak/>
        <w:t xml:space="preserve">Benefits of </w:t>
      </w:r>
      <w:r w:rsidR="006436C1">
        <w:t>CO alarms</w:t>
      </w:r>
    </w:p>
    <w:p w14:paraId="406D8365" w14:textId="77777777" w:rsidR="00261D0B" w:rsidRPr="00261D0B" w:rsidRDefault="00261D0B" w:rsidP="0062129B">
      <w:r w:rsidRPr="00261D0B">
        <w:t xml:space="preserve">The following benefits will be achieved by the introduction of </w:t>
      </w:r>
      <w:r w:rsidR="0062129B" w:rsidRPr="00DA2E0A">
        <w:t>transitional measures:</w:t>
      </w:r>
    </w:p>
    <w:p w14:paraId="44568FA2" w14:textId="77777777" w:rsidR="00261D0B" w:rsidRPr="00DA2E0A" w:rsidRDefault="00261D0B" w:rsidP="0062129B">
      <w:pPr>
        <w:pStyle w:val="ListParagraph"/>
        <w:numPr>
          <w:ilvl w:val="0"/>
          <w:numId w:val="173"/>
        </w:numPr>
        <w:rPr>
          <w:rFonts w:eastAsia="Times New Roman" w:cs="Times New Roman"/>
        </w:rPr>
      </w:pPr>
      <w:r w:rsidRPr="00DA2E0A">
        <w:rPr>
          <w:rFonts w:eastAsia="Times New Roman" w:cs="Times New Roman"/>
        </w:rPr>
        <w:t xml:space="preserve">Lives saved </w:t>
      </w:r>
    </w:p>
    <w:p w14:paraId="47D120CE" w14:textId="77777777" w:rsidR="00261D0B" w:rsidRPr="00DA2E0A" w:rsidRDefault="00261D0B" w:rsidP="0062129B">
      <w:pPr>
        <w:pStyle w:val="ListParagraph"/>
        <w:numPr>
          <w:ilvl w:val="0"/>
          <w:numId w:val="173"/>
        </w:numPr>
        <w:rPr>
          <w:rFonts w:eastAsia="Times New Roman" w:cs="Times New Roman"/>
        </w:rPr>
      </w:pPr>
      <w:r w:rsidRPr="00DA2E0A">
        <w:rPr>
          <w:rFonts w:eastAsia="Times New Roman" w:cs="Times New Roman"/>
        </w:rPr>
        <w:t>Avoided serious non-fatal illnesses</w:t>
      </w:r>
    </w:p>
    <w:p w14:paraId="3CE44857" w14:textId="77777777" w:rsidR="00261D0B" w:rsidRPr="00DA2E0A" w:rsidRDefault="00261D0B" w:rsidP="0062129B">
      <w:pPr>
        <w:pStyle w:val="ListParagraph"/>
        <w:numPr>
          <w:ilvl w:val="0"/>
          <w:numId w:val="173"/>
        </w:numPr>
        <w:rPr>
          <w:rFonts w:eastAsia="Times New Roman" w:cs="Times New Roman"/>
        </w:rPr>
      </w:pPr>
      <w:r w:rsidRPr="00DA2E0A">
        <w:rPr>
          <w:rFonts w:eastAsia="Times New Roman" w:cs="Times New Roman"/>
        </w:rPr>
        <w:t>Avoided low level illnesses.</w:t>
      </w:r>
    </w:p>
    <w:p w14:paraId="1CB812B7" w14:textId="17C20A17" w:rsidR="00261D0B" w:rsidRPr="00CE3480" w:rsidRDefault="00261D0B" w:rsidP="0062129B">
      <w:r w:rsidRPr="00261D0B">
        <w:t xml:space="preserve">CO alarms alert people within a room (or dwelling) to the presence of </w:t>
      </w:r>
      <w:r w:rsidR="00A24306">
        <w:t>CO</w:t>
      </w:r>
      <w:r w:rsidRPr="00261D0B">
        <w:t xml:space="preserve">. Considering that this gas is tasteless, odourless and visually undetectable, a CO alarm has the potential to save lives and prevent </w:t>
      </w:r>
      <w:r w:rsidR="0088571F">
        <w:t>CO</w:t>
      </w:r>
      <w:r w:rsidRPr="00261D0B">
        <w:t xml:space="preserve"> poisoning if</w:t>
      </w:r>
      <w:r w:rsidR="009C209D">
        <w:t xml:space="preserve"> t</w:t>
      </w:r>
      <w:r w:rsidRPr="00000A84">
        <w:t xml:space="preserve">he alarm is in good working order and functions properly, </w:t>
      </w:r>
      <w:r w:rsidR="00652647" w:rsidRPr="00096B3A">
        <w:t>is installed in the correct locations,</w:t>
      </w:r>
      <w:r w:rsidRPr="00000A84">
        <w:t xml:space="preserve"> and</w:t>
      </w:r>
      <w:r w:rsidR="009C209D">
        <w:t xml:space="preserve"> p</w:t>
      </w:r>
      <w:r w:rsidRPr="00F439E2">
        <w:t>eople respond appropriately to the alert tone.</w:t>
      </w:r>
    </w:p>
    <w:p w14:paraId="5CB2B98A" w14:textId="77777777" w:rsidR="00261D0B" w:rsidRPr="00DA2E0A" w:rsidRDefault="00261D0B" w:rsidP="00F5738C">
      <w:pPr>
        <w:rPr>
          <w:color w:val="000000" w:themeColor="text1"/>
        </w:rPr>
      </w:pPr>
      <w:r w:rsidRPr="00DA2E0A">
        <w:t xml:space="preserve">Broadly speaking, for a CO alarm to be effective it must be installed in the correct location, have a back-up battery (if hard-wired) and have batteries that are charged (if battery powered). The alarm should also be replaced according to the manufacturer’s advice surrounding the useful life of the device. CO alarms generally have a useful life of somewhere between 7-10 years (depending on the device) and thereafter the electrochemical sensor that detects CO begins to malfunction. It is therefore imperative that alarms are replaced accordingly. Similarly, a CO alarm cannot alert people to the dangers of CO if it </w:t>
      </w:r>
      <w:r w:rsidRPr="00DA2E0A">
        <w:rPr>
          <w:color w:val="000000" w:themeColor="text1"/>
        </w:rPr>
        <w:t xml:space="preserve">is not installed correctly, or if it does not have power. </w:t>
      </w:r>
    </w:p>
    <w:p w14:paraId="4F84D2C6" w14:textId="44CC1BAC" w:rsidR="00250585" w:rsidRPr="00DA2E0A" w:rsidRDefault="00261D0B" w:rsidP="00B37B78">
      <w:r w:rsidRPr="00DA2E0A">
        <w:t xml:space="preserve">Another technical consideration is that CO travels in clusters throughout a room. As such, a CO alarm will not always alert to the presence of CO in a room if the CO is located in a different part of the room than the CO alarm. </w:t>
      </w:r>
      <w:r w:rsidR="00250585" w:rsidRPr="00DA2E0A">
        <w:rPr>
          <w:lang w:eastAsia="en-AU"/>
        </w:rPr>
        <w:t xml:space="preserve">Indoor airflows may direct CO away from alarms and into other rooms. </w:t>
      </w:r>
      <w:r w:rsidR="00250585" w:rsidRPr="00DA2E0A">
        <w:t>Depending on how and where the CO is produced, there may be very significant concentration gradients throughout a residence. The following comment was made by an expert consulted as part of the inquest</w:t>
      </w:r>
      <w:r w:rsidR="009631DA">
        <w:t>s</w:t>
      </w:r>
      <w:r w:rsidR="00250585" w:rsidRPr="00DA2E0A">
        <w:t xml:space="preserve"> into the deaths of Chance and Tyler Robinson (2010)</w:t>
      </w:r>
      <w:r w:rsidR="005A7B96" w:rsidRPr="00DA2E0A">
        <w:t>:</w:t>
      </w:r>
    </w:p>
    <w:p w14:paraId="3596E87F" w14:textId="77777777" w:rsidR="00250585" w:rsidRPr="00DA2E0A" w:rsidRDefault="00250585" w:rsidP="0062129B">
      <w:pPr>
        <w:rPr>
          <w:i/>
        </w:rPr>
      </w:pPr>
      <w:r w:rsidRPr="00DA2E0A">
        <w:rPr>
          <w:i/>
        </w:rPr>
        <w:t>“[The CO alarm] may be high, it may be low; it may be in the middle of the room. If you had an engineer to work that out and say, yes, this is where it needs to be placed, all you’d need to do is open a window which could change all the dynamics and you may have a room that has high contents of carbon monoxide in one corner but may not have it in another”.</w:t>
      </w:r>
      <w:r w:rsidRPr="00DA2E0A">
        <w:rPr>
          <w:rStyle w:val="FootnoteReference"/>
          <w:i/>
          <w:color w:val="000000" w:themeColor="text1"/>
        </w:rPr>
        <w:footnoteReference w:id="131"/>
      </w:r>
    </w:p>
    <w:p w14:paraId="79621F8F" w14:textId="07B12225" w:rsidR="00513C06" w:rsidRPr="00DA2E0A" w:rsidRDefault="00513C06" w:rsidP="00F5738C">
      <w:r w:rsidRPr="00DA2E0A">
        <w:t>A 2011 audit conducted by the Health and Safety Executive of the UK found more than 20 per cent of the CO alarms sampled had been fitted incorrectly.</w:t>
      </w:r>
      <w:r w:rsidRPr="00DA2E0A">
        <w:rPr>
          <w:rStyle w:val="FootnoteReference"/>
          <w:color w:val="000000" w:themeColor="text1"/>
        </w:rPr>
        <w:footnoteReference w:id="132"/>
      </w:r>
      <w:r w:rsidRPr="00DA2E0A">
        <w:t xml:space="preserve"> This was mainly due to alarms being installed either at the wrong height, or too far away from the potential source of CO. </w:t>
      </w:r>
      <w:r w:rsidR="00480218">
        <w:t xml:space="preserve">Similarly, in Victoria, CO alarms </w:t>
      </w:r>
      <w:r w:rsidR="00DF2D9E">
        <w:t>do not need to be installed by licensed technician</w:t>
      </w:r>
      <w:r w:rsidR="000B0824">
        <w:t>s</w:t>
      </w:r>
      <w:r w:rsidR="00DF2D9E">
        <w:t xml:space="preserve"> and can be installed incorrectly as a result.</w:t>
      </w:r>
    </w:p>
    <w:p w14:paraId="44619F78" w14:textId="77777777" w:rsidR="00261D0B" w:rsidRPr="00DA2E0A" w:rsidRDefault="00261D0B" w:rsidP="00B37B78">
      <w:r w:rsidRPr="00DA2E0A">
        <w:t>Even if the CO alarm is in good working order</w:t>
      </w:r>
      <w:r w:rsidR="00513C06" w:rsidRPr="00DA2E0A">
        <w:t xml:space="preserve"> and </w:t>
      </w:r>
      <w:r w:rsidR="00BB3D17" w:rsidRPr="00DA2E0A">
        <w:t>fitted correctly</w:t>
      </w:r>
      <w:r w:rsidRPr="00DA2E0A">
        <w:t>, for a CO alarm to save lives or minimise illnesses from carbon monoxide exposure, any person within a dwelling who hears a CO alarm being triggered must respond appropriately by turning off all gas appliances, seeking fresh air and calling a technician to inspect the appliance (if necessary). Because CO is not an easily detectable gas people can incorrectly ignore the alert tone of the CO alarm as they cannot detect danger themselves.</w:t>
      </w:r>
    </w:p>
    <w:p w14:paraId="702F956F" w14:textId="77777777" w:rsidR="00B9763C" w:rsidRPr="00DA2E0A" w:rsidRDefault="00B9763C" w:rsidP="00B37B78">
      <w:r w:rsidRPr="00DA2E0A">
        <w:t>Technical experts consulted as part of the RIS process (including ESV, Master Plumbers and other industry representatives) advised that due to potential for variability in factors including correct installation</w:t>
      </w:r>
      <w:r w:rsidR="005A7B96" w:rsidRPr="00DA2E0A">
        <w:t xml:space="preserve"> and </w:t>
      </w:r>
      <w:r w:rsidRPr="00DA2E0A">
        <w:t xml:space="preserve">location, the risk of false alarm or no alarm could be an issue with CO alarms. Therefore, the type of CO alarm and the way it is installed is critical to the efficacy of CO alarms in mitigating risks. </w:t>
      </w:r>
    </w:p>
    <w:p w14:paraId="6C84B12B" w14:textId="77777777" w:rsidR="00261D0B" w:rsidRPr="00DA2E0A" w:rsidRDefault="00261D0B" w:rsidP="00B37B78">
      <w:r w:rsidRPr="00DA2E0A">
        <w:t xml:space="preserve">Given </w:t>
      </w:r>
      <w:r w:rsidR="00D20837" w:rsidRPr="00DA2E0A">
        <w:t xml:space="preserve">these </w:t>
      </w:r>
      <w:r w:rsidR="004859AF" w:rsidRPr="00DA2E0A">
        <w:t>factors</w:t>
      </w:r>
      <w:r w:rsidRPr="00DA2E0A">
        <w:t>, it is therefore challenging to estimate the number of avoided fatalities and illnesses attributable to CO alarms.</w:t>
      </w:r>
    </w:p>
    <w:p w14:paraId="398DA38D" w14:textId="34B14323" w:rsidR="00B56A36" w:rsidRPr="00DA2E0A" w:rsidRDefault="00261D0B" w:rsidP="00B37B78">
      <w:r w:rsidRPr="00DA2E0A">
        <w:t xml:space="preserve">Analysis in the </w:t>
      </w:r>
      <w:r w:rsidR="00967D2C" w:rsidRPr="00DA2E0A">
        <w:t>2012 DRIS</w:t>
      </w:r>
      <w:r w:rsidRPr="00DA2E0A">
        <w:t xml:space="preserve"> estimates an 11.31 per cent reduction in the risk of CO exposure in response to CO alarms. However, limited information was provided in </w:t>
      </w:r>
      <w:r w:rsidR="008041B6" w:rsidRPr="00DA2E0A">
        <w:t xml:space="preserve">the </w:t>
      </w:r>
      <w:r w:rsidR="002B6BC6">
        <w:t xml:space="preserve">2012 </w:t>
      </w:r>
      <w:r w:rsidR="008041B6" w:rsidRPr="00DA2E0A">
        <w:t>DRIS</w:t>
      </w:r>
      <w:r w:rsidRPr="00DA2E0A">
        <w:t xml:space="preserve"> about how this percentage reduction was determined. </w:t>
      </w:r>
      <w:r w:rsidR="00A727D0" w:rsidRPr="00DA2E0A">
        <w:t>Give</w:t>
      </w:r>
      <w:r w:rsidR="00545EF4">
        <w:t>n</w:t>
      </w:r>
      <w:r w:rsidR="00A727D0" w:rsidRPr="00DA2E0A">
        <w:t xml:space="preserve"> the factors </w:t>
      </w:r>
      <w:r w:rsidR="00C022A9" w:rsidRPr="00DA2E0A">
        <w:t>discussed above</w:t>
      </w:r>
      <w:r w:rsidR="00CD70FF" w:rsidRPr="00DA2E0A">
        <w:t xml:space="preserve"> </w:t>
      </w:r>
      <w:r w:rsidR="0091410C" w:rsidRPr="00DA2E0A">
        <w:t xml:space="preserve">about the efficacy of </w:t>
      </w:r>
      <w:r w:rsidR="0091410C" w:rsidRPr="00DA2E0A">
        <w:lastRenderedPageBreak/>
        <w:t>CO alarm</w:t>
      </w:r>
      <w:r w:rsidR="00545EF4">
        <w:t>s</w:t>
      </w:r>
      <w:r w:rsidR="0091410C" w:rsidRPr="00DA2E0A">
        <w:t xml:space="preserve"> (</w:t>
      </w:r>
      <w:r w:rsidR="00C022A9" w:rsidRPr="00DA2E0A">
        <w:t>also</w:t>
      </w:r>
      <w:r w:rsidR="00004131" w:rsidRPr="00DA2E0A">
        <w:t xml:space="preserve"> </w:t>
      </w:r>
      <w:r w:rsidR="0091410C" w:rsidRPr="00DA2E0A">
        <w:t xml:space="preserve">see </w:t>
      </w:r>
      <w:r w:rsidR="001F6E14" w:rsidRPr="00DA2E0A">
        <w:t>other</w:t>
      </w:r>
      <w:r w:rsidR="00004131" w:rsidRPr="00DA2E0A">
        <w:t xml:space="preserve"> research in Appendix </w:t>
      </w:r>
      <w:r w:rsidR="00474638" w:rsidRPr="00DA2E0A">
        <w:t>C</w:t>
      </w:r>
      <w:r w:rsidR="0091410C" w:rsidRPr="00DA2E0A">
        <w:t>)</w:t>
      </w:r>
      <w:r w:rsidR="00004131" w:rsidRPr="00DA2E0A">
        <w:t>,</w:t>
      </w:r>
      <w:r w:rsidRPr="00DA2E0A">
        <w:t xml:space="preserve"> </w:t>
      </w:r>
      <w:r w:rsidR="00636EB7" w:rsidRPr="00DA2E0A">
        <w:t>this RIS has taken a conservative approach and</w:t>
      </w:r>
      <w:r w:rsidRPr="00DA2E0A">
        <w:t xml:space="preserve"> assume</w:t>
      </w:r>
      <w:r w:rsidR="00636EB7" w:rsidRPr="00DA2E0A">
        <w:t>d</w:t>
      </w:r>
      <w:r w:rsidRPr="00DA2E0A">
        <w:t xml:space="preserve"> a 5 per cent reduction in CO risk</w:t>
      </w:r>
      <w:r w:rsidRPr="00DA2E0A">
        <w:rPr>
          <w:vertAlign w:val="superscript"/>
        </w:rPr>
        <w:footnoteReference w:id="133"/>
      </w:r>
      <w:r w:rsidRPr="00DA2E0A">
        <w:t xml:space="preserve"> due to CO alarms</w:t>
      </w:r>
      <w:r w:rsidR="00004131" w:rsidRPr="00DA2E0A">
        <w:t>.</w:t>
      </w:r>
      <w:r w:rsidRPr="00DA2E0A">
        <w:t xml:space="preserve"> </w:t>
      </w:r>
    </w:p>
    <w:p w14:paraId="09C8257A" w14:textId="275C6EAA" w:rsidR="007E28AE" w:rsidRPr="00B37B78" w:rsidRDefault="007E28AE" w:rsidP="00B37B78">
      <w:r w:rsidRPr="00DA2E0A">
        <w:rPr>
          <w:rFonts w:eastAsiaTheme="majorEastAsia" w:cstheme="majorBidi"/>
        </w:rPr>
        <w:t>The analysis considers the residual safety risk posed by OFGSHs installed in Victorian rental properties</w:t>
      </w:r>
      <w:r w:rsidR="00F153E5">
        <w:rPr>
          <w:rFonts w:eastAsiaTheme="majorEastAsia" w:cstheme="majorBidi"/>
        </w:rPr>
        <w:t xml:space="preserve"> (i.e. the risk posed by OFGSHs</w:t>
      </w:r>
      <w:r w:rsidR="005C4E00">
        <w:rPr>
          <w:rFonts w:eastAsiaTheme="majorEastAsia" w:cstheme="majorBidi"/>
        </w:rPr>
        <w:t xml:space="preserve"> already installed in Victorian buildings</w:t>
      </w:r>
      <w:r w:rsidRPr="00DA2E0A">
        <w:rPr>
          <w:rFonts w:eastAsiaTheme="majorEastAsia" w:cstheme="majorBidi"/>
        </w:rPr>
        <w:t xml:space="preserve"> after the implementation of the preferred </w:t>
      </w:r>
      <w:r w:rsidR="008B1B65">
        <w:rPr>
          <w:rFonts w:eastAsiaTheme="majorEastAsia" w:cstheme="majorBidi"/>
        </w:rPr>
        <w:t>fast</w:t>
      </w:r>
      <w:r w:rsidR="00A40C66">
        <w:rPr>
          <w:rFonts w:eastAsiaTheme="majorEastAsia" w:cstheme="majorBidi"/>
        </w:rPr>
        <w:t>-</w:t>
      </w:r>
      <w:r w:rsidR="008B1B65">
        <w:rPr>
          <w:rFonts w:eastAsiaTheme="majorEastAsia" w:cstheme="majorBidi"/>
        </w:rPr>
        <w:t>tracked standards</w:t>
      </w:r>
      <w:r w:rsidR="00F756EB">
        <w:rPr>
          <w:rFonts w:eastAsiaTheme="majorEastAsia" w:cstheme="majorBidi"/>
        </w:rPr>
        <w:t>-</w:t>
      </w:r>
      <w:r w:rsidR="008B1B65">
        <w:rPr>
          <w:rFonts w:eastAsiaTheme="majorEastAsia" w:cstheme="majorBidi"/>
        </w:rPr>
        <w:t>based approach</w:t>
      </w:r>
      <w:r w:rsidR="005C4E00">
        <w:rPr>
          <w:rFonts w:eastAsiaTheme="majorEastAsia" w:cstheme="majorBidi"/>
        </w:rPr>
        <w:t>)</w:t>
      </w:r>
      <w:r w:rsidR="008B1B65">
        <w:rPr>
          <w:rFonts w:eastAsiaTheme="majorEastAsia" w:cstheme="majorBidi"/>
        </w:rPr>
        <w:t xml:space="preserve">. </w:t>
      </w:r>
      <w:r w:rsidR="0062129B" w:rsidRPr="00DA2E0A">
        <w:rPr>
          <w:rFonts w:eastAsiaTheme="majorEastAsia" w:cstheme="majorBidi"/>
        </w:rPr>
        <w:t>This residual risk reflects the health costs expected from OFGSHs installed in rental properties, including fatal CO exposures, as well as serious and low level non-fatal CO exposures. Research commissioned by ESV suggests that approximately 32 per cent of fixed space gas heaters are installed in Victorian rental properties.</w:t>
      </w:r>
      <w:r w:rsidR="0062129B" w:rsidRPr="00DA2E0A">
        <w:rPr>
          <w:rFonts w:eastAsiaTheme="majorEastAsia" w:cstheme="majorBidi"/>
          <w:vertAlign w:val="superscript"/>
        </w:rPr>
        <w:footnoteReference w:id="134"/>
      </w:r>
      <w:r w:rsidR="0062129B" w:rsidRPr="00DA2E0A">
        <w:rPr>
          <w:rFonts w:eastAsiaTheme="majorEastAsia" w:cstheme="majorBidi"/>
          <w:vertAlign w:val="superscript"/>
        </w:rPr>
        <w:t xml:space="preserve"> </w:t>
      </w:r>
      <w:r w:rsidR="0062129B" w:rsidRPr="00DA2E0A">
        <w:rPr>
          <w:rFonts w:eastAsiaTheme="majorEastAsia" w:cstheme="majorBidi"/>
        </w:rPr>
        <w:t>It has been assumed that the same proportion of OFGSHs are installed in rental properties across Victoria. Taking this into account, the residual safety risk posed by OFGSHs installed in Victorian rental properties is estimated to be approximately $74.9 million over the next 10 years.</w:t>
      </w:r>
      <w:r w:rsidR="00507C5B">
        <w:rPr>
          <w:rStyle w:val="FootnoteReference"/>
          <w:rFonts w:eastAsiaTheme="majorEastAsia" w:cstheme="majorBidi"/>
        </w:rPr>
        <w:footnoteReference w:id="135"/>
      </w:r>
      <w:r w:rsidR="00420BE4" w:rsidRPr="00DA2E0A">
        <w:rPr>
          <w:rFonts w:eastAsiaTheme="majorEastAsia" w:cstheme="majorBidi"/>
        </w:rPr>
        <w:t xml:space="preserve"> The $75 million is calculated using the global burden of disease methodology. It is the estimated health costs incurred by those living in rental properties where OFGSHs are installed over the next 10 years, reflecting a mix of fatal and non-fatal health exposures and their resulting impact of quality of life for these individuals.</w:t>
      </w:r>
      <w:r w:rsidR="00420BE4" w:rsidRPr="00F5738C">
        <w:t xml:space="preserve"> </w:t>
      </w:r>
    </w:p>
    <w:p w14:paraId="5E527736" w14:textId="77777777" w:rsidR="0062129B" w:rsidRPr="00DA2E0A" w:rsidRDefault="0062129B" w:rsidP="0062129B">
      <w:pPr>
        <w:rPr>
          <w:rFonts w:eastAsia="Times New Roman" w:cs="Times New Roman"/>
        </w:rPr>
      </w:pPr>
      <w:r w:rsidRPr="00DA2E0A">
        <w:t>Applying an assumption that CO alarms reduce the residual safety risk in rental properties by 5 per cent to the residual safety risk of $74.9 million results in an estimated safety benefit from CO alarms of $3.7 million.</w:t>
      </w:r>
    </w:p>
    <w:p w14:paraId="1CB42DCF" w14:textId="77777777" w:rsidR="00261D0B" w:rsidRPr="00FF5BFF" w:rsidRDefault="00261D0B">
      <w:pPr>
        <w:pStyle w:val="Heading3"/>
      </w:pPr>
      <w:r w:rsidRPr="00FF5BFF">
        <w:t xml:space="preserve">Breakeven </w:t>
      </w:r>
      <w:r w:rsidR="006A284E" w:rsidRPr="00FF5BFF">
        <w:t>analysis</w:t>
      </w:r>
      <w:r w:rsidR="00FC71EB" w:rsidRPr="00FF5BFF">
        <w:t xml:space="preserve"> for</w:t>
      </w:r>
      <w:r w:rsidRPr="00FF5BFF">
        <w:t xml:space="preserve"> CO alarms </w:t>
      </w:r>
    </w:p>
    <w:p w14:paraId="474E13D9" w14:textId="67717735" w:rsidR="00097773" w:rsidRPr="005A7B96" w:rsidRDefault="00DF31FC" w:rsidP="0062129B">
      <w:r w:rsidRPr="005A7B96">
        <w:t>Using the</w:t>
      </w:r>
      <w:r w:rsidR="00097773" w:rsidRPr="005A7B96">
        <w:t xml:space="preserve"> GB</w:t>
      </w:r>
      <w:r w:rsidR="00D55A4A" w:rsidRPr="005A7B96">
        <w:t>D methodology</w:t>
      </w:r>
      <w:r w:rsidR="006F2AA1" w:rsidRPr="005A7B96">
        <w:t>,</w:t>
      </w:r>
      <w:r w:rsidR="00D55A4A" w:rsidRPr="005A7B96">
        <w:t xml:space="preserve"> </w:t>
      </w:r>
      <w:r w:rsidR="00FD3680" w:rsidRPr="005A7B96">
        <w:t xml:space="preserve">the cost of CO exposures caused by OFGSHs in Victorian </w:t>
      </w:r>
      <w:r w:rsidR="003850F5" w:rsidRPr="005A7B96">
        <w:t>rental properties</w:t>
      </w:r>
      <w:r w:rsidR="00FD3680" w:rsidRPr="005A7B96">
        <w:t xml:space="preserve"> is e</w:t>
      </w:r>
      <w:r w:rsidR="006F2AA1" w:rsidRPr="005A7B96">
        <w:t xml:space="preserve">xpected to </w:t>
      </w:r>
      <w:r w:rsidR="00220A6F" w:rsidRPr="005A7B96">
        <w:t>amount to</w:t>
      </w:r>
      <w:r w:rsidR="00924C0D" w:rsidRPr="005A7B96">
        <w:t xml:space="preserve"> $74.</w:t>
      </w:r>
      <w:r w:rsidR="0062129B" w:rsidRPr="00DA2E0A">
        <w:t xml:space="preserve">9 million over the next decade. </w:t>
      </w:r>
      <w:r w:rsidR="00794E76" w:rsidRPr="005A7B96">
        <w:t xml:space="preserve">This assumes </w:t>
      </w:r>
      <w:r w:rsidR="00CC55CA">
        <w:t>private</w:t>
      </w:r>
      <w:r w:rsidR="00794E76" w:rsidRPr="005A7B96">
        <w:t xml:space="preserve"> rental properties make up 32</w:t>
      </w:r>
      <w:r w:rsidR="009102C8">
        <w:t xml:space="preserve"> per cent</w:t>
      </w:r>
      <w:r w:rsidR="00794E76" w:rsidRPr="005A7B96">
        <w:t xml:space="preserve"> of all </w:t>
      </w:r>
      <w:r w:rsidR="00220A6F" w:rsidRPr="005A7B96">
        <w:t>buildings where OFGSHs are installed</w:t>
      </w:r>
      <w:r w:rsidR="00794E76" w:rsidRPr="005A7B96">
        <w:t xml:space="preserve">, and the risk of CO exposures is evenly spread across </w:t>
      </w:r>
      <w:r w:rsidR="00DC2063" w:rsidRPr="005A7B96">
        <w:t>these</w:t>
      </w:r>
      <w:r w:rsidR="00220A6F" w:rsidRPr="005A7B96">
        <w:t xml:space="preserve"> buildings</w:t>
      </w:r>
      <w:r w:rsidR="00794E76" w:rsidRPr="005A7B96">
        <w:t>.</w:t>
      </w:r>
    </w:p>
    <w:p w14:paraId="195C47C6" w14:textId="06F70D4A" w:rsidR="00BA4F31" w:rsidRPr="00BA4F31" w:rsidRDefault="00BA4F31" w:rsidP="0062129B">
      <w:r w:rsidRPr="00096B3A">
        <w:t xml:space="preserve">Assuming </w:t>
      </w:r>
      <w:r w:rsidR="00220A6F" w:rsidRPr="00096B3A">
        <w:t xml:space="preserve">CO alarms lead to </w:t>
      </w:r>
      <w:r w:rsidRPr="00096B3A">
        <w:t>a 5</w:t>
      </w:r>
      <w:r w:rsidR="009102C8">
        <w:t xml:space="preserve"> per cent</w:t>
      </w:r>
      <w:r w:rsidRPr="00096B3A">
        <w:t xml:space="preserve"> reduction in </w:t>
      </w:r>
      <w:r w:rsidR="00220A6F" w:rsidRPr="00096B3A">
        <w:t xml:space="preserve">the </w:t>
      </w:r>
      <w:r w:rsidRPr="00096B3A">
        <w:t xml:space="preserve">risk of CO poisoning, benefits </w:t>
      </w:r>
      <w:r w:rsidR="0062129B" w:rsidRPr="00096B3A">
        <w:t xml:space="preserve">are estimated to be $3.7 million. </w:t>
      </w:r>
      <w:r w:rsidR="00DC2063" w:rsidRPr="00096B3A">
        <w:t>This is</w:t>
      </w:r>
      <w:r w:rsidRPr="00096B3A">
        <w:t xml:space="preserve"> less than half the $7.</w:t>
      </w:r>
      <w:r w:rsidR="0062129B" w:rsidRPr="00096B3A">
        <w:t>9</w:t>
      </w:r>
      <w:r w:rsidRPr="00096B3A">
        <w:t xml:space="preserve"> million cost of installing CO alarms in all rental </w:t>
      </w:r>
      <w:r w:rsidR="00DC2063" w:rsidRPr="00096B3A">
        <w:t>properties</w:t>
      </w:r>
      <w:r w:rsidRPr="00096B3A">
        <w:t xml:space="preserve">.  </w:t>
      </w:r>
    </w:p>
    <w:p w14:paraId="043A258A" w14:textId="4EC58BFA" w:rsidR="001B354A" w:rsidRPr="00CC4A0B" w:rsidRDefault="00BA4F31" w:rsidP="0062129B">
      <w:r w:rsidRPr="00BA4F31">
        <w:t>If the risk reduction is higher – using an 11.3</w:t>
      </w:r>
      <w:r w:rsidR="009102C8">
        <w:t xml:space="preserve"> per cent</w:t>
      </w:r>
      <w:r w:rsidR="009102C8" w:rsidRPr="00BA4F31">
        <w:t xml:space="preserve"> </w:t>
      </w:r>
      <w:r w:rsidRPr="00BA4F31">
        <w:t>risk reduction was used in the 2012 DRIS - then the measure would just breakeven, with $8.</w:t>
      </w:r>
      <w:r w:rsidR="0088169E">
        <w:t>5</w:t>
      </w:r>
      <w:r w:rsidRPr="00BA4F31">
        <w:t xml:space="preserve"> million of benefits versus costs of $7.</w:t>
      </w:r>
      <w:r w:rsidR="00A26D8D">
        <w:t>9</w:t>
      </w:r>
      <w:r w:rsidRPr="00BA4F31">
        <w:t xml:space="preserve"> million. </w:t>
      </w:r>
      <w:r w:rsidR="00C23ECC" w:rsidRPr="00CC4A0B">
        <w:t xml:space="preserve">There are </w:t>
      </w:r>
      <w:r w:rsidR="002A6C56">
        <w:t xml:space="preserve">also </w:t>
      </w:r>
      <w:r w:rsidR="00C23ECC" w:rsidRPr="00CC4A0B">
        <w:t>significant practical challenges with a mandatory approach, particularly if it is targeted at OFGSHs alone</w:t>
      </w:r>
      <w:r w:rsidR="00D26181" w:rsidRPr="00CC4A0B">
        <w:t xml:space="preserve"> (as compared to risks of CO poisoning from other appliances commonly used in households)</w:t>
      </w:r>
      <w:r w:rsidR="00C23ECC" w:rsidRPr="00CC4A0B">
        <w:t>. It would be difficult to support effective compliance (given consumers are unsure about whether they have an OFGSH) and it is anticipated there would be high levels of non-compliance and that effective enforcement measures would be difficult (both to identify relevant households and to audit for compliance).</w:t>
      </w:r>
    </w:p>
    <w:p w14:paraId="45BED1DC" w14:textId="57476D7C" w:rsidR="00582B22" w:rsidRPr="00CC4A0B" w:rsidRDefault="00721447" w:rsidP="0062129B">
      <w:r w:rsidRPr="00CC4A0B">
        <w:t xml:space="preserve">For these reasons this RIS does not recommend the mandatory installation of </w:t>
      </w:r>
      <w:r w:rsidR="00AA1A9F" w:rsidRPr="00CC4A0B">
        <w:t xml:space="preserve">CO alarms to address the risk of CO poisoning from </w:t>
      </w:r>
      <w:r w:rsidR="000932DA">
        <w:t>OFGSHs.</w:t>
      </w:r>
      <w:r w:rsidR="008F27E4">
        <w:t xml:space="preserve"> </w:t>
      </w:r>
    </w:p>
    <w:p w14:paraId="4485BDA3" w14:textId="4FCB35F3" w:rsidR="00D07099" w:rsidRPr="00CC4A0B" w:rsidRDefault="00D07099" w:rsidP="0062129B">
      <w:r w:rsidRPr="00CC4A0B">
        <w:t xml:space="preserve">It is noted that </w:t>
      </w:r>
      <w:r w:rsidR="00B03753">
        <w:t>r</w:t>
      </w:r>
      <w:r w:rsidR="00B03753" w:rsidRPr="00CC4A0B">
        <w:t xml:space="preserve">eported CO incidents have been associated with a range of products, and not just OFGSHs. </w:t>
      </w:r>
      <w:r w:rsidRPr="00CC4A0B">
        <w:t>CO alarms are currently mandated in some jurisdictions overseas, however not for the sole purpose of monitoring OFGSHs. Examples include: (i) in rental properties with coal or wood burning heaters in England and Wales (but not mandated for gas heaters); (ii) in all new homes in Scotland and Northern Ireland; and (iii) in all residential properties in many US states and Ontario, Canada. Given the scope of this RIS is targeted to OFGSH</w:t>
      </w:r>
      <w:r w:rsidR="00B03753">
        <w:t>s</w:t>
      </w:r>
      <w:r w:rsidRPr="00CC4A0B">
        <w:t>, CO alarms more broadly (in line with regulations overseas) could be considered as part of a separate process.</w:t>
      </w:r>
      <w:r w:rsidR="00B03753">
        <w:t xml:space="preserve"> i.e. </w:t>
      </w:r>
      <w:r w:rsidR="00183520">
        <w:t xml:space="preserve">there is potential to consider the benefits of CO alarms </w:t>
      </w:r>
      <w:r w:rsidR="005C31B3">
        <w:t>addressing the CO risks from a range of products, not just OFGSHs.</w:t>
      </w:r>
      <w:r w:rsidR="006565DE">
        <w:t xml:space="preserve"> This different scope might lead to a different finding on CO alarms.</w:t>
      </w:r>
    </w:p>
    <w:p w14:paraId="7371C83D" w14:textId="6E2C97E4" w:rsidR="00261D0B" w:rsidRPr="00261D0B" w:rsidRDefault="00261D0B" w:rsidP="005024F8">
      <w:pPr>
        <w:pStyle w:val="Heading3"/>
      </w:pPr>
      <w:r w:rsidRPr="00261D0B">
        <w:lastRenderedPageBreak/>
        <w:t>Key data and assumptions</w:t>
      </w:r>
    </w:p>
    <w:p w14:paraId="6F1BCEE8" w14:textId="00A04913" w:rsidR="00261D0B" w:rsidRPr="00261D0B" w:rsidRDefault="00261D0B" w:rsidP="00F5738C">
      <w:r w:rsidRPr="00261D0B">
        <w:t xml:space="preserve">Key assumptions underpinning the </w:t>
      </w:r>
      <w:r w:rsidR="00635951" w:rsidRPr="00DA2E0A">
        <w:t>analysis of</w:t>
      </w:r>
      <w:r w:rsidRPr="00DA2E0A">
        <w:t xml:space="preserve"> </w:t>
      </w:r>
      <w:r w:rsidR="0062129B" w:rsidRPr="00DA2E0A">
        <w:t>CO alarms</w:t>
      </w:r>
      <w:r w:rsidRPr="00DA2E0A">
        <w:t xml:space="preserve"> </w:t>
      </w:r>
      <w:r w:rsidR="00635951" w:rsidRPr="00DA2E0A">
        <w:t>is</w:t>
      </w:r>
      <w:r w:rsidRPr="00261D0B">
        <w:t xml:space="preserve"> outlined in </w:t>
      </w:r>
      <w:r w:rsidR="0082404D">
        <w:fldChar w:fldCharType="begin"/>
      </w:r>
      <w:r w:rsidR="0082404D">
        <w:instrText xml:space="preserve"> REF _Ref56415233 \h </w:instrText>
      </w:r>
      <w:r w:rsidR="0082404D">
        <w:fldChar w:fldCharType="separate"/>
      </w:r>
      <w:r w:rsidR="00CD0679">
        <w:t xml:space="preserve">Table </w:t>
      </w:r>
      <w:r w:rsidR="00CD0679">
        <w:rPr>
          <w:noProof/>
        </w:rPr>
        <w:t>4</w:t>
      </w:r>
      <w:r w:rsidR="00CD0679">
        <w:noBreakHyphen/>
      </w:r>
      <w:r w:rsidR="00CD0679">
        <w:rPr>
          <w:noProof/>
        </w:rPr>
        <w:t>6</w:t>
      </w:r>
      <w:r w:rsidR="0082404D">
        <w:fldChar w:fldCharType="end"/>
      </w:r>
      <w:r w:rsidRPr="00261D0B">
        <w:t xml:space="preserve">.  </w:t>
      </w:r>
    </w:p>
    <w:p w14:paraId="18780A00" w14:textId="0F76D6D5" w:rsidR="008358B0" w:rsidRDefault="008358B0" w:rsidP="00E74AA1">
      <w:pPr>
        <w:pStyle w:val="Caption"/>
      </w:pPr>
      <w:bookmarkStart w:id="239" w:name="_Ref56415233"/>
      <w:r>
        <w:t xml:space="preserve">Table </w:t>
      </w:r>
      <w:r>
        <w:fldChar w:fldCharType="begin"/>
      </w:r>
      <w:r>
        <w:instrText xml:space="preserve"> STYLEREF 1 \s </w:instrText>
      </w:r>
      <w:r>
        <w:fldChar w:fldCharType="separate"/>
      </w:r>
      <w:r w:rsidR="00CD0679">
        <w:rPr>
          <w:noProof/>
        </w:rPr>
        <w:t>4</w:t>
      </w:r>
      <w:r>
        <w:fldChar w:fldCharType="end"/>
      </w:r>
      <w:r>
        <w:noBreakHyphen/>
      </w:r>
      <w:r>
        <w:fldChar w:fldCharType="begin"/>
      </w:r>
      <w:r>
        <w:instrText xml:space="preserve"> SEQ Table \* ARABIC \s 1 </w:instrText>
      </w:r>
      <w:r>
        <w:fldChar w:fldCharType="separate"/>
      </w:r>
      <w:r w:rsidR="00CD0679">
        <w:rPr>
          <w:noProof/>
        </w:rPr>
        <w:t>6</w:t>
      </w:r>
      <w:r>
        <w:fldChar w:fldCharType="end"/>
      </w:r>
      <w:bookmarkEnd w:id="239"/>
      <w:r>
        <w:t xml:space="preserve"> </w:t>
      </w:r>
      <w:r w:rsidRPr="00E74AA1">
        <w:t>Key data and assumptions - CO alarms</w:t>
      </w:r>
    </w:p>
    <w:tbl>
      <w:tblPr>
        <w:tblStyle w:val="Deloittetable123"/>
        <w:tblW w:w="0" w:type="auto"/>
        <w:tblLook w:val="04A0" w:firstRow="1" w:lastRow="0" w:firstColumn="1" w:lastColumn="0" w:noHBand="0" w:noVBand="1"/>
      </w:tblPr>
      <w:tblGrid>
        <w:gridCol w:w="1676"/>
        <w:gridCol w:w="7350"/>
      </w:tblGrid>
      <w:tr w:rsidR="00261D0B" w:rsidRPr="00261D0B" w14:paraId="4A4EE643" w14:textId="77777777" w:rsidTr="00CC4A0B">
        <w:trPr>
          <w:cnfStyle w:val="100000000000" w:firstRow="1" w:lastRow="0" w:firstColumn="0" w:lastColumn="0" w:oddVBand="0" w:evenVBand="0" w:oddHBand="0" w:evenHBand="0" w:firstRowFirstColumn="0" w:firstRowLastColumn="0" w:lastRowFirstColumn="0" w:lastRowLastColumn="0"/>
          <w:tblHeader/>
        </w:trPr>
        <w:tc>
          <w:tcPr>
            <w:tcW w:w="1676" w:type="dxa"/>
          </w:tcPr>
          <w:p w14:paraId="08489B20" w14:textId="77777777" w:rsidR="00261D0B" w:rsidRPr="00261D0B" w:rsidRDefault="00261D0B" w:rsidP="00261D0B">
            <w:pPr>
              <w:rPr>
                <w:b/>
                <w:szCs w:val="17"/>
              </w:rPr>
            </w:pPr>
            <w:r w:rsidRPr="00261D0B">
              <w:rPr>
                <w:b/>
                <w:szCs w:val="17"/>
              </w:rPr>
              <w:t>Variable</w:t>
            </w:r>
          </w:p>
        </w:tc>
        <w:tc>
          <w:tcPr>
            <w:tcW w:w="7350" w:type="dxa"/>
          </w:tcPr>
          <w:p w14:paraId="6473D212" w14:textId="77777777" w:rsidR="00261D0B" w:rsidRPr="00261D0B" w:rsidRDefault="00261D0B" w:rsidP="00261D0B">
            <w:pPr>
              <w:rPr>
                <w:b/>
                <w:szCs w:val="17"/>
                <w:highlight w:val="yellow"/>
              </w:rPr>
            </w:pPr>
            <w:r w:rsidRPr="00261D0B">
              <w:rPr>
                <w:b/>
                <w:szCs w:val="17"/>
              </w:rPr>
              <w:t>Key data and assumptions</w:t>
            </w:r>
          </w:p>
        </w:tc>
      </w:tr>
      <w:tr w:rsidR="00261D0B" w:rsidRPr="00261D0B" w14:paraId="2228BC92" w14:textId="77777777" w:rsidTr="00CC4A0B">
        <w:tc>
          <w:tcPr>
            <w:tcW w:w="1676" w:type="dxa"/>
          </w:tcPr>
          <w:p w14:paraId="4FE47D7E" w14:textId="77777777" w:rsidR="00261D0B" w:rsidRPr="00261D0B" w:rsidRDefault="00261D0B" w:rsidP="00261D0B">
            <w:pPr>
              <w:rPr>
                <w:szCs w:val="17"/>
              </w:rPr>
            </w:pPr>
            <w:r w:rsidRPr="00261D0B">
              <w:rPr>
                <w:szCs w:val="17"/>
              </w:rPr>
              <w:t>Community costs: cost of purchasing CO alarms</w:t>
            </w:r>
            <w:r w:rsidRPr="00261D0B">
              <w:rPr>
                <w:szCs w:val="17"/>
              </w:rPr>
              <w:tab/>
            </w:r>
          </w:p>
        </w:tc>
        <w:tc>
          <w:tcPr>
            <w:tcW w:w="7350" w:type="dxa"/>
          </w:tcPr>
          <w:p w14:paraId="0BAF2CDC" w14:textId="35981FD8" w:rsidR="00261D0B" w:rsidRPr="005A7B96" w:rsidRDefault="00261D0B" w:rsidP="00096B3A">
            <w:pPr>
              <w:numPr>
                <w:ilvl w:val="0"/>
                <w:numId w:val="46"/>
              </w:numPr>
              <w:ind w:left="447" w:hanging="284"/>
              <w:contextualSpacing/>
              <w:rPr>
                <w:rFonts w:eastAsia="Times New Roman" w:cs="Arial"/>
                <w:szCs w:val="17"/>
              </w:rPr>
            </w:pPr>
            <w:r w:rsidRPr="005A7B96">
              <w:rPr>
                <w:rFonts w:eastAsia="Times New Roman" w:cs="Times New Roman"/>
                <w:szCs w:val="17"/>
              </w:rPr>
              <w:t xml:space="preserve">All consumers with an </w:t>
            </w:r>
            <w:r w:rsidR="000932DA">
              <w:rPr>
                <w:rFonts w:eastAsia="Times New Roman" w:cs="Times New Roman"/>
                <w:szCs w:val="17"/>
              </w:rPr>
              <w:t xml:space="preserve">OFGSH </w:t>
            </w:r>
            <w:r w:rsidRPr="005A7B96">
              <w:rPr>
                <w:rFonts w:eastAsia="Times New Roman" w:cs="Times New Roman"/>
                <w:szCs w:val="17"/>
              </w:rPr>
              <w:t>residing in a rental property will purchase a CO alarm in FY2021 (year 1) so that they are compliant with the policy when it commences in FY2022.</w:t>
            </w:r>
          </w:p>
          <w:p w14:paraId="5A589E7B" w14:textId="34AADD10" w:rsidR="00261D0B" w:rsidRPr="005A7B96" w:rsidRDefault="00261D0B" w:rsidP="00096B3A">
            <w:pPr>
              <w:numPr>
                <w:ilvl w:val="0"/>
                <w:numId w:val="46"/>
              </w:numPr>
              <w:ind w:left="447" w:hanging="284"/>
              <w:contextualSpacing/>
              <w:rPr>
                <w:rFonts w:eastAsia="Times New Roman" w:cs="Arial"/>
                <w:szCs w:val="17"/>
              </w:rPr>
            </w:pPr>
            <w:r w:rsidRPr="005A7B96">
              <w:rPr>
                <w:rFonts w:eastAsia="Times New Roman" w:cs="Times New Roman"/>
                <w:szCs w:val="17"/>
              </w:rPr>
              <w:t xml:space="preserve">DELWP has advised that rental properties with </w:t>
            </w:r>
            <w:r w:rsidR="000932DA">
              <w:rPr>
                <w:rFonts w:eastAsia="Times New Roman" w:cs="Times New Roman"/>
                <w:szCs w:val="17"/>
              </w:rPr>
              <w:t xml:space="preserve">OFGSHs </w:t>
            </w:r>
            <w:r w:rsidRPr="005A7B96">
              <w:rPr>
                <w:rFonts w:eastAsia="Times New Roman" w:cs="Times New Roman"/>
                <w:szCs w:val="17"/>
              </w:rPr>
              <w:t xml:space="preserve">would require at least one CO alarm that meets either the European or US standard on CO alarms. It is therefore assumed that every </w:t>
            </w:r>
            <w:r w:rsidR="000932DA">
              <w:rPr>
                <w:rFonts w:eastAsia="Times New Roman" w:cs="Times New Roman"/>
                <w:szCs w:val="17"/>
              </w:rPr>
              <w:t xml:space="preserve">OFGSH </w:t>
            </w:r>
            <w:r w:rsidRPr="005A7B96">
              <w:rPr>
                <w:rFonts w:eastAsia="Times New Roman" w:cs="Times New Roman"/>
                <w:szCs w:val="17"/>
              </w:rPr>
              <w:t>located in a rental property has at least 1 CO alarm installed in the dwelling. The cost of this requirement for rental properties would be incurred by landlords.</w:t>
            </w:r>
          </w:p>
          <w:p w14:paraId="14C4B51F" w14:textId="77777777" w:rsidR="00261D0B" w:rsidRPr="005A7B96" w:rsidRDefault="00261D0B" w:rsidP="00096B3A">
            <w:pPr>
              <w:numPr>
                <w:ilvl w:val="0"/>
                <w:numId w:val="46"/>
              </w:numPr>
              <w:ind w:left="447" w:hanging="284"/>
              <w:contextualSpacing/>
              <w:rPr>
                <w:rFonts w:eastAsia="Times New Roman" w:cs="Arial"/>
                <w:szCs w:val="17"/>
              </w:rPr>
            </w:pPr>
            <w:r w:rsidRPr="005A7B96">
              <w:rPr>
                <w:rFonts w:eastAsia="Times New Roman" w:cs="Times New Roman"/>
                <w:szCs w:val="17"/>
              </w:rPr>
              <w:t>The average cost of a CO alarm is $60</w:t>
            </w:r>
            <w:r w:rsidRPr="005A7B96">
              <w:rPr>
                <w:rFonts w:eastAsia="Times New Roman" w:cs="Times New Roman"/>
                <w:szCs w:val="17"/>
                <w:vertAlign w:val="superscript"/>
              </w:rPr>
              <w:footnoteReference w:id="136"/>
            </w:r>
            <w:r w:rsidRPr="005A7B96">
              <w:rPr>
                <w:rFonts w:eastAsia="Times New Roman" w:cs="Times New Roman"/>
                <w:szCs w:val="17"/>
              </w:rPr>
              <w:t xml:space="preserve"> and this is unchanged over time</w:t>
            </w:r>
          </w:p>
          <w:p w14:paraId="596510F8" w14:textId="0B97C33A" w:rsidR="00261D0B" w:rsidRPr="005A7B96" w:rsidRDefault="00261D0B" w:rsidP="00096B3A">
            <w:pPr>
              <w:numPr>
                <w:ilvl w:val="0"/>
                <w:numId w:val="46"/>
              </w:numPr>
              <w:ind w:left="447" w:hanging="284"/>
              <w:contextualSpacing/>
              <w:rPr>
                <w:rFonts w:eastAsia="Times New Roman" w:cs="Arial"/>
                <w:szCs w:val="17"/>
              </w:rPr>
            </w:pPr>
            <w:r w:rsidRPr="005A7B96">
              <w:rPr>
                <w:rFonts w:eastAsia="Times New Roman" w:cs="Times New Roman"/>
                <w:szCs w:val="17"/>
              </w:rPr>
              <w:t>Under the Base Case 5</w:t>
            </w:r>
            <w:r w:rsidR="00AB1ECD">
              <w:t xml:space="preserve"> per cent</w:t>
            </w:r>
            <w:r w:rsidR="00AB1ECD" w:rsidRPr="005A7B96">
              <w:rPr>
                <w:rFonts w:eastAsia="Times New Roman" w:cs="Times New Roman"/>
                <w:szCs w:val="17"/>
              </w:rPr>
              <w:t xml:space="preserve"> </w:t>
            </w:r>
            <w:r w:rsidRPr="005A7B96">
              <w:rPr>
                <w:rFonts w:eastAsia="Times New Roman" w:cs="Times New Roman"/>
                <w:szCs w:val="17"/>
              </w:rPr>
              <w:t xml:space="preserve">of rental households with an </w:t>
            </w:r>
            <w:r w:rsidR="000932DA">
              <w:rPr>
                <w:rFonts w:eastAsia="Times New Roman" w:cs="Times New Roman"/>
                <w:szCs w:val="17"/>
              </w:rPr>
              <w:t xml:space="preserve">OFGSH </w:t>
            </w:r>
            <w:r w:rsidRPr="005A7B96">
              <w:rPr>
                <w:rFonts w:eastAsia="Times New Roman" w:cs="Times New Roman"/>
                <w:szCs w:val="17"/>
              </w:rPr>
              <w:t>already have a CO alarm in FY2021</w:t>
            </w:r>
            <w:r w:rsidR="00881647">
              <w:rPr>
                <w:rFonts w:eastAsia="Times New Roman" w:cs="Times New Roman"/>
                <w:szCs w:val="17"/>
              </w:rPr>
              <w:t>.</w:t>
            </w:r>
          </w:p>
          <w:p w14:paraId="1548E877" w14:textId="77777777" w:rsidR="00261D0B" w:rsidRPr="005A7B96" w:rsidRDefault="00261D0B" w:rsidP="00096B3A">
            <w:pPr>
              <w:numPr>
                <w:ilvl w:val="0"/>
                <w:numId w:val="46"/>
              </w:numPr>
              <w:ind w:left="447" w:hanging="284"/>
              <w:contextualSpacing/>
              <w:rPr>
                <w:rFonts w:eastAsia="Times New Roman" w:cs="Arial"/>
              </w:rPr>
            </w:pPr>
            <w:r w:rsidRPr="4032E5C1">
              <w:rPr>
                <w:rFonts w:eastAsia="Times New Roman" w:cs="Arial"/>
              </w:rPr>
              <w:t>As per ESV advice, CO alarms should be replaced every 7 years</w:t>
            </w:r>
            <w:r w:rsidRPr="4032E5C1">
              <w:rPr>
                <w:rFonts w:eastAsia="Times New Roman" w:cs="Arial"/>
                <w:vertAlign w:val="superscript"/>
              </w:rPr>
              <w:footnoteReference w:id="137"/>
            </w:r>
          </w:p>
          <w:p w14:paraId="4B890CCD" w14:textId="77777777" w:rsidR="00261D0B" w:rsidRDefault="00261D0B" w:rsidP="00096B3A">
            <w:pPr>
              <w:numPr>
                <w:ilvl w:val="0"/>
                <w:numId w:val="46"/>
              </w:numPr>
              <w:ind w:left="447" w:hanging="284"/>
              <w:contextualSpacing/>
              <w:rPr>
                <w:rFonts w:eastAsia="Times New Roman" w:cs="Arial"/>
                <w:szCs w:val="17"/>
              </w:rPr>
            </w:pPr>
            <w:r w:rsidRPr="005A7B96">
              <w:rPr>
                <w:rFonts w:eastAsia="Times New Roman" w:cs="Arial"/>
                <w:szCs w:val="17"/>
              </w:rPr>
              <w:t xml:space="preserve">It is assumed that every household that still owns an </w:t>
            </w:r>
            <w:r w:rsidR="000932DA">
              <w:rPr>
                <w:rFonts w:eastAsia="Times New Roman" w:cs="Arial"/>
                <w:szCs w:val="17"/>
              </w:rPr>
              <w:t xml:space="preserve">OFGSH </w:t>
            </w:r>
            <w:r w:rsidRPr="005A7B96">
              <w:rPr>
                <w:rFonts w:eastAsia="Times New Roman" w:cs="Arial"/>
                <w:szCs w:val="17"/>
              </w:rPr>
              <w:t>purchases a new CO alarm in FY2028 i.e. there are two CO alarm purchases over the 10 year period from 2020</w:t>
            </w:r>
            <w:r w:rsidR="001633B8" w:rsidRPr="005A7B96">
              <w:rPr>
                <w:rFonts w:eastAsia="Times New Roman" w:cs="Arial"/>
                <w:szCs w:val="17"/>
              </w:rPr>
              <w:t xml:space="preserve">, for those households that </w:t>
            </w:r>
            <w:r w:rsidR="00DB1539" w:rsidRPr="005A7B96">
              <w:rPr>
                <w:rFonts w:eastAsia="Times New Roman" w:cs="Arial"/>
                <w:szCs w:val="17"/>
              </w:rPr>
              <w:t xml:space="preserve">have an </w:t>
            </w:r>
            <w:r w:rsidR="000932DA">
              <w:rPr>
                <w:rFonts w:eastAsia="Times New Roman" w:cs="Arial"/>
                <w:szCs w:val="17"/>
              </w:rPr>
              <w:t xml:space="preserve">OFGSH </w:t>
            </w:r>
            <w:r w:rsidR="00DB1539" w:rsidRPr="005A7B96">
              <w:rPr>
                <w:rFonts w:eastAsia="Times New Roman" w:cs="Arial"/>
                <w:szCs w:val="17"/>
              </w:rPr>
              <w:t>throughout the 10 year period. The number of such households declines over time as heaters are replaced.</w:t>
            </w:r>
          </w:p>
          <w:p w14:paraId="290AE610" w14:textId="5A5F7277" w:rsidR="00261D0B" w:rsidRPr="005A7B96" w:rsidRDefault="00A25E75" w:rsidP="00096B3A">
            <w:pPr>
              <w:numPr>
                <w:ilvl w:val="0"/>
                <w:numId w:val="46"/>
              </w:numPr>
              <w:ind w:left="447" w:hanging="284"/>
              <w:contextualSpacing/>
              <w:rPr>
                <w:rFonts w:eastAsia="Times New Roman" w:cs="Arial"/>
                <w:szCs w:val="17"/>
              </w:rPr>
            </w:pPr>
            <w:r>
              <w:rPr>
                <w:rFonts w:eastAsia="Times New Roman" w:cs="Arial"/>
                <w:szCs w:val="17"/>
              </w:rPr>
              <w:t xml:space="preserve">It is assumed that households purchase single function CO alarms only, rather than combined alarms which are used to detect both smoke and CO in their environment. </w:t>
            </w:r>
            <w:r w:rsidR="00891257">
              <w:rPr>
                <w:rFonts w:eastAsia="Times New Roman" w:cs="Arial"/>
                <w:szCs w:val="17"/>
              </w:rPr>
              <w:t xml:space="preserve">Given smoke alarms are mandatory in Victoria and should already be in installed, it is not unreasonable to assume that single function CO alarms will </w:t>
            </w:r>
            <w:r w:rsidR="000B72C9">
              <w:rPr>
                <w:rFonts w:eastAsia="Times New Roman" w:cs="Arial"/>
                <w:szCs w:val="17"/>
              </w:rPr>
              <w:t>form the vast majority of alarms purchased</w:t>
            </w:r>
            <w:r w:rsidR="00891257">
              <w:rPr>
                <w:rFonts w:eastAsia="Times New Roman" w:cs="Arial"/>
                <w:szCs w:val="17"/>
              </w:rPr>
              <w:t xml:space="preserve"> over the 10 year modelling period.</w:t>
            </w:r>
          </w:p>
        </w:tc>
      </w:tr>
      <w:tr w:rsidR="00261D0B" w:rsidRPr="00261D0B" w14:paraId="2D04C3CE" w14:textId="77777777" w:rsidTr="00CC4A0B">
        <w:tc>
          <w:tcPr>
            <w:tcW w:w="1676" w:type="dxa"/>
          </w:tcPr>
          <w:p w14:paraId="774992A2" w14:textId="77777777" w:rsidR="00261D0B" w:rsidRPr="00261D0B" w:rsidRDefault="00261D0B" w:rsidP="00261D0B">
            <w:pPr>
              <w:rPr>
                <w:szCs w:val="17"/>
              </w:rPr>
            </w:pPr>
            <w:r w:rsidRPr="00261D0B">
              <w:rPr>
                <w:szCs w:val="17"/>
              </w:rPr>
              <w:t>Government costs: implementation</w:t>
            </w:r>
          </w:p>
        </w:tc>
        <w:tc>
          <w:tcPr>
            <w:tcW w:w="7350" w:type="dxa"/>
          </w:tcPr>
          <w:p w14:paraId="5C8B588C" w14:textId="791500CB" w:rsidR="00261D0B" w:rsidRPr="000D5E7B" w:rsidRDefault="00261D0B" w:rsidP="00096B3A">
            <w:pPr>
              <w:numPr>
                <w:ilvl w:val="0"/>
                <w:numId w:val="46"/>
              </w:numPr>
              <w:ind w:left="447" w:hanging="284"/>
              <w:contextualSpacing/>
              <w:rPr>
                <w:rFonts w:eastAsia="Times New Roman" w:cs="Arial"/>
                <w:szCs w:val="17"/>
              </w:rPr>
            </w:pPr>
            <w:r w:rsidRPr="000D5E7B">
              <w:rPr>
                <w:rFonts w:eastAsia="Times New Roman" w:cs="Arial"/>
                <w:szCs w:val="17"/>
              </w:rPr>
              <w:t>Government expenditure on education under the Base Case is estimated to be $</w:t>
            </w:r>
            <w:r w:rsidR="00E749E9" w:rsidRPr="00B40553">
              <w:rPr>
                <w:rFonts w:eastAsia="Times New Roman" w:cs="Arial"/>
                <w:szCs w:val="17"/>
              </w:rPr>
              <w:t>0.8</w:t>
            </w:r>
            <w:r w:rsidR="00086FC6" w:rsidRPr="00B40553">
              <w:rPr>
                <w:rFonts w:eastAsia="Times New Roman" w:cs="Arial"/>
                <w:szCs w:val="17"/>
              </w:rPr>
              <w:t xml:space="preserve"> </w:t>
            </w:r>
            <w:r w:rsidR="00E749E9" w:rsidRPr="00B40553">
              <w:rPr>
                <w:rFonts w:eastAsia="Times New Roman" w:cs="Arial"/>
                <w:szCs w:val="17"/>
              </w:rPr>
              <w:t>m</w:t>
            </w:r>
            <w:r w:rsidR="00086FC6" w:rsidRPr="00B40553">
              <w:rPr>
                <w:rFonts w:eastAsia="Times New Roman" w:cs="Arial"/>
                <w:szCs w:val="17"/>
              </w:rPr>
              <w:t>illion</w:t>
            </w:r>
            <w:r w:rsidRPr="00B40553">
              <w:rPr>
                <w:rFonts w:eastAsia="Times New Roman" w:cs="Arial"/>
                <w:szCs w:val="17"/>
              </w:rPr>
              <w:t xml:space="preserve"> in 2020</w:t>
            </w:r>
            <w:r w:rsidR="0098087D" w:rsidRPr="00B40553">
              <w:rPr>
                <w:rFonts w:eastAsia="Times New Roman" w:cs="Arial"/>
                <w:szCs w:val="17"/>
              </w:rPr>
              <w:t>-21</w:t>
            </w:r>
            <w:r w:rsidRPr="00B40553">
              <w:rPr>
                <w:rFonts w:eastAsia="Times New Roman" w:cs="Arial"/>
                <w:szCs w:val="17"/>
              </w:rPr>
              <w:t>, and that $</w:t>
            </w:r>
            <w:r w:rsidR="00086FC6" w:rsidRPr="00B40553">
              <w:rPr>
                <w:rFonts w:eastAsia="Times New Roman" w:cs="Arial"/>
                <w:szCs w:val="17"/>
              </w:rPr>
              <w:t>0.8 million</w:t>
            </w:r>
            <w:r w:rsidRPr="00B40553">
              <w:rPr>
                <w:rFonts w:eastAsia="Times New Roman" w:cs="Arial"/>
                <w:szCs w:val="17"/>
              </w:rPr>
              <w:t xml:space="preserve"> is incurred </w:t>
            </w:r>
            <w:r w:rsidR="000F5E0F" w:rsidRPr="00B40553">
              <w:rPr>
                <w:rFonts w:eastAsia="Times New Roman" w:cs="Arial"/>
                <w:szCs w:val="17"/>
              </w:rPr>
              <w:t>annually</w:t>
            </w:r>
            <w:r w:rsidRPr="00B40553">
              <w:rPr>
                <w:rFonts w:eastAsia="Times New Roman" w:cs="Arial"/>
                <w:szCs w:val="17"/>
              </w:rPr>
              <w:t xml:space="preserve"> over 10 years.</w:t>
            </w:r>
            <w:r w:rsidRPr="000D5E7B">
              <w:rPr>
                <w:rFonts w:eastAsia="Times New Roman" w:cs="Arial"/>
                <w:szCs w:val="17"/>
                <w:vertAlign w:val="superscript"/>
              </w:rPr>
              <w:footnoteReference w:id="138"/>
            </w:r>
            <w:r w:rsidRPr="000D5E7B">
              <w:rPr>
                <w:rFonts w:eastAsia="Times New Roman" w:cs="Arial"/>
                <w:szCs w:val="17"/>
              </w:rPr>
              <w:t xml:space="preserve"> </w:t>
            </w:r>
          </w:p>
          <w:p w14:paraId="68D0CAE6" w14:textId="48EAAF2C" w:rsidR="00261D0B" w:rsidRPr="00B40553" w:rsidRDefault="0062172D" w:rsidP="00096B3A">
            <w:pPr>
              <w:numPr>
                <w:ilvl w:val="0"/>
                <w:numId w:val="46"/>
              </w:numPr>
              <w:ind w:left="447" w:hanging="284"/>
              <w:contextualSpacing/>
              <w:rPr>
                <w:rFonts w:eastAsia="Times New Roman" w:cs="Times New Roman"/>
                <w:szCs w:val="17"/>
              </w:rPr>
            </w:pPr>
            <w:r w:rsidRPr="00B40553">
              <w:rPr>
                <w:rFonts w:eastAsia="Times New Roman" w:cs="Times New Roman"/>
                <w:szCs w:val="17"/>
              </w:rPr>
              <w:t xml:space="preserve">Implementation costs for CO alarms have not been modelled. </w:t>
            </w:r>
          </w:p>
        </w:tc>
      </w:tr>
      <w:tr w:rsidR="00261D0B" w:rsidRPr="00261D0B" w14:paraId="0810A4F8" w14:textId="77777777" w:rsidTr="00CC4A0B">
        <w:tc>
          <w:tcPr>
            <w:tcW w:w="1676" w:type="dxa"/>
          </w:tcPr>
          <w:p w14:paraId="2AD87F0B" w14:textId="77777777" w:rsidR="00261D0B" w:rsidRPr="00261D0B" w:rsidRDefault="00261D0B" w:rsidP="00261D0B">
            <w:pPr>
              <w:rPr>
                <w:szCs w:val="17"/>
              </w:rPr>
            </w:pPr>
            <w:r w:rsidRPr="00261D0B">
              <w:rPr>
                <w:szCs w:val="17"/>
              </w:rPr>
              <w:t>Government costs: monitoring and enforcement</w:t>
            </w:r>
          </w:p>
        </w:tc>
        <w:tc>
          <w:tcPr>
            <w:tcW w:w="7350" w:type="dxa"/>
          </w:tcPr>
          <w:p w14:paraId="4E8E8E3B" w14:textId="1AB71E9E" w:rsidR="00261D0B" w:rsidRPr="00B40553" w:rsidRDefault="00261D0B" w:rsidP="00096B3A">
            <w:pPr>
              <w:numPr>
                <w:ilvl w:val="0"/>
                <w:numId w:val="47"/>
              </w:numPr>
              <w:ind w:left="447" w:hanging="284"/>
              <w:contextualSpacing/>
              <w:rPr>
                <w:rFonts w:eastAsia="Times New Roman" w:cs="Times New Roman"/>
                <w:szCs w:val="17"/>
              </w:rPr>
            </w:pPr>
            <w:r w:rsidRPr="00B40553">
              <w:rPr>
                <w:rFonts w:eastAsia="Times New Roman" w:cs="Times New Roman"/>
                <w:szCs w:val="17"/>
              </w:rPr>
              <w:t xml:space="preserve">It is assumed that there are no additional monitoring and enforcement costs (relative to the preferred option) for any of the </w:t>
            </w:r>
            <w:r w:rsidR="00B16130" w:rsidRPr="00B40553">
              <w:rPr>
                <w:rFonts w:eastAsia="Times New Roman" w:cs="Times New Roman"/>
                <w:szCs w:val="17"/>
              </w:rPr>
              <w:t xml:space="preserve">transitional </w:t>
            </w:r>
            <w:r w:rsidRPr="00B40553">
              <w:rPr>
                <w:rFonts w:eastAsia="Times New Roman" w:cs="Times New Roman"/>
                <w:szCs w:val="17"/>
              </w:rPr>
              <w:t>measures</w:t>
            </w:r>
            <w:r w:rsidR="00881647">
              <w:rPr>
                <w:rFonts w:eastAsia="Times New Roman" w:cs="Times New Roman"/>
                <w:szCs w:val="17"/>
              </w:rPr>
              <w:t>.</w:t>
            </w:r>
          </w:p>
          <w:p w14:paraId="4DF340FA" w14:textId="77777777" w:rsidR="00261D0B" w:rsidRPr="00B40553" w:rsidRDefault="00261D0B" w:rsidP="00096B3A">
            <w:pPr>
              <w:numPr>
                <w:ilvl w:val="0"/>
                <w:numId w:val="47"/>
              </w:numPr>
              <w:ind w:left="447" w:hanging="284"/>
              <w:contextualSpacing/>
              <w:rPr>
                <w:rFonts w:eastAsia="Times New Roman" w:cs="Times New Roman"/>
                <w:szCs w:val="17"/>
              </w:rPr>
            </w:pPr>
            <w:r w:rsidRPr="00B40553">
              <w:rPr>
                <w:rFonts w:eastAsia="Times New Roman" w:cs="Times New Roman"/>
                <w:szCs w:val="17"/>
              </w:rPr>
              <w:t xml:space="preserve">Costs of monitoring and enforcement will be absorbed into existing funding arrangements. </w:t>
            </w:r>
          </w:p>
        </w:tc>
      </w:tr>
      <w:tr w:rsidR="00261D0B" w:rsidRPr="00261D0B" w14:paraId="05E7C0CC" w14:textId="77777777" w:rsidTr="00CC4A0B">
        <w:tc>
          <w:tcPr>
            <w:tcW w:w="1676" w:type="dxa"/>
          </w:tcPr>
          <w:p w14:paraId="01957206" w14:textId="1DA61B41" w:rsidR="00261D0B" w:rsidRPr="00261D0B" w:rsidRDefault="00261D0B" w:rsidP="00261D0B">
            <w:pPr>
              <w:rPr>
                <w:szCs w:val="17"/>
              </w:rPr>
            </w:pPr>
            <w:r w:rsidRPr="00261D0B">
              <w:rPr>
                <w:szCs w:val="17"/>
              </w:rPr>
              <w:t>Safety benefits: lives saved</w:t>
            </w:r>
            <w:r w:rsidR="002D1EB4">
              <w:rPr>
                <w:szCs w:val="17"/>
              </w:rPr>
              <w:t xml:space="preserve">, </w:t>
            </w:r>
            <w:r w:rsidR="002D1EB4" w:rsidRPr="00261D0B">
              <w:rPr>
                <w:szCs w:val="17"/>
              </w:rPr>
              <w:t>avoided non-fatal CO exposure</w:t>
            </w:r>
          </w:p>
        </w:tc>
        <w:tc>
          <w:tcPr>
            <w:tcW w:w="7350" w:type="dxa"/>
          </w:tcPr>
          <w:p w14:paraId="5D43FEEF" w14:textId="7437C290" w:rsidR="00261D0B" w:rsidRPr="00B40553" w:rsidRDefault="00261D0B" w:rsidP="00096B3A">
            <w:pPr>
              <w:numPr>
                <w:ilvl w:val="0"/>
                <w:numId w:val="43"/>
              </w:numPr>
              <w:ind w:left="447" w:hanging="284"/>
              <w:contextualSpacing/>
              <w:rPr>
                <w:rFonts w:eastAsia="Times New Roman" w:cs="Arial"/>
                <w:szCs w:val="17"/>
              </w:rPr>
            </w:pPr>
            <w:r w:rsidRPr="000D5E7B">
              <w:rPr>
                <w:rFonts w:eastAsia="Times New Roman" w:cs="Times New Roman"/>
                <w:szCs w:val="17"/>
              </w:rPr>
              <w:t xml:space="preserve">Assume that each </w:t>
            </w:r>
            <w:r w:rsidR="00B16130" w:rsidRPr="000D5E7B">
              <w:rPr>
                <w:rFonts w:eastAsia="Times New Roman" w:cs="Times New Roman"/>
                <w:szCs w:val="17"/>
              </w:rPr>
              <w:t>transitional</w:t>
            </w:r>
            <w:r w:rsidRPr="000D5E7B">
              <w:rPr>
                <w:rFonts w:eastAsia="Times New Roman" w:cs="Times New Roman"/>
                <w:szCs w:val="17"/>
              </w:rPr>
              <w:t xml:space="preserve"> </w:t>
            </w:r>
            <w:r w:rsidR="00B16130" w:rsidRPr="000D5E7B">
              <w:rPr>
                <w:rFonts w:eastAsia="Times New Roman" w:cs="Times New Roman"/>
                <w:szCs w:val="17"/>
              </w:rPr>
              <w:t xml:space="preserve">measure </w:t>
            </w:r>
            <w:r w:rsidRPr="000D5E7B">
              <w:rPr>
                <w:rFonts w:eastAsia="Times New Roman" w:cs="Times New Roman"/>
                <w:szCs w:val="17"/>
              </w:rPr>
              <w:t>yields additional benefits from avoided fatalities, proportionate to the residual risk estimated to exist in rental properties after implementing the p</w:t>
            </w:r>
            <w:r w:rsidRPr="00B40553">
              <w:rPr>
                <w:rFonts w:eastAsia="Times New Roman" w:cs="Times New Roman"/>
                <w:szCs w:val="17"/>
              </w:rPr>
              <w:t xml:space="preserve">referred </w:t>
            </w:r>
            <w:r w:rsidR="003A6258" w:rsidRPr="00B40553">
              <w:rPr>
                <w:rFonts w:eastAsia="Times New Roman" w:cs="Times New Roman"/>
                <w:szCs w:val="17"/>
              </w:rPr>
              <w:t xml:space="preserve">phase out </w:t>
            </w:r>
            <w:r w:rsidRPr="00B40553">
              <w:rPr>
                <w:rFonts w:eastAsia="Times New Roman" w:cs="Times New Roman"/>
                <w:szCs w:val="17"/>
              </w:rPr>
              <w:t>option. Upper and lower bounds have been used to deal with uncertainty.</w:t>
            </w:r>
          </w:p>
          <w:p w14:paraId="24E18657" w14:textId="58292D89" w:rsidR="00261D0B" w:rsidRDefault="00261D0B" w:rsidP="00096B3A">
            <w:pPr>
              <w:numPr>
                <w:ilvl w:val="0"/>
                <w:numId w:val="43"/>
              </w:numPr>
              <w:ind w:left="447" w:hanging="284"/>
              <w:contextualSpacing/>
              <w:rPr>
                <w:rFonts w:eastAsia="Times New Roman" w:cs="Arial"/>
                <w:szCs w:val="17"/>
              </w:rPr>
            </w:pPr>
            <w:r w:rsidRPr="00B40553">
              <w:rPr>
                <w:rFonts w:eastAsia="Times New Roman" w:cs="Arial"/>
                <w:szCs w:val="17"/>
              </w:rPr>
              <w:t xml:space="preserve">Note there is extremely limited research evidence available about the effectiveness of CO alarms and mandatory servicing. Assumptions about the effectiveness of CO alarms and mandatory servicing are therefore based on findings from consultation with stakeholders. </w:t>
            </w:r>
            <w:r w:rsidR="002D1EB4" w:rsidRPr="00B40553">
              <w:rPr>
                <w:rFonts w:eastAsia="Times New Roman" w:cs="Arial"/>
                <w:szCs w:val="17"/>
              </w:rPr>
              <w:t>A 5</w:t>
            </w:r>
            <w:r w:rsidR="00AB1ECD">
              <w:t xml:space="preserve"> per cent</w:t>
            </w:r>
            <w:r w:rsidR="00AB1ECD" w:rsidRPr="00B40553">
              <w:rPr>
                <w:rFonts w:eastAsia="Times New Roman" w:cs="Arial"/>
                <w:szCs w:val="17"/>
              </w:rPr>
              <w:t xml:space="preserve"> </w:t>
            </w:r>
            <w:r w:rsidR="002D1EB4" w:rsidRPr="00B40553">
              <w:rPr>
                <w:rFonts w:eastAsia="Times New Roman" w:cs="Arial"/>
                <w:szCs w:val="17"/>
              </w:rPr>
              <w:t>reduction in risk is assumed as discussed above.</w:t>
            </w:r>
          </w:p>
          <w:p w14:paraId="7CBD5160" w14:textId="59B205D8" w:rsidR="00261D0B" w:rsidRPr="00B40553" w:rsidRDefault="00316E23" w:rsidP="00096B3A">
            <w:pPr>
              <w:numPr>
                <w:ilvl w:val="0"/>
                <w:numId w:val="43"/>
              </w:numPr>
              <w:ind w:left="447" w:hanging="284"/>
              <w:contextualSpacing/>
              <w:rPr>
                <w:rFonts w:eastAsia="Times New Roman" w:cs="Arial"/>
                <w:szCs w:val="17"/>
              </w:rPr>
            </w:pPr>
            <w:r>
              <w:rPr>
                <w:rFonts w:eastAsia="Times New Roman" w:cs="Arial"/>
                <w:szCs w:val="17"/>
              </w:rPr>
              <w:t xml:space="preserve">It is assumed that rates of servicing do not change into the future (consistent with a recent evaluation of the Be Sure campaign), and the per heater health </w:t>
            </w:r>
            <w:r>
              <w:rPr>
                <w:rFonts w:eastAsia="Times New Roman" w:cs="Arial"/>
                <w:szCs w:val="17"/>
              </w:rPr>
              <w:lastRenderedPageBreak/>
              <w:t xml:space="preserve">risk posed by OFGSHs remains unchanged as a result. However, a scenario where the incidence of fatal and non-fatal CO exposures falls due to future education campaigns is considered as part of the sensitivity analysis presented in </w:t>
            </w:r>
            <w:r w:rsidR="00334F0E">
              <w:rPr>
                <w:rFonts w:eastAsia="Times New Roman" w:cs="Arial"/>
                <w:szCs w:val="17"/>
              </w:rPr>
              <w:t>Appendix E.</w:t>
            </w:r>
          </w:p>
        </w:tc>
      </w:tr>
    </w:tbl>
    <w:p w14:paraId="52A96A5E" w14:textId="2C6313D4" w:rsidR="00782528" w:rsidRDefault="00782528" w:rsidP="00023E7E">
      <w:pPr>
        <w:pStyle w:val="Heading1"/>
      </w:pPr>
      <w:bookmarkStart w:id="240" w:name="_Toc51238901"/>
      <w:bookmarkEnd w:id="227"/>
      <w:bookmarkEnd w:id="228"/>
      <w:bookmarkEnd w:id="229"/>
      <w:bookmarkEnd w:id="240"/>
      <w:r>
        <w:lastRenderedPageBreak/>
        <w:t xml:space="preserve"> </w:t>
      </w:r>
      <w:bookmarkStart w:id="241" w:name="_Toc59612289"/>
      <w:r>
        <w:t>Small business and competition impacts</w:t>
      </w:r>
      <w:bookmarkEnd w:id="241"/>
    </w:p>
    <w:p w14:paraId="32B37E6C" w14:textId="44865FC7" w:rsidR="007C2E2A" w:rsidRPr="00484D12" w:rsidRDefault="006D6A7D" w:rsidP="00CC4A0B">
      <w:pPr>
        <w:pStyle w:val="Sectionintro"/>
      </w:pPr>
      <w:r>
        <w:t>The impact on</w:t>
      </w:r>
      <w:r w:rsidR="007C2E2A" w:rsidRPr="00484D12">
        <w:t xml:space="preserve"> small business and competition of the preferred option</w:t>
      </w:r>
      <w:r>
        <w:t xml:space="preserve"> is expected to be small.</w:t>
      </w:r>
    </w:p>
    <w:p w14:paraId="2B05CC14" w14:textId="510322F2" w:rsidR="007C2E2A" w:rsidRDefault="007C2E2A" w:rsidP="007C2E2A">
      <w:r>
        <w:t xml:space="preserve">Small businesses may experience disproportionate effects from </w:t>
      </w:r>
      <w:r w:rsidR="004458B1">
        <w:t xml:space="preserve">the preferred options </w:t>
      </w:r>
      <w:r>
        <w:t>for a range of reasons. This may include that the requirement applies mostly to small businesses, or because small businesses have limited resources to interpret compliance requirements or meet substantive compliance requirements compared to larger businesses. Small businesses may also lack the economies of scale that allow fixed regulatory costs to be spread across a large customer base.</w:t>
      </w:r>
    </w:p>
    <w:p w14:paraId="1872E2C0" w14:textId="4A626755" w:rsidR="007C2E2A" w:rsidRDefault="007C2E2A" w:rsidP="007C2E2A">
      <w:r>
        <w:t xml:space="preserve">The Victorian Guide to Regulation also requires a RIS to assess the impact of regulations on competition. Regulations can affect competition by preventing or limiting the ability of businesses and individuals to enter and compete within particular markets. In undertaking this </w:t>
      </w:r>
      <w:r w:rsidR="003950DA">
        <w:t>assessment,</w:t>
      </w:r>
      <w:r>
        <w:t xml:space="preserve"> we have considered questions such as: </w:t>
      </w:r>
    </w:p>
    <w:p w14:paraId="0A719E2B" w14:textId="77777777" w:rsidR="007C2E2A" w:rsidRDefault="007C2E2A" w:rsidP="007C2E2A">
      <w:pPr>
        <w:pStyle w:val="ListBullet"/>
      </w:pPr>
      <w:r>
        <w:t xml:space="preserve">Is the proposed measure likely to affect the market structure of the affected sector(s) – i.e. will it reduce the number of participants in the market, or increase the size of incumbent firms? </w:t>
      </w:r>
    </w:p>
    <w:p w14:paraId="43CD96DC" w14:textId="77777777" w:rsidR="007C2E2A" w:rsidRDefault="007C2E2A" w:rsidP="007C2E2A">
      <w:pPr>
        <w:pStyle w:val="ListBullet"/>
      </w:pPr>
      <w:r>
        <w:t>Will it be more difficult for new firms or individuals to enter the industry after the imposition of the proposed measure?</w:t>
      </w:r>
    </w:p>
    <w:p w14:paraId="41215B73" w14:textId="77777777" w:rsidR="007C2E2A" w:rsidRDefault="007C2E2A" w:rsidP="007C2E2A">
      <w:pPr>
        <w:pStyle w:val="ListBullet"/>
      </w:pPr>
      <w:r>
        <w:t>Will the costs/benefits associated with the proposed measure affect some firms or individuals substantially more than others (e.g. small firms, part-time participants in occupations etc.)?</w:t>
      </w:r>
    </w:p>
    <w:p w14:paraId="37BE2956" w14:textId="77777777" w:rsidR="007C2E2A" w:rsidRPr="006F3623" w:rsidRDefault="007C2E2A" w:rsidP="007C2E2A">
      <w:pPr>
        <w:pStyle w:val="ListBullet"/>
      </w:pPr>
      <w:r>
        <w:t xml:space="preserve">Will the proposed measure restrict the ability of businesses to choose the price, quality, range or location of </w:t>
      </w:r>
      <w:r w:rsidRPr="006F3623">
        <w:t>their products?</w:t>
      </w:r>
    </w:p>
    <w:p w14:paraId="1544AAED" w14:textId="77777777" w:rsidR="007C2E2A" w:rsidRPr="006F3623" w:rsidRDefault="007C2E2A" w:rsidP="007C2E2A">
      <w:pPr>
        <w:pStyle w:val="ListBullet"/>
      </w:pPr>
      <w:r w:rsidRPr="006F3623">
        <w:t>Will the proposed measure lead to higher ongoing costs for new entrants that existing firms do not have to meet?</w:t>
      </w:r>
    </w:p>
    <w:p w14:paraId="1F2D1AC7" w14:textId="77777777" w:rsidR="0042612A" w:rsidRPr="006F3623" w:rsidRDefault="0042612A" w:rsidP="0042612A">
      <w:pPr>
        <w:pStyle w:val="ListBullet"/>
      </w:pPr>
      <w:bookmarkStart w:id="242" w:name="_Hlk44081235"/>
      <w:r w:rsidRPr="006F3623">
        <w:t>Is the ability or incentive to innovate or develop new products or services likely to be affected by the proposed measure?</w:t>
      </w:r>
    </w:p>
    <w:bookmarkEnd w:id="242"/>
    <w:p w14:paraId="3E2FA8E0" w14:textId="6F581AC2" w:rsidR="007E64AD" w:rsidRDefault="004458B1" w:rsidP="00CC226A">
      <w:pPr>
        <w:spacing w:after="0"/>
        <w:rPr>
          <w:rFonts w:eastAsia="Times New Roman" w:cs="Times New Roman"/>
          <w:lang w:eastAsia="en-AU"/>
        </w:rPr>
      </w:pPr>
      <w:r w:rsidRPr="006F3623">
        <w:t xml:space="preserve">The preferred option determined in this RIS (a </w:t>
      </w:r>
      <w:r w:rsidR="000E28A2" w:rsidRPr="006F3623">
        <w:t>fast-tracked</w:t>
      </w:r>
      <w:r w:rsidRPr="006F3623">
        <w:t xml:space="preserve"> </w:t>
      </w:r>
      <w:r w:rsidR="00DC26CE">
        <w:t>standards</w:t>
      </w:r>
      <w:r w:rsidR="00F756EB">
        <w:t>-</w:t>
      </w:r>
      <w:r w:rsidR="00DC26CE">
        <w:t>based approach</w:t>
      </w:r>
      <w:r w:rsidR="00A6571C" w:rsidRPr="006F3623">
        <w:t xml:space="preserve"> to commence </w:t>
      </w:r>
      <w:r w:rsidR="0054540D">
        <w:t>1 January 2022</w:t>
      </w:r>
      <w:r w:rsidRPr="006F3623">
        <w:t>) is</w:t>
      </w:r>
      <w:r w:rsidR="00D14C30" w:rsidRPr="006F3623">
        <w:t xml:space="preserve"> expected to have a relatively more significant</w:t>
      </w:r>
      <w:r w:rsidRPr="006F3623">
        <w:t xml:space="preserve"> impact</w:t>
      </w:r>
      <w:r w:rsidR="00D14C30" w:rsidRPr="006F3623">
        <w:t xml:space="preserve"> on a small number of manufacturing businesses operating in Victoria</w:t>
      </w:r>
      <w:r w:rsidRPr="006F3623">
        <w:t xml:space="preserve"> than larger businesses</w:t>
      </w:r>
      <w:r w:rsidR="004C0C87" w:rsidRPr="006F3623">
        <w:t xml:space="preserve"> in the market</w:t>
      </w:r>
      <w:r w:rsidR="00D14C30" w:rsidRPr="006F3623">
        <w:t xml:space="preserve">. The most impacted businesses will be those that </w:t>
      </w:r>
      <w:r w:rsidR="009A55F9">
        <w:t xml:space="preserve">are smaller and/or </w:t>
      </w:r>
      <w:r w:rsidR="00D14C30" w:rsidRPr="006F3623">
        <w:t>have a product range that is less diversified across different types of appliance</w:t>
      </w:r>
      <w:r w:rsidR="00D17AD0">
        <w:t>, because they will experience disproportionately more change to their manufacturing process</w:t>
      </w:r>
      <w:r w:rsidR="009A55F9">
        <w:t xml:space="preserve"> </w:t>
      </w:r>
      <w:r w:rsidR="003A306D">
        <w:t>e.g. cost of changes to manufacturing plant/design)</w:t>
      </w:r>
      <w:r w:rsidR="00046F60">
        <w:t>. H</w:t>
      </w:r>
      <w:r w:rsidR="00376879">
        <w:t>owever</w:t>
      </w:r>
      <w:r w:rsidR="00046F60">
        <w:t>,</w:t>
      </w:r>
      <w:r w:rsidR="00376879" w:rsidRPr="006F3623">
        <w:t xml:space="preserve"> it is understood there are only a few such businesses at most.</w:t>
      </w:r>
      <w:r w:rsidR="00CC226A">
        <w:t xml:space="preserve"> </w:t>
      </w:r>
      <w:r w:rsidR="00CC226A" w:rsidRPr="00CC226A">
        <w:rPr>
          <w:rFonts w:eastAsia="Times New Roman" w:cs="Times New Roman"/>
          <w:lang w:eastAsia="en-AU"/>
        </w:rPr>
        <w:t xml:space="preserve">Industry has also </w:t>
      </w:r>
      <w:r w:rsidR="00CC226A">
        <w:rPr>
          <w:rFonts w:eastAsia="Times New Roman" w:cs="Times New Roman"/>
          <w:lang w:eastAsia="en-AU"/>
        </w:rPr>
        <w:t>indicated</w:t>
      </w:r>
      <w:r w:rsidR="00CC226A" w:rsidRPr="00CC226A">
        <w:rPr>
          <w:rFonts w:eastAsia="Times New Roman" w:cs="Times New Roman"/>
          <w:lang w:eastAsia="en-AU"/>
        </w:rPr>
        <w:t xml:space="preserve"> that the</w:t>
      </w:r>
      <w:r w:rsidR="00CC226A">
        <w:rPr>
          <w:rFonts w:eastAsia="Times New Roman" w:cs="Times New Roman"/>
          <w:lang w:eastAsia="en-AU"/>
        </w:rPr>
        <w:t xml:space="preserve"> </w:t>
      </w:r>
      <w:r w:rsidR="000931D4">
        <w:rPr>
          <w:rFonts w:eastAsia="Times New Roman" w:cs="Times New Roman"/>
          <w:lang w:eastAsia="en-AU"/>
        </w:rPr>
        <w:t>B</w:t>
      </w:r>
      <w:r w:rsidR="00CC226A">
        <w:rPr>
          <w:rFonts w:eastAsia="Times New Roman" w:cs="Times New Roman"/>
          <w:lang w:eastAsia="en-AU"/>
        </w:rPr>
        <w:t xml:space="preserve">ase </w:t>
      </w:r>
      <w:r w:rsidR="000931D4">
        <w:rPr>
          <w:rFonts w:eastAsia="Times New Roman" w:cs="Times New Roman"/>
          <w:lang w:eastAsia="en-AU"/>
        </w:rPr>
        <w:t>C</w:t>
      </w:r>
      <w:r w:rsidR="00CC226A">
        <w:rPr>
          <w:rFonts w:eastAsia="Times New Roman" w:cs="Times New Roman"/>
          <w:lang w:eastAsia="en-AU"/>
        </w:rPr>
        <w:t>ase</w:t>
      </w:r>
      <w:r w:rsidR="00CC226A" w:rsidRPr="00CC226A">
        <w:rPr>
          <w:rFonts w:eastAsia="Times New Roman" w:cs="Times New Roman"/>
          <w:lang w:eastAsia="en-AU"/>
        </w:rPr>
        <w:t xml:space="preserve"> forecasted OFGSH sales for 2021-22 are unlikely to change if this approach is adopted. </w:t>
      </w:r>
      <w:r w:rsidR="00C2738F">
        <w:rPr>
          <w:rFonts w:eastAsia="Times New Roman" w:cs="Times New Roman"/>
          <w:lang w:eastAsia="en-AU"/>
        </w:rPr>
        <w:t>Under th</w:t>
      </w:r>
      <w:r w:rsidR="00895E34">
        <w:rPr>
          <w:rFonts w:eastAsia="Times New Roman" w:cs="Times New Roman"/>
          <w:lang w:eastAsia="en-AU"/>
        </w:rPr>
        <w:t>e preferred</w:t>
      </w:r>
      <w:r w:rsidR="00B5556E">
        <w:rPr>
          <w:rFonts w:eastAsia="Times New Roman" w:cs="Times New Roman"/>
          <w:lang w:eastAsia="en-AU"/>
        </w:rPr>
        <w:t xml:space="preserve"> </w:t>
      </w:r>
      <w:r w:rsidR="00C2738F">
        <w:rPr>
          <w:rFonts w:eastAsia="Times New Roman" w:cs="Times New Roman"/>
          <w:lang w:eastAsia="en-AU"/>
        </w:rPr>
        <w:t xml:space="preserve">option, </w:t>
      </w:r>
      <w:r w:rsidR="002F0AEA">
        <w:rPr>
          <w:rFonts w:eastAsia="Times New Roman" w:cs="Times New Roman"/>
          <w:lang w:eastAsia="en-AU"/>
        </w:rPr>
        <w:t>sales</w:t>
      </w:r>
      <w:r w:rsidR="00044943">
        <w:rPr>
          <w:rFonts w:eastAsia="Times New Roman" w:cs="Times New Roman"/>
          <w:lang w:eastAsia="en-AU"/>
        </w:rPr>
        <w:t xml:space="preserve"> </w:t>
      </w:r>
      <w:r w:rsidR="00B43329">
        <w:rPr>
          <w:rFonts w:eastAsia="Times New Roman" w:cs="Times New Roman"/>
          <w:lang w:eastAsia="en-AU"/>
        </w:rPr>
        <w:t xml:space="preserve">would likely </w:t>
      </w:r>
      <w:r w:rsidR="00044943">
        <w:rPr>
          <w:rFonts w:eastAsia="Times New Roman" w:cs="Times New Roman"/>
          <w:lang w:eastAsia="en-AU"/>
        </w:rPr>
        <w:t>reach</w:t>
      </w:r>
      <w:r w:rsidR="00CC226A" w:rsidRPr="00CC226A">
        <w:rPr>
          <w:rFonts w:eastAsia="Times New Roman" w:cs="Times New Roman"/>
          <w:lang w:eastAsia="en-AU"/>
        </w:rPr>
        <w:t xml:space="preserve"> zero five years earlier than the </w:t>
      </w:r>
      <w:r w:rsidR="000931D4">
        <w:rPr>
          <w:rFonts w:eastAsia="Times New Roman" w:cs="Times New Roman"/>
          <w:lang w:eastAsia="en-AU"/>
        </w:rPr>
        <w:t>B</w:t>
      </w:r>
      <w:r w:rsidR="00CC226A" w:rsidRPr="00CC226A">
        <w:rPr>
          <w:rFonts w:eastAsia="Times New Roman" w:cs="Times New Roman"/>
          <w:lang w:eastAsia="en-AU"/>
        </w:rPr>
        <w:t xml:space="preserve">ase </w:t>
      </w:r>
      <w:r w:rsidR="000931D4">
        <w:rPr>
          <w:rFonts w:eastAsia="Times New Roman" w:cs="Times New Roman"/>
          <w:lang w:eastAsia="en-AU"/>
        </w:rPr>
        <w:t>C</w:t>
      </w:r>
      <w:r w:rsidR="00CC226A" w:rsidRPr="00CC226A">
        <w:rPr>
          <w:rFonts w:eastAsia="Times New Roman" w:cs="Times New Roman"/>
          <w:lang w:eastAsia="en-AU"/>
        </w:rPr>
        <w:t>ase.</w:t>
      </w:r>
    </w:p>
    <w:p w14:paraId="0F6A7F10" w14:textId="77777777" w:rsidR="00CC226A" w:rsidRPr="000276F0" w:rsidRDefault="00CC226A" w:rsidP="000276F0">
      <w:pPr>
        <w:spacing w:after="0"/>
        <w:rPr>
          <w:rFonts w:eastAsia="Times New Roman" w:cs="Times New Roman"/>
          <w:lang w:eastAsia="en-AU"/>
        </w:rPr>
      </w:pPr>
    </w:p>
    <w:p w14:paraId="5DB3A0F2" w14:textId="342C7A01" w:rsidR="00046F60" w:rsidRPr="006F3623" w:rsidRDefault="00046F60" w:rsidP="00046F60">
      <w:r w:rsidRPr="006F3623">
        <w:t>Consultation with industry indicated that several businesses in the industry are already shifting their manufacturing processes away from the manufacture of OFGSHs. As discussed in this RIS, sales of OFGSHs are declining and forecast to approach zero in 2027, reflecting a shift in consumer trends and manufacturing that is already occurring.</w:t>
      </w:r>
      <w:r>
        <w:t xml:space="preserve"> Most manufacturers are already producing gas heaters (such as room-sealed heaters) that eliminate the risks posed by OFGSHs. </w:t>
      </w:r>
      <w:r w:rsidR="000932DA">
        <w:t xml:space="preserve">OFGSHs </w:t>
      </w:r>
      <w:r>
        <w:t>are old technology that has already been superseded by innovation and new technology, prior to government intervention.</w:t>
      </w:r>
    </w:p>
    <w:p w14:paraId="761F1627" w14:textId="65960D04" w:rsidR="00D14C30" w:rsidRDefault="003A306D" w:rsidP="00D14C30">
      <w:r>
        <w:lastRenderedPageBreak/>
        <w:t>Extensive consultation has also been undertaken with industry over multiple years on this issue and it is therefore expected that industry would generally be anticipating change</w:t>
      </w:r>
      <w:r w:rsidR="00046F60">
        <w:t xml:space="preserve"> and have already adjusted their processes in anticipation or</w:t>
      </w:r>
      <w:r w:rsidR="00782319">
        <w:t>,</w:t>
      </w:r>
      <w:r w:rsidR="00046F60">
        <w:t xml:space="preserve"> be planning to do so</w:t>
      </w:r>
      <w:r>
        <w:t xml:space="preserve">. It is noted that industry has broadly supported the </w:t>
      </w:r>
      <w:r w:rsidR="00DC26CE">
        <w:t>standards</w:t>
      </w:r>
      <w:r w:rsidR="00F756EB">
        <w:t>-</w:t>
      </w:r>
      <w:r w:rsidR="00DC26CE">
        <w:t>based approach</w:t>
      </w:r>
      <w:r>
        <w:t xml:space="preserve">. </w:t>
      </w:r>
    </w:p>
    <w:p w14:paraId="21A1C178" w14:textId="0C3FB6B7" w:rsidR="00D14C30" w:rsidRDefault="00D14C30" w:rsidP="00D14C30">
      <w:r>
        <w:t xml:space="preserve">The </w:t>
      </w:r>
      <w:r w:rsidR="00F149C5">
        <w:t>preferred option</w:t>
      </w:r>
      <w:r>
        <w:t xml:space="preserve"> might impact competition in the gas appliance manufacturing sector if small business</w:t>
      </w:r>
      <w:r w:rsidR="006F3623">
        <w:t>es</w:t>
      </w:r>
      <w:r>
        <w:t xml:space="preserve"> that are less diversified end up exiting the industry. It is possible that the gas heating sector will become slightly more concentrated as a result, although this impact </w:t>
      </w:r>
      <w:r w:rsidR="006F3623">
        <w:t xml:space="preserve">is expected by be </w:t>
      </w:r>
      <w:r>
        <w:t xml:space="preserve">small as impacted small businesses only comprise a small share of the sector. </w:t>
      </w:r>
    </w:p>
    <w:p w14:paraId="0BC02CF7" w14:textId="23EDDC76" w:rsidR="001E54EB" w:rsidRDefault="008D4B76" w:rsidP="00D14C30">
      <w:r>
        <w:t xml:space="preserve">In relation to new entrants, it is </w:t>
      </w:r>
      <w:r w:rsidR="00D14C30">
        <w:t>noted that there is already a shift away from OFGSHs towards other types of heating, with a low likelihood of new entrants</w:t>
      </w:r>
      <w:r w:rsidR="001E54EB">
        <w:t xml:space="preserve"> in the absence of any intervention</w:t>
      </w:r>
      <w:r w:rsidR="00D14C30">
        <w:t xml:space="preserve">. </w:t>
      </w:r>
      <w:r w:rsidR="00262CAA">
        <w:t>This impact is therefore considered minimal.</w:t>
      </w:r>
    </w:p>
    <w:p w14:paraId="5587D044" w14:textId="6BE221EA" w:rsidR="00D14C30" w:rsidRDefault="001E54EB" w:rsidP="00D14C30">
      <w:r>
        <w:t>Adopting</w:t>
      </w:r>
      <w:r w:rsidR="00D14C30">
        <w:t xml:space="preserve"> the Standards-based approach </w:t>
      </w:r>
      <w:r>
        <w:t xml:space="preserve">means there is still </w:t>
      </w:r>
      <w:r w:rsidR="00D14C30">
        <w:t xml:space="preserve">opportunity to innovate solutions that partially address the CO risk (the safety outcomes of this innovation are as yet untested). One business noted this view during consultation, </w:t>
      </w:r>
      <w:r>
        <w:t xml:space="preserve">although consultation with industry has generally indicated that development of new </w:t>
      </w:r>
      <w:r w:rsidR="000932DA">
        <w:t xml:space="preserve">OFGSHs </w:t>
      </w:r>
      <w:r>
        <w:t xml:space="preserve">that meet the Standard is </w:t>
      </w:r>
      <w:r w:rsidR="00DD1920">
        <w:t>unlikely. There was</w:t>
      </w:r>
      <w:r w:rsidR="00D14C30">
        <w:t xml:space="preserve"> broad agreement across manufacturing businesses that technological innovation for OFGSHs was </w:t>
      </w:r>
      <w:r w:rsidR="00DD1920">
        <w:t>in</w:t>
      </w:r>
      <w:r w:rsidR="00D14C30">
        <w:t xml:space="preserve">feasible from a technology </w:t>
      </w:r>
      <w:r w:rsidR="00DD1920">
        <w:t>and</w:t>
      </w:r>
      <w:r w:rsidR="00D14C30">
        <w:t xml:space="preserve"> cost perspective.</w:t>
      </w:r>
      <w:r w:rsidR="008276C4">
        <w:t xml:space="preserve"> Consumer and manufacturing trends show innovation is more likely to be focused on other types of heating</w:t>
      </w:r>
      <w:r w:rsidR="0080415F">
        <w:t xml:space="preserve"> rather than OFGSH</w:t>
      </w:r>
      <w:r w:rsidR="00CE557E">
        <w:t>s.</w:t>
      </w:r>
    </w:p>
    <w:p w14:paraId="1F105117" w14:textId="5D3BF808" w:rsidR="006566B9" w:rsidRDefault="008A4FD4" w:rsidP="0042612A">
      <w:r>
        <w:t xml:space="preserve">In summary, </w:t>
      </w:r>
      <w:r w:rsidR="00E279EF">
        <w:t xml:space="preserve">while the preferred option is expected to have </w:t>
      </w:r>
      <w:r w:rsidR="00613593">
        <w:t>some</w:t>
      </w:r>
      <w:r w:rsidR="00E279EF">
        <w:t xml:space="preserve"> impact on small business and competition, this impact is expected to be minimal </w:t>
      </w:r>
      <w:r w:rsidR="00613593">
        <w:t xml:space="preserve">and </w:t>
      </w:r>
      <w:r w:rsidR="005D0BBC">
        <w:t>is considered</w:t>
      </w:r>
      <w:r w:rsidR="00613593">
        <w:t xml:space="preserve"> necessary to achieve </w:t>
      </w:r>
      <w:r w:rsidR="007C546A">
        <w:t>government objectives, as well as</w:t>
      </w:r>
      <w:r w:rsidR="00613593">
        <w:t xml:space="preserve"> the </w:t>
      </w:r>
      <w:r w:rsidR="0065670D">
        <w:t xml:space="preserve">estimated </w:t>
      </w:r>
      <w:r w:rsidR="00613593">
        <w:t xml:space="preserve">benefits </w:t>
      </w:r>
      <w:r w:rsidR="0065670D">
        <w:t>of the preferred option (Option 2), which outweigh the costs.</w:t>
      </w:r>
    </w:p>
    <w:p w14:paraId="5BA9A883" w14:textId="53586818" w:rsidR="006566B9" w:rsidRPr="004B5F03" w:rsidRDefault="006566B9" w:rsidP="006566B9">
      <w:r>
        <w:t>Noting that in</w:t>
      </w:r>
      <w:r w:rsidRPr="004C21D0">
        <w:t xml:space="preserve"> the event the fast-tracked standards-based approach cannot come into effect on 1 January 2022, or within acceptable timeframes, </w:t>
      </w:r>
      <w:r>
        <w:t>DELWP</w:t>
      </w:r>
      <w:r w:rsidRPr="004C21D0">
        <w:t xml:space="preserve"> will proceed to introduce the proposed regulatory amendments for Option 1 to achieve its objectives.</w:t>
      </w:r>
      <w:r>
        <w:t xml:space="preserve"> </w:t>
      </w:r>
      <w:r w:rsidR="002F7AF0">
        <w:t>Th</w:t>
      </w:r>
      <w:r w:rsidR="00DE4E95">
        <w:t>e regulations</w:t>
      </w:r>
      <w:r w:rsidR="002F7AF0">
        <w:t xml:space="preserve"> would be expected to</w:t>
      </w:r>
      <w:r w:rsidR="00DE4E95">
        <w:t xml:space="preserve"> commence on </w:t>
      </w:r>
      <w:r w:rsidR="00941D61">
        <w:t xml:space="preserve">or before </w:t>
      </w:r>
      <w:r w:rsidR="00DE4E95">
        <w:t>1 January 2022</w:t>
      </w:r>
      <w:r w:rsidR="00D079EA">
        <w:t>.</w:t>
      </w:r>
      <w:r w:rsidR="003735BD">
        <w:t xml:space="preserve"> </w:t>
      </w:r>
      <w:r w:rsidR="006B3761">
        <w:rPr>
          <w:rStyle w:val="CommentReference"/>
          <w:sz w:val="18"/>
          <w:szCs w:val="18"/>
        </w:rPr>
        <w:t>If this were to occur, it is</w:t>
      </w:r>
      <w:r w:rsidR="006B3761" w:rsidRPr="00C05212">
        <w:rPr>
          <w:rStyle w:val="CommentReference"/>
          <w:sz w:val="18"/>
          <w:szCs w:val="18"/>
        </w:rPr>
        <w:t xml:space="preserve"> es</w:t>
      </w:r>
      <w:r w:rsidR="006B3761">
        <w:rPr>
          <w:rStyle w:val="CommentReference"/>
          <w:sz w:val="18"/>
          <w:szCs w:val="18"/>
        </w:rPr>
        <w:t>timated that the costs and benefits realised under this option would not change.</w:t>
      </w:r>
    </w:p>
    <w:p w14:paraId="2A6DA17F" w14:textId="16B281C9" w:rsidR="00E279EF" w:rsidRDefault="00E279EF" w:rsidP="0042612A"/>
    <w:p w14:paraId="6E1A0B19" w14:textId="77777777" w:rsidR="007C2E2A" w:rsidRPr="007C2E2A" w:rsidRDefault="007C2E2A" w:rsidP="00CC4A0B"/>
    <w:p w14:paraId="458D9C7D" w14:textId="78518BA3" w:rsidR="00871379" w:rsidRDefault="008C7E79" w:rsidP="005024F8">
      <w:pPr>
        <w:pStyle w:val="Heading1"/>
      </w:pPr>
      <w:r>
        <w:lastRenderedPageBreak/>
        <w:t xml:space="preserve"> </w:t>
      </w:r>
      <w:bookmarkStart w:id="243" w:name="_Toc59612290"/>
      <w:r w:rsidR="00EB497B">
        <w:t>Implementation plan</w:t>
      </w:r>
      <w:bookmarkEnd w:id="243"/>
    </w:p>
    <w:p w14:paraId="386D331F" w14:textId="69603D23" w:rsidR="00DE72E4" w:rsidRPr="000276F0" w:rsidRDefault="00DE72E4" w:rsidP="00C05212">
      <w:pPr>
        <w:pStyle w:val="Heading3"/>
        <w:numPr>
          <w:ilvl w:val="1"/>
          <w:numId w:val="172"/>
        </w:numPr>
        <w:rPr>
          <w:color w:val="62B5E5" w:themeColor="accent3"/>
        </w:rPr>
      </w:pPr>
      <w:bookmarkStart w:id="244" w:name="_Toc42159447"/>
      <w:bookmarkStart w:id="245" w:name="_Toc43146913"/>
      <w:r>
        <w:rPr>
          <w:color w:val="62B5E5" w:themeColor="accent3"/>
        </w:rPr>
        <w:t>Path for implementation</w:t>
      </w:r>
    </w:p>
    <w:p w14:paraId="40169E07" w14:textId="0A7BD2CB" w:rsidR="0073752F" w:rsidRDefault="00DE72E4" w:rsidP="000276F0">
      <w:pPr>
        <w:spacing w:before="60" w:after="120"/>
        <w:contextualSpacing/>
        <w:textboxTightWrap w:val="allLines"/>
      </w:pPr>
      <w:r>
        <w:rPr>
          <w:rFonts w:asciiTheme="minorHAnsi" w:hAnsiTheme="minorHAnsi"/>
        </w:rPr>
        <w:t xml:space="preserve">As discussed </w:t>
      </w:r>
      <w:r w:rsidR="0028420D">
        <w:rPr>
          <w:rFonts w:asciiTheme="minorHAnsi" w:hAnsiTheme="minorHAnsi"/>
        </w:rPr>
        <w:t>elsewhere</w:t>
      </w:r>
      <w:r w:rsidR="002B3411">
        <w:rPr>
          <w:rFonts w:asciiTheme="minorHAnsi" w:hAnsiTheme="minorHAnsi"/>
        </w:rPr>
        <w:t xml:space="preserve"> in this RIS, the preferred approach </w:t>
      </w:r>
      <w:r w:rsidR="007E52D5">
        <w:rPr>
          <w:rFonts w:asciiTheme="minorHAnsi" w:hAnsiTheme="minorHAnsi"/>
        </w:rPr>
        <w:t xml:space="preserve">is for </w:t>
      </w:r>
      <w:r w:rsidR="002B3411">
        <w:rPr>
          <w:rFonts w:asciiTheme="minorHAnsi" w:hAnsiTheme="minorHAnsi"/>
        </w:rPr>
        <w:t>a fast-track</w:t>
      </w:r>
      <w:r w:rsidR="009C5AE3">
        <w:rPr>
          <w:rFonts w:asciiTheme="minorHAnsi" w:hAnsiTheme="minorHAnsi"/>
        </w:rPr>
        <w:t>ed</w:t>
      </w:r>
      <w:r w:rsidR="002B3411">
        <w:rPr>
          <w:rFonts w:asciiTheme="minorHAnsi" w:hAnsiTheme="minorHAnsi"/>
        </w:rPr>
        <w:t xml:space="preserve"> approach to </w:t>
      </w:r>
      <w:r w:rsidR="005043FE">
        <w:rPr>
          <w:rFonts w:asciiTheme="minorHAnsi" w:hAnsiTheme="minorHAnsi"/>
        </w:rPr>
        <w:t xml:space="preserve">amending the relevant Australian Standards </w:t>
      </w:r>
      <w:r w:rsidR="00917998">
        <w:rPr>
          <w:rFonts w:asciiTheme="minorHAnsi" w:hAnsiTheme="minorHAnsi"/>
        </w:rPr>
        <w:t>(</w:t>
      </w:r>
      <w:r w:rsidR="00917998" w:rsidRPr="00103FCD">
        <w:rPr>
          <w:rFonts w:asciiTheme="minorHAnsi" w:hAnsiTheme="minorHAnsi" w:cstheme="minorHAnsi"/>
          <w:szCs w:val="17"/>
        </w:rPr>
        <w:t>AS/NZS 5263.1.3 and AS/NZS 5263.1.8</w:t>
      </w:r>
      <w:r w:rsidR="00917998">
        <w:rPr>
          <w:rFonts w:asciiTheme="minorHAnsi" w:hAnsiTheme="minorHAnsi" w:cstheme="minorHAnsi"/>
          <w:szCs w:val="17"/>
        </w:rPr>
        <w:t xml:space="preserve">) </w:t>
      </w:r>
      <w:r w:rsidR="005043FE">
        <w:rPr>
          <w:rFonts w:asciiTheme="minorHAnsi" w:hAnsiTheme="minorHAnsi"/>
        </w:rPr>
        <w:t xml:space="preserve">through the issuance of </w:t>
      </w:r>
      <w:r w:rsidR="00677BC8">
        <w:rPr>
          <w:rFonts w:asciiTheme="minorHAnsi" w:hAnsiTheme="minorHAnsi"/>
        </w:rPr>
        <w:t xml:space="preserve">a </w:t>
      </w:r>
      <w:r w:rsidR="002B3411" w:rsidRPr="00066864">
        <w:t>GTRC Technical Guidance Bulletin</w:t>
      </w:r>
      <w:r w:rsidR="00677BC8">
        <w:t>.</w:t>
      </w:r>
      <w:r w:rsidR="009E2BD3">
        <w:t xml:space="preserve"> </w:t>
      </w:r>
      <w:r w:rsidR="00560D10">
        <w:t xml:space="preserve">Technical Guidance Bulletins are the </w:t>
      </w:r>
      <w:r w:rsidR="006D3DB7">
        <w:t xml:space="preserve">method </w:t>
      </w:r>
      <w:r w:rsidR="008F268F">
        <w:t xml:space="preserve">Australia’s gas technical </w:t>
      </w:r>
      <w:r w:rsidR="006D3DB7">
        <w:t xml:space="preserve">regulators </w:t>
      </w:r>
      <w:r w:rsidR="008F268F">
        <w:t xml:space="preserve">(including ESV) </w:t>
      </w:r>
      <w:r w:rsidR="006D3DB7">
        <w:t xml:space="preserve">use to require the implementation of changes without waiting for standards to be amended or revised. </w:t>
      </w:r>
      <w:r w:rsidR="003F6AA1">
        <w:t xml:space="preserve">Technical Guidance </w:t>
      </w:r>
      <w:r w:rsidR="007401C2">
        <w:t xml:space="preserve">Bulletins </w:t>
      </w:r>
      <w:r w:rsidR="0073752F">
        <w:t xml:space="preserve">provide technical guidance to CABs and other stakeholders on a position by jurisdictions on specific issues.  </w:t>
      </w:r>
      <w:r w:rsidR="007401C2">
        <w:t xml:space="preserve">They require CABs to ensure information </w:t>
      </w:r>
      <w:r w:rsidR="005118A8">
        <w:t xml:space="preserve">in Technical Guidance Bulletins is taken into account when considering whether to certify gas equipment.  </w:t>
      </w:r>
      <w:r w:rsidR="005E11E1">
        <w:t xml:space="preserve">Importantly, CABs must withhold certification if appliances do not meet </w:t>
      </w:r>
      <w:r w:rsidR="007A620F">
        <w:t>the requirements in GTRC Technical Bulletins.</w:t>
      </w:r>
    </w:p>
    <w:p w14:paraId="32B322BF" w14:textId="25DAC7CC" w:rsidR="004F4D04" w:rsidRDefault="004F4D04" w:rsidP="00677BC8">
      <w:pPr>
        <w:spacing w:after="120"/>
        <w:contextualSpacing/>
        <w:textboxTightWrap w:val="allLines"/>
      </w:pPr>
    </w:p>
    <w:p w14:paraId="552F9814" w14:textId="47486E55" w:rsidR="004F4D04" w:rsidRDefault="004F4D04" w:rsidP="00677BC8">
      <w:pPr>
        <w:spacing w:after="120"/>
        <w:contextualSpacing/>
        <w:textboxTightWrap w:val="allLines"/>
      </w:pPr>
      <w:r>
        <w:t xml:space="preserve">The GTRC approach ensures a national approach </w:t>
      </w:r>
      <w:r w:rsidR="0096179D">
        <w:t>and therefore ensures consistency between jurisdictions and removes any confusion that would occur if appliances were still accepted in other jurisdictions and displayed a certification label.</w:t>
      </w:r>
    </w:p>
    <w:p w14:paraId="40BD8AC5" w14:textId="77777777" w:rsidR="00C65B9D" w:rsidRDefault="00C65B9D" w:rsidP="00677BC8">
      <w:pPr>
        <w:spacing w:after="120"/>
        <w:contextualSpacing/>
        <w:textboxTightWrap w:val="allLines"/>
      </w:pPr>
    </w:p>
    <w:p w14:paraId="078D0012" w14:textId="77777777" w:rsidR="00C65B9D" w:rsidRDefault="00C65B9D" w:rsidP="00C65B9D">
      <w:pPr>
        <w:spacing w:after="120"/>
        <w:contextualSpacing/>
        <w:textboxTightWrap w:val="allLines"/>
      </w:pPr>
      <w:r>
        <w:t>The GTRC has indicated its support for this approach.</w:t>
      </w:r>
    </w:p>
    <w:p w14:paraId="57365928" w14:textId="5B07255A" w:rsidR="0096179D" w:rsidRDefault="0096179D" w:rsidP="00677BC8">
      <w:pPr>
        <w:spacing w:after="120"/>
        <w:contextualSpacing/>
        <w:textboxTightWrap w:val="allLines"/>
      </w:pPr>
    </w:p>
    <w:p w14:paraId="4F8817BD" w14:textId="00E32152" w:rsidR="006939A6" w:rsidRDefault="006169BE" w:rsidP="00C65B9D">
      <w:pPr>
        <w:spacing w:line="252" w:lineRule="auto"/>
      </w:pPr>
      <w:r>
        <w:t xml:space="preserve">In this case the </w:t>
      </w:r>
      <w:r w:rsidR="00C65B9D">
        <w:t xml:space="preserve">GTRC would require </w:t>
      </w:r>
      <w:r w:rsidR="00C65B9D" w:rsidRPr="00066864">
        <w:t>OFGSHs to shut down safely in a negative pressure environment</w:t>
      </w:r>
      <w:r w:rsidR="00401D95">
        <w:t xml:space="preserve"> in order to be certified</w:t>
      </w:r>
      <w:r w:rsidR="00120634">
        <w:t xml:space="preserve">. </w:t>
      </w:r>
      <w:r w:rsidR="00773C48">
        <w:t xml:space="preserve">More specifically, </w:t>
      </w:r>
      <w:r w:rsidR="00773C48" w:rsidRPr="000276F0">
        <w:t xml:space="preserve">OFGSHs </w:t>
      </w:r>
      <w:r w:rsidR="001B1853" w:rsidRPr="000276F0">
        <w:t xml:space="preserve">must </w:t>
      </w:r>
      <w:r w:rsidR="00773C48" w:rsidRPr="000276F0">
        <w:t xml:space="preserve">shut down and not spill combustion products for more than 15 minutes in a negative pressure environment or shut down before the concentration of </w:t>
      </w:r>
      <w:r w:rsidR="001B1853" w:rsidRPr="000276F0">
        <w:t>CO</w:t>
      </w:r>
      <w:r w:rsidR="00773C48" w:rsidRPr="000276F0">
        <w:t xml:space="preserve"> in a test room of 30 to 40m</w:t>
      </w:r>
      <w:r w:rsidR="00773C48" w:rsidRPr="000276F0">
        <w:rPr>
          <w:vertAlign w:val="superscript"/>
        </w:rPr>
        <w:t>3</w:t>
      </w:r>
      <w:r w:rsidR="00773C48" w:rsidRPr="000276F0">
        <w:t xml:space="preserve"> exceeds 150 ppm (parts per million). The appliance shut-down would be such that the appliance cannot automatically reset but rather would require intervention by a licensed practitioner to reset.</w:t>
      </w:r>
    </w:p>
    <w:p w14:paraId="622B179F" w14:textId="155EB2C5" w:rsidR="00B2113D" w:rsidRDefault="00DB6489" w:rsidP="00415B41">
      <w:pPr>
        <w:spacing w:line="252" w:lineRule="auto"/>
      </w:pPr>
      <w:r>
        <w:t xml:space="preserve">While the GTRC approach is </w:t>
      </w:r>
      <w:r w:rsidR="00ED1B18">
        <w:t>in place</w:t>
      </w:r>
      <w:r w:rsidR="00451659">
        <w:t>,</w:t>
      </w:r>
      <w:r w:rsidR="009E563B">
        <w:t xml:space="preserve"> the </w:t>
      </w:r>
      <w:r w:rsidR="00294A41">
        <w:t xml:space="preserve">usual </w:t>
      </w:r>
      <w:r w:rsidR="007B3466">
        <w:t xml:space="preserve">process </w:t>
      </w:r>
      <w:r w:rsidR="00294A41">
        <w:t xml:space="preserve">for </w:t>
      </w:r>
      <w:r w:rsidR="00ED1B18">
        <w:t xml:space="preserve">amending the Australian Standard will </w:t>
      </w:r>
      <w:r w:rsidR="007B3466">
        <w:t xml:space="preserve">proceed, </w:t>
      </w:r>
      <w:r w:rsidR="007B3466" w:rsidRPr="003C56D0">
        <w:t xml:space="preserve">however </w:t>
      </w:r>
      <w:r w:rsidR="007B3466" w:rsidRPr="000276F0">
        <w:t>this</w:t>
      </w:r>
      <w:r w:rsidR="008F1EFB" w:rsidRPr="003C56D0">
        <w:t xml:space="preserve"> is not expected</w:t>
      </w:r>
      <w:r w:rsidR="008F1EFB">
        <w:t xml:space="preserve"> to be implemented before 31 December 2023. </w:t>
      </w:r>
    </w:p>
    <w:p w14:paraId="0F270479" w14:textId="26BAE23B" w:rsidR="00B2113D" w:rsidRDefault="00917998" w:rsidP="00415B41">
      <w:pPr>
        <w:spacing w:line="252" w:lineRule="auto"/>
      </w:pPr>
      <w:r>
        <w:t xml:space="preserve">Once the </w:t>
      </w:r>
      <w:r w:rsidR="00F95C36">
        <w:t xml:space="preserve">amended </w:t>
      </w:r>
      <w:r>
        <w:t xml:space="preserve">Australian Standards have </w:t>
      </w:r>
      <w:r w:rsidR="00F95C36">
        <w:t xml:space="preserve">been published the GTRC </w:t>
      </w:r>
      <w:r w:rsidR="00807FC5">
        <w:t>Technical Guidance Bulletin will be withdrawn.</w:t>
      </w:r>
    </w:p>
    <w:p w14:paraId="224E8CEB" w14:textId="04EF8A3E" w:rsidR="00102ED7" w:rsidRPr="00103FCD" w:rsidRDefault="00102ED7" w:rsidP="00103FCD">
      <w:pPr>
        <w:pStyle w:val="Heading3"/>
        <w:numPr>
          <w:ilvl w:val="1"/>
          <w:numId w:val="172"/>
        </w:numPr>
        <w:rPr>
          <w:color w:val="62B5E5" w:themeColor="accent3"/>
        </w:rPr>
      </w:pPr>
      <w:r w:rsidRPr="00103FCD">
        <w:rPr>
          <w:color w:val="62B5E5" w:themeColor="accent3"/>
        </w:rPr>
        <w:t>Implementation tasks</w:t>
      </w:r>
    </w:p>
    <w:p w14:paraId="3A80D289" w14:textId="7491CFA3" w:rsidR="00102ED7" w:rsidRPr="006E3089" w:rsidRDefault="00102ED7" w:rsidP="00102ED7">
      <w:pPr>
        <w:spacing w:after="120"/>
        <w:rPr>
          <w:rFonts w:asciiTheme="minorHAnsi" w:hAnsiTheme="minorHAnsi"/>
          <w:szCs w:val="16"/>
        </w:rPr>
      </w:pPr>
      <w:r w:rsidRPr="00E10A28">
        <w:rPr>
          <w:rFonts w:asciiTheme="minorHAnsi" w:hAnsiTheme="minorHAnsi"/>
          <w:szCs w:val="16"/>
        </w:rPr>
        <w:t xml:space="preserve">This section provides an overview of the tasks needed to implement the proposed </w:t>
      </w:r>
      <w:r>
        <w:rPr>
          <w:rFonts w:asciiTheme="minorHAnsi" w:hAnsiTheme="minorHAnsi"/>
          <w:szCs w:val="16"/>
        </w:rPr>
        <w:t>changes</w:t>
      </w:r>
      <w:r w:rsidRPr="00E10A28">
        <w:rPr>
          <w:rFonts w:asciiTheme="minorHAnsi" w:hAnsiTheme="minorHAnsi"/>
          <w:szCs w:val="16"/>
        </w:rPr>
        <w:t>, who is responsible and the expected timing for completion.</w:t>
      </w:r>
    </w:p>
    <w:p w14:paraId="238E6933" w14:textId="6AA43378" w:rsidR="00102ED7" w:rsidRPr="00E10A28" w:rsidRDefault="00102ED7" w:rsidP="00EC301F">
      <w:pPr>
        <w:spacing w:after="120"/>
        <w:rPr>
          <w:rFonts w:asciiTheme="minorHAnsi" w:hAnsiTheme="minorHAnsi"/>
          <w:iCs/>
          <w:color w:val="75787B" w:themeColor="accent6"/>
          <w:sz w:val="17"/>
        </w:rPr>
      </w:pPr>
      <w:r w:rsidRPr="00E10A28">
        <w:rPr>
          <w:rFonts w:asciiTheme="minorHAnsi" w:hAnsiTheme="minorHAnsi"/>
          <w:iCs/>
          <w:color w:val="75787B" w:themeColor="accent6"/>
          <w:sz w:val="17"/>
        </w:rPr>
        <w:t xml:space="preserve">Table </w:t>
      </w:r>
      <w:r w:rsidRPr="00E10A28">
        <w:rPr>
          <w:rFonts w:asciiTheme="minorHAnsi" w:hAnsiTheme="minorHAnsi"/>
          <w:iCs/>
          <w:color w:val="75787B" w:themeColor="accent6"/>
          <w:sz w:val="17"/>
        </w:rPr>
        <w:fldChar w:fldCharType="begin"/>
      </w:r>
      <w:r w:rsidRPr="00E10A28">
        <w:rPr>
          <w:rFonts w:asciiTheme="minorHAnsi" w:hAnsiTheme="minorHAnsi"/>
          <w:iCs/>
          <w:color w:val="75787B" w:themeColor="accent6"/>
          <w:sz w:val="17"/>
        </w:rPr>
        <w:instrText xml:space="preserve"> STYLEREF 1 \s </w:instrText>
      </w:r>
      <w:r w:rsidRPr="00E10A28">
        <w:rPr>
          <w:rFonts w:asciiTheme="minorHAnsi" w:hAnsiTheme="minorHAnsi"/>
          <w:iCs/>
          <w:color w:val="75787B" w:themeColor="accent6"/>
          <w:sz w:val="17"/>
        </w:rPr>
        <w:fldChar w:fldCharType="separate"/>
      </w:r>
      <w:r w:rsidR="00CD0679">
        <w:rPr>
          <w:rFonts w:asciiTheme="minorHAnsi" w:hAnsiTheme="minorHAnsi"/>
          <w:iCs/>
          <w:noProof/>
          <w:color w:val="75787B" w:themeColor="accent6"/>
          <w:sz w:val="17"/>
        </w:rPr>
        <w:t>6</w:t>
      </w:r>
      <w:r w:rsidRPr="00E10A28">
        <w:rPr>
          <w:rFonts w:asciiTheme="minorHAnsi" w:hAnsiTheme="minorHAnsi"/>
          <w:iCs/>
          <w:color w:val="75787B" w:themeColor="accent6"/>
          <w:sz w:val="17"/>
        </w:rPr>
        <w:fldChar w:fldCharType="end"/>
      </w:r>
      <w:r w:rsidRPr="00E10A28">
        <w:rPr>
          <w:rFonts w:asciiTheme="minorHAnsi" w:hAnsiTheme="minorHAnsi"/>
          <w:iCs/>
          <w:color w:val="75787B" w:themeColor="accent6"/>
          <w:sz w:val="17"/>
        </w:rPr>
        <w:noBreakHyphen/>
      </w:r>
      <w:r w:rsidRPr="00E10A28">
        <w:rPr>
          <w:rFonts w:asciiTheme="minorHAnsi" w:hAnsiTheme="minorHAnsi"/>
          <w:iCs/>
          <w:color w:val="75787B" w:themeColor="accent6"/>
          <w:sz w:val="17"/>
        </w:rPr>
        <w:fldChar w:fldCharType="begin"/>
      </w:r>
      <w:r w:rsidRPr="00E10A28">
        <w:rPr>
          <w:rFonts w:asciiTheme="minorHAnsi" w:hAnsiTheme="minorHAnsi"/>
          <w:iCs/>
          <w:color w:val="75787B" w:themeColor="accent6"/>
          <w:sz w:val="17"/>
        </w:rPr>
        <w:instrText xml:space="preserve"> SEQ Table \* ARABIC \s 1 </w:instrText>
      </w:r>
      <w:r w:rsidRPr="00E10A28">
        <w:rPr>
          <w:rFonts w:asciiTheme="minorHAnsi" w:hAnsiTheme="minorHAnsi"/>
          <w:iCs/>
          <w:color w:val="75787B" w:themeColor="accent6"/>
          <w:sz w:val="17"/>
        </w:rPr>
        <w:fldChar w:fldCharType="separate"/>
      </w:r>
      <w:r w:rsidR="00CD0679">
        <w:rPr>
          <w:rFonts w:asciiTheme="minorHAnsi" w:hAnsiTheme="minorHAnsi"/>
          <w:iCs/>
          <w:noProof/>
          <w:color w:val="75787B" w:themeColor="accent6"/>
          <w:sz w:val="17"/>
        </w:rPr>
        <w:t>1</w:t>
      </w:r>
      <w:r w:rsidRPr="00E10A28">
        <w:rPr>
          <w:rFonts w:asciiTheme="minorHAnsi" w:hAnsiTheme="minorHAnsi"/>
          <w:iCs/>
          <w:color w:val="75787B" w:themeColor="accent6"/>
          <w:sz w:val="17"/>
        </w:rPr>
        <w:fldChar w:fldCharType="end"/>
      </w:r>
      <w:r w:rsidRPr="00E10A28">
        <w:rPr>
          <w:rFonts w:asciiTheme="minorHAnsi" w:hAnsiTheme="minorHAnsi"/>
          <w:iCs/>
          <w:color w:val="75787B" w:themeColor="accent6"/>
          <w:sz w:val="17"/>
        </w:rPr>
        <w:t xml:space="preserve"> Tasks and timing</w:t>
      </w:r>
    </w:p>
    <w:tbl>
      <w:tblPr>
        <w:tblStyle w:val="Deloittetable1"/>
        <w:tblW w:w="4953" w:type="pct"/>
        <w:tblLook w:val="04A0" w:firstRow="1" w:lastRow="0" w:firstColumn="1" w:lastColumn="0" w:noHBand="0" w:noVBand="1"/>
      </w:tblPr>
      <w:tblGrid>
        <w:gridCol w:w="3385"/>
        <w:gridCol w:w="2779"/>
        <w:gridCol w:w="2777"/>
      </w:tblGrid>
      <w:tr w:rsidR="00961A57" w:rsidRPr="00103FCD" w14:paraId="42A52BBC" w14:textId="77777777" w:rsidTr="00C05212">
        <w:trPr>
          <w:cnfStyle w:val="100000000000" w:firstRow="1" w:lastRow="0" w:firstColumn="0" w:lastColumn="0" w:oddVBand="0" w:evenVBand="0" w:oddHBand="0" w:evenHBand="0" w:firstRowFirstColumn="0" w:firstRowLastColumn="0" w:lastRowFirstColumn="0" w:lastRowLastColumn="0"/>
          <w:trHeight w:val="262"/>
          <w:tblHeader/>
        </w:trPr>
        <w:tc>
          <w:tcPr>
            <w:tcW w:w="1893" w:type="pct"/>
          </w:tcPr>
          <w:p w14:paraId="2966858C" w14:textId="77777777" w:rsidR="00102ED7" w:rsidRPr="00103FCD" w:rsidRDefault="00102ED7" w:rsidP="00EF5CEE">
            <w:pPr>
              <w:spacing w:after="120"/>
              <w:ind w:right="287"/>
              <w:rPr>
                <w:rFonts w:asciiTheme="minorHAnsi" w:hAnsiTheme="minorHAnsi" w:cstheme="minorHAnsi"/>
                <w:b/>
                <w:szCs w:val="17"/>
              </w:rPr>
            </w:pPr>
            <w:r w:rsidRPr="00103FCD">
              <w:rPr>
                <w:rFonts w:asciiTheme="minorHAnsi" w:hAnsiTheme="minorHAnsi" w:cstheme="minorHAnsi"/>
                <w:b/>
                <w:szCs w:val="17"/>
              </w:rPr>
              <w:t>Task</w:t>
            </w:r>
          </w:p>
        </w:tc>
        <w:tc>
          <w:tcPr>
            <w:tcW w:w="1554" w:type="pct"/>
          </w:tcPr>
          <w:p w14:paraId="5D1E124A" w14:textId="77777777" w:rsidR="00102ED7" w:rsidRPr="00103FCD" w:rsidRDefault="00102ED7" w:rsidP="00EF5CEE">
            <w:pPr>
              <w:spacing w:after="0"/>
              <w:rPr>
                <w:rFonts w:asciiTheme="minorHAnsi" w:hAnsiTheme="minorHAnsi" w:cstheme="minorHAnsi"/>
                <w:b/>
                <w:szCs w:val="17"/>
              </w:rPr>
            </w:pPr>
            <w:r w:rsidRPr="00103FCD">
              <w:rPr>
                <w:rFonts w:asciiTheme="minorHAnsi" w:hAnsiTheme="minorHAnsi" w:cstheme="minorHAnsi"/>
                <w:b/>
                <w:szCs w:val="17"/>
              </w:rPr>
              <w:t>Responsibility</w:t>
            </w:r>
          </w:p>
        </w:tc>
        <w:tc>
          <w:tcPr>
            <w:tcW w:w="1554" w:type="pct"/>
          </w:tcPr>
          <w:p w14:paraId="65B09731" w14:textId="77777777" w:rsidR="00102ED7" w:rsidRPr="00103FCD" w:rsidRDefault="00102ED7" w:rsidP="00EF5CEE">
            <w:pPr>
              <w:spacing w:after="120"/>
              <w:rPr>
                <w:rFonts w:asciiTheme="minorHAnsi" w:hAnsiTheme="minorHAnsi" w:cstheme="minorHAnsi"/>
                <w:b/>
                <w:szCs w:val="17"/>
              </w:rPr>
            </w:pPr>
            <w:r w:rsidRPr="00103FCD">
              <w:rPr>
                <w:rFonts w:asciiTheme="minorHAnsi" w:hAnsiTheme="minorHAnsi" w:cstheme="minorHAnsi"/>
                <w:b/>
                <w:szCs w:val="17"/>
              </w:rPr>
              <w:t>Timing</w:t>
            </w:r>
          </w:p>
        </w:tc>
      </w:tr>
      <w:tr w:rsidR="00961A57" w:rsidRPr="00103FCD" w14:paraId="7666BEB8" w14:textId="77777777" w:rsidTr="00C05212">
        <w:trPr>
          <w:trHeight w:val="523"/>
        </w:trPr>
        <w:tc>
          <w:tcPr>
            <w:tcW w:w="1893" w:type="pct"/>
          </w:tcPr>
          <w:p w14:paraId="558BAB94" w14:textId="77777777" w:rsidR="00102ED7" w:rsidRPr="00103FCD" w:rsidRDefault="00102ED7" w:rsidP="00103FCD">
            <w:pPr>
              <w:spacing w:after="0"/>
              <w:ind w:right="287"/>
              <w:rPr>
                <w:rFonts w:asciiTheme="minorHAnsi" w:hAnsiTheme="minorHAnsi" w:cstheme="minorHAnsi"/>
                <w:szCs w:val="17"/>
              </w:rPr>
            </w:pPr>
            <w:r w:rsidRPr="00103FCD">
              <w:rPr>
                <w:rFonts w:asciiTheme="minorHAnsi" w:hAnsiTheme="minorHAnsi" w:cstheme="minorHAnsi"/>
                <w:szCs w:val="17"/>
              </w:rPr>
              <w:t>Industry submits project proposal to Standards Australia to amend AS/NZS 5263.1.3 and AS/NZS 5263.1.8.</w:t>
            </w:r>
          </w:p>
        </w:tc>
        <w:tc>
          <w:tcPr>
            <w:tcW w:w="1554" w:type="pct"/>
          </w:tcPr>
          <w:p w14:paraId="6A423643" w14:textId="74CA5F5A" w:rsidR="00102ED7" w:rsidRPr="00103FCD" w:rsidRDefault="00102ED7" w:rsidP="00103FCD">
            <w:pPr>
              <w:spacing w:after="0"/>
              <w:ind w:right="284"/>
              <w:contextualSpacing/>
              <w:textboxTightWrap w:val="allLines"/>
              <w:rPr>
                <w:rFonts w:asciiTheme="minorHAnsi" w:hAnsiTheme="minorHAnsi" w:cstheme="minorHAnsi"/>
                <w:szCs w:val="17"/>
              </w:rPr>
            </w:pPr>
            <w:r w:rsidRPr="00103FCD">
              <w:rPr>
                <w:rFonts w:asciiTheme="minorHAnsi" w:hAnsiTheme="minorHAnsi" w:cstheme="minorHAnsi"/>
                <w:szCs w:val="17"/>
              </w:rPr>
              <w:t>Industry</w:t>
            </w:r>
          </w:p>
        </w:tc>
        <w:tc>
          <w:tcPr>
            <w:tcW w:w="1554" w:type="pct"/>
          </w:tcPr>
          <w:p w14:paraId="09289EF4" w14:textId="12B8EA79" w:rsidR="00102ED7" w:rsidRPr="00103FCD" w:rsidRDefault="00102ED7" w:rsidP="00103FCD">
            <w:pPr>
              <w:spacing w:after="0"/>
              <w:ind w:right="284"/>
              <w:rPr>
                <w:rFonts w:asciiTheme="minorHAnsi" w:hAnsiTheme="minorHAnsi" w:cstheme="minorHAnsi"/>
                <w:szCs w:val="17"/>
              </w:rPr>
            </w:pPr>
            <w:r w:rsidRPr="00103FCD">
              <w:rPr>
                <w:rFonts w:asciiTheme="minorHAnsi" w:hAnsiTheme="minorHAnsi" w:cstheme="minorHAnsi"/>
                <w:szCs w:val="17"/>
              </w:rPr>
              <w:t>February 2021</w:t>
            </w:r>
          </w:p>
        </w:tc>
      </w:tr>
      <w:tr w:rsidR="00961A57" w:rsidRPr="00103FCD" w14:paraId="4865078E" w14:textId="77777777" w:rsidTr="00C05212">
        <w:trPr>
          <w:trHeight w:val="523"/>
        </w:trPr>
        <w:tc>
          <w:tcPr>
            <w:tcW w:w="1893" w:type="pct"/>
          </w:tcPr>
          <w:p w14:paraId="5EAF8F01" w14:textId="0F213F94" w:rsidR="00102ED7" w:rsidRPr="00103FCD" w:rsidRDefault="00102ED7" w:rsidP="00103FCD">
            <w:pPr>
              <w:spacing w:after="0"/>
              <w:ind w:right="287"/>
              <w:rPr>
                <w:rFonts w:asciiTheme="minorHAnsi" w:hAnsiTheme="minorHAnsi" w:cstheme="minorHAnsi"/>
                <w:szCs w:val="17"/>
              </w:rPr>
            </w:pPr>
            <w:r w:rsidRPr="00103FCD">
              <w:rPr>
                <w:rFonts w:asciiTheme="minorHAnsi" w:hAnsiTheme="minorHAnsi" w:cstheme="minorHAnsi"/>
                <w:szCs w:val="17"/>
              </w:rPr>
              <w:t>Amend AS/NZS 5263.1.3</w:t>
            </w:r>
            <w:r w:rsidR="00137EE2">
              <w:rPr>
                <w:rFonts w:asciiTheme="minorHAnsi" w:hAnsiTheme="minorHAnsi" w:cstheme="minorHAnsi"/>
                <w:szCs w:val="17"/>
              </w:rPr>
              <w:t xml:space="preserve"> </w:t>
            </w:r>
            <w:r w:rsidRPr="00103FCD">
              <w:rPr>
                <w:rFonts w:asciiTheme="minorHAnsi" w:hAnsiTheme="minorHAnsi" w:cstheme="minorHAnsi"/>
                <w:szCs w:val="17"/>
              </w:rPr>
              <w:t>and AS/NZS 5263.1.8 to include the new requirements.</w:t>
            </w:r>
          </w:p>
        </w:tc>
        <w:tc>
          <w:tcPr>
            <w:tcW w:w="1554" w:type="pct"/>
          </w:tcPr>
          <w:p w14:paraId="100E0470" w14:textId="77777777" w:rsidR="00102ED7" w:rsidRPr="00103FCD" w:rsidRDefault="00102ED7" w:rsidP="00103FCD">
            <w:pPr>
              <w:spacing w:after="0"/>
              <w:ind w:right="284"/>
              <w:contextualSpacing/>
              <w:textboxTightWrap w:val="allLines"/>
              <w:rPr>
                <w:rFonts w:asciiTheme="minorHAnsi" w:hAnsiTheme="minorHAnsi" w:cstheme="minorHAnsi"/>
                <w:szCs w:val="17"/>
              </w:rPr>
            </w:pPr>
            <w:r w:rsidRPr="00103FCD">
              <w:rPr>
                <w:rFonts w:asciiTheme="minorHAnsi" w:hAnsiTheme="minorHAnsi" w:cstheme="minorHAnsi"/>
                <w:szCs w:val="17"/>
              </w:rPr>
              <w:t>Standards Australia Committee AG-001 (including ESV, industry, Standards Australia)</w:t>
            </w:r>
          </w:p>
        </w:tc>
        <w:tc>
          <w:tcPr>
            <w:tcW w:w="1554" w:type="pct"/>
          </w:tcPr>
          <w:p w14:paraId="04CD05D2" w14:textId="77777777" w:rsidR="00102ED7" w:rsidRPr="00103FCD" w:rsidRDefault="00102ED7" w:rsidP="00103FCD">
            <w:pPr>
              <w:spacing w:after="0"/>
              <w:ind w:right="284"/>
              <w:rPr>
                <w:rFonts w:asciiTheme="minorHAnsi" w:hAnsiTheme="minorHAnsi" w:cstheme="minorHAnsi"/>
                <w:szCs w:val="17"/>
              </w:rPr>
            </w:pPr>
            <w:r w:rsidRPr="00103FCD">
              <w:rPr>
                <w:rFonts w:asciiTheme="minorHAnsi" w:hAnsiTheme="minorHAnsi" w:cstheme="minorHAnsi"/>
                <w:szCs w:val="17"/>
              </w:rPr>
              <w:t>March – December 2021</w:t>
            </w:r>
          </w:p>
        </w:tc>
      </w:tr>
      <w:tr w:rsidR="00961A57" w:rsidRPr="00103FCD" w14:paraId="7172ABD9" w14:textId="77777777" w:rsidTr="00C05212">
        <w:trPr>
          <w:trHeight w:val="523"/>
        </w:trPr>
        <w:tc>
          <w:tcPr>
            <w:tcW w:w="1893" w:type="pct"/>
          </w:tcPr>
          <w:p w14:paraId="66DFAA40" w14:textId="0990DAE0" w:rsidR="00102ED7" w:rsidRPr="00103FCD" w:rsidRDefault="00102ED7" w:rsidP="00103FCD">
            <w:pPr>
              <w:spacing w:after="0"/>
              <w:ind w:right="287"/>
              <w:rPr>
                <w:rFonts w:asciiTheme="minorHAnsi" w:hAnsiTheme="minorHAnsi" w:cstheme="minorHAnsi"/>
                <w:szCs w:val="17"/>
              </w:rPr>
            </w:pPr>
            <w:r w:rsidRPr="00103FCD">
              <w:rPr>
                <w:rFonts w:asciiTheme="minorHAnsi" w:hAnsiTheme="minorHAnsi" w:cstheme="minorHAnsi"/>
                <w:szCs w:val="17"/>
              </w:rPr>
              <w:t xml:space="preserve">Develop GTRC Technical Guidance Bulletin requiring the technical guidance to come into effect from 1 January 2022 until such time as AS/NZS5263.1.3 and AS/NZS 5263.1.8 </w:t>
            </w:r>
            <w:r w:rsidR="00137EE2">
              <w:rPr>
                <w:rFonts w:asciiTheme="minorHAnsi" w:hAnsiTheme="minorHAnsi" w:cstheme="minorHAnsi"/>
                <w:szCs w:val="17"/>
              </w:rPr>
              <w:t>are</w:t>
            </w:r>
            <w:r w:rsidRPr="00103FCD">
              <w:rPr>
                <w:rFonts w:asciiTheme="minorHAnsi" w:hAnsiTheme="minorHAnsi" w:cstheme="minorHAnsi"/>
                <w:szCs w:val="17"/>
              </w:rPr>
              <w:t xml:space="preserve"> amended accordingly.</w:t>
            </w:r>
          </w:p>
        </w:tc>
        <w:tc>
          <w:tcPr>
            <w:tcW w:w="1554" w:type="pct"/>
          </w:tcPr>
          <w:p w14:paraId="2D934705" w14:textId="77777777" w:rsidR="00102ED7" w:rsidRPr="00103FCD" w:rsidRDefault="00102ED7" w:rsidP="00103FCD">
            <w:pPr>
              <w:spacing w:after="0"/>
              <w:ind w:right="284"/>
              <w:contextualSpacing/>
              <w:textboxTightWrap w:val="allLines"/>
              <w:rPr>
                <w:rFonts w:asciiTheme="minorHAnsi" w:hAnsiTheme="minorHAnsi" w:cstheme="minorHAnsi"/>
                <w:szCs w:val="17"/>
              </w:rPr>
            </w:pPr>
            <w:r w:rsidRPr="00103FCD">
              <w:rPr>
                <w:rFonts w:asciiTheme="minorHAnsi" w:hAnsiTheme="minorHAnsi" w:cstheme="minorHAnsi"/>
                <w:szCs w:val="17"/>
              </w:rPr>
              <w:t>ESV</w:t>
            </w:r>
          </w:p>
        </w:tc>
        <w:tc>
          <w:tcPr>
            <w:tcW w:w="1554" w:type="pct"/>
          </w:tcPr>
          <w:p w14:paraId="061868A1" w14:textId="77777777" w:rsidR="00102ED7" w:rsidRPr="00103FCD" w:rsidRDefault="00102ED7" w:rsidP="00103FCD">
            <w:pPr>
              <w:spacing w:after="0"/>
              <w:ind w:right="284"/>
              <w:rPr>
                <w:rFonts w:asciiTheme="minorHAnsi" w:hAnsiTheme="minorHAnsi" w:cstheme="minorHAnsi"/>
                <w:szCs w:val="17"/>
              </w:rPr>
            </w:pPr>
            <w:r w:rsidRPr="00103FCD">
              <w:rPr>
                <w:rFonts w:asciiTheme="minorHAnsi" w:hAnsiTheme="minorHAnsi" w:cstheme="minorHAnsi"/>
                <w:szCs w:val="17"/>
              </w:rPr>
              <w:t>March 2021</w:t>
            </w:r>
          </w:p>
        </w:tc>
      </w:tr>
      <w:tr w:rsidR="00961A57" w:rsidRPr="00103FCD" w14:paraId="4329C552" w14:textId="77777777" w:rsidTr="00C05212">
        <w:trPr>
          <w:trHeight w:val="523"/>
        </w:trPr>
        <w:tc>
          <w:tcPr>
            <w:tcW w:w="1893" w:type="pct"/>
          </w:tcPr>
          <w:p w14:paraId="088F0DC8" w14:textId="7E821369" w:rsidR="00102ED7" w:rsidRPr="00103FCD" w:rsidRDefault="00102ED7" w:rsidP="00EF5CEE">
            <w:pPr>
              <w:spacing w:after="0"/>
              <w:ind w:right="287"/>
              <w:rPr>
                <w:rFonts w:asciiTheme="minorHAnsi" w:hAnsiTheme="minorHAnsi" w:cstheme="minorHAnsi"/>
                <w:szCs w:val="17"/>
              </w:rPr>
            </w:pPr>
            <w:r w:rsidRPr="00103FCD">
              <w:rPr>
                <w:rFonts w:asciiTheme="minorHAnsi" w:hAnsiTheme="minorHAnsi" w:cstheme="minorHAnsi"/>
                <w:szCs w:val="17"/>
              </w:rPr>
              <w:lastRenderedPageBreak/>
              <w:t xml:space="preserve">Prepare and send communication informing stakeholders and Government Departments that a </w:t>
            </w:r>
            <w:r w:rsidR="00CD0180" w:rsidRPr="00103FCD">
              <w:rPr>
                <w:rFonts w:asciiTheme="minorHAnsi" w:hAnsiTheme="minorHAnsi" w:cstheme="minorHAnsi"/>
                <w:szCs w:val="17"/>
              </w:rPr>
              <w:t>fast-tracked</w:t>
            </w:r>
            <w:r w:rsidRPr="00103FCD">
              <w:rPr>
                <w:rFonts w:asciiTheme="minorHAnsi" w:hAnsiTheme="minorHAnsi" w:cstheme="minorHAnsi"/>
                <w:szCs w:val="17"/>
              </w:rPr>
              <w:t xml:space="preserve"> </w:t>
            </w:r>
            <w:r w:rsidR="00F756EB">
              <w:rPr>
                <w:rFonts w:asciiTheme="minorHAnsi" w:hAnsiTheme="minorHAnsi" w:cstheme="minorHAnsi"/>
                <w:szCs w:val="17"/>
              </w:rPr>
              <w:t>s</w:t>
            </w:r>
            <w:r w:rsidRPr="00103FCD">
              <w:rPr>
                <w:rFonts w:asciiTheme="minorHAnsi" w:hAnsiTheme="minorHAnsi" w:cstheme="minorHAnsi"/>
                <w:szCs w:val="17"/>
              </w:rPr>
              <w:t>tandards</w:t>
            </w:r>
            <w:r w:rsidR="00F756EB">
              <w:rPr>
                <w:rFonts w:asciiTheme="minorHAnsi" w:hAnsiTheme="minorHAnsi" w:cstheme="minorHAnsi"/>
                <w:szCs w:val="17"/>
              </w:rPr>
              <w:t>-</w:t>
            </w:r>
            <w:r w:rsidRPr="00103FCD">
              <w:rPr>
                <w:rFonts w:asciiTheme="minorHAnsi" w:hAnsiTheme="minorHAnsi" w:cstheme="minorHAnsi"/>
                <w:szCs w:val="17"/>
              </w:rPr>
              <w:t>based approach will be undertaken.</w:t>
            </w:r>
            <w:r w:rsidR="006D2E1E">
              <w:rPr>
                <w:rStyle w:val="FootnoteReference"/>
                <w:rFonts w:asciiTheme="minorHAnsi" w:hAnsiTheme="minorHAnsi" w:cstheme="minorHAnsi"/>
                <w:szCs w:val="17"/>
              </w:rPr>
              <w:footnoteReference w:id="139"/>
            </w:r>
          </w:p>
        </w:tc>
        <w:tc>
          <w:tcPr>
            <w:tcW w:w="1554" w:type="pct"/>
          </w:tcPr>
          <w:p w14:paraId="73106A26" w14:textId="77777777" w:rsidR="00102ED7" w:rsidRPr="00103FCD" w:rsidRDefault="00102ED7" w:rsidP="00EF5CEE">
            <w:pPr>
              <w:spacing w:after="0"/>
              <w:ind w:right="284"/>
              <w:contextualSpacing/>
              <w:textboxTightWrap w:val="allLines"/>
              <w:rPr>
                <w:rFonts w:asciiTheme="minorHAnsi" w:hAnsiTheme="minorHAnsi" w:cstheme="minorHAnsi"/>
                <w:szCs w:val="17"/>
              </w:rPr>
            </w:pPr>
            <w:r w:rsidRPr="00103FCD">
              <w:rPr>
                <w:rFonts w:asciiTheme="minorHAnsi" w:hAnsiTheme="minorHAnsi" w:cstheme="minorHAnsi"/>
                <w:szCs w:val="17"/>
              </w:rPr>
              <w:t>DELWP</w:t>
            </w:r>
          </w:p>
        </w:tc>
        <w:tc>
          <w:tcPr>
            <w:tcW w:w="1554" w:type="pct"/>
          </w:tcPr>
          <w:p w14:paraId="57C5325C" w14:textId="433E0C33" w:rsidR="00102ED7" w:rsidRPr="00103FCD" w:rsidRDefault="005059BB" w:rsidP="00EF5CEE">
            <w:pPr>
              <w:spacing w:after="0"/>
              <w:ind w:right="284"/>
              <w:rPr>
                <w:rFonts w:asciiTheme="minorHAnsi" w:hAnsiTheme="minorHAnsi" w:cstheme="minorHAnsi"/>
                <w:szCs w:val="17"/>
              </w:rPr>
            </w:pPr>
            <w:r>
              <w:rPr>
                <w:rFonts w:asciiTheme="minorHAnsi" w:hAnsiTheme="minorHAnsi" w:cstheme="minorHAnsi"/>
                <w:szCs w:val="17"/>
              </w:rPr>
              <w:t>F</w:t>
            </w:r>
            <w:r w:rsidR="004E4C02">
              <w:rPr>
                <w:rFonts w:asciiTheme="minorHAnsi" w:hAnsiTheme="minorHAnsi" w:cstheme="minorHAnsi"/>
                <w:szCs w:val="17"/>
              </w:rPr>
              <w:t xml:space="preserve">ollowing release of the GTRC </w:t>
            </w:r>
            <w:r w:rsidR="002D62D4">
              <w:rPr>
                <w:rFonts w:asciiTheme="minorHAnsi" w:hAnsiTheme="minorHAnsi" w:cstheme="minorHAnsi"/>
                <w:szCs w:val="17"/>
              </w:rPr>
              <w:t>Technical Guida</w:t>
            </w:r>
            <w:r w:rsidR="00AF7FEF">
              <w:rPr>
                <w:rFonts w:asciiTheme="minorHAnsi" w:hAnsiTheme="minorHAnsi" w:cstheme="minorHAnsi"/>
                <w:szCs w:val="17"/>
              </w:rPr>
              <w:t>nce B</w:t>
            </w:r>
            <w:r w:rsidR="004E4C02">
              <w:rPr>
                <w:rFonts w:asciiTheme="minorHAnsi" w:hAnsiTheme="minorHAnsi" w:cstheme="minorHAnsi"/>
                <w:szCs w:val="17"/>
              </w:rPr>
              <w:t>ulletin</w:t>
            </w:r>
          </w:p>
        </w:tc>
      </w:tr>
      <w:tr w:rsidR="00961A57" w:rsidRPr="00103FCD" w14:paraId="49FE7BF3" w14:textId="77777777" w:rsidTr="00C05212">
        <w:trPr>
          <w:trHeight w:val="523"/>
        </w:trPr>
        <w:tc>
          <w:tcPr>
            <w:tcW w:w="1893" w:type="pct"/>
          </w:tcPr>
          <w:p w14:paraId="39065512" w14:textId="2D4CBAFE" w:rsidR="00102ED7" w:rsidRPr="00103FCD" w:rsidRDefault="00102ED7" w:rsidP="00EF5CEE">
            <w:pPr>
              <w:spacing w:after="0"/>
              <w:ind w:right="287"/>
              <w:rPr>
                <w:rFonts w:asciiTheme="minorHAnsi" w:hAnsiTheme="minorHAnsi" w:cstheme="minorHAnsi"/>
                <w:szCs w:val="17"/>
              </w:rPr>
            </w:pPr>
            <w:r w:rsidRPr="00103FCD">
              <w:rPr>
                <w:rFonts w:asciiTheme="minorHAnsi" w:hAnsiTheme="minorHAnsi" w:cstheme="minorHAnsi"/>
                <w:szCs w:val="17"/>
              </w:rPr>
              <w:t xml:space="preserve">Communicate to industry and undertake engagement on any issues of concern. </w:t>
            </w:r>
          </w:p>
        </w:tc>
        <w:tc>
          <w:tcPr>
            <w:tcW w:w="1554" w:type="pct"/>
          </w:tcPr>
          <w:p w14:paraId="42FA606A" w14:textId="77777777" w:rsidR="00102ED7" w:rsidRPr="00103FCD" w:rsidRDefault="00102ED7" w:rsidP="00EF5CEE">
            <w:pPr>
              <w:spacing w:after="0"/>
              <w:ind w:right="284"/>
              <w:contextualSpacing/>
              <w:textboxTightWrap w:val="allLines"/>
              <w:rPr>
                <w:rFonts w:asciiTheme="minorHAnsi" w:hAnsiTheme="minorHAnsi" w:cstheme="minorHAnsi"/>
                <w:szCs w:val="17"/>
              </w:rPr>
            </w:pPr>
            <w:r w:rsidRPr="00103FCD">
              <w:rPr>
                <w:rFonts w:asciiTheme="minorHAnsi" w:hAnsiTheme="minorHAnsi" w:cstheme="minorHAnsi"/>
                <w:szCs w:val="17"/>
              </w:rPr>
              <w:t>DELWP and ESV</w:t>
            </w:r>
          </w:p>
        </w:tc>
        <w:tc>
          <w:tcPr>
            <w:tcW w:w="1554" w:type="pct"/>
          </w:tcPr>
          <w:p w14:paraId="1A51AA49" w14:textId="77777777" w:rsidR="00102ED7" w:rsidRPr="00103FCD" w:rsidRDefault="00102ED7" w:rsidP="00EF5CEE">
            <w:pPr>
              <w:spacing w:after="0"/>
              <w:ind w:right="284"/>
              <w:rPr>
                <w:rFonts w:asciiTheme="minorHAnsi" w:hAnsiTheme="minorHAnsi" w:cstheme="minorHAnsi"/>
                <w:szCs w:val="17"/>
              </w:rPr>
            </w:pPr>
            <w:r w:rsidRPr="00103FCD">
              <w:rPr>
                <w:rFonts w:asciiTheme="minorHAnsi" w:hAnsiTheme="minorHAnsi" w:cstheme="minorHAnsi"/>
                <w:szCs w:val="17"/>
              </w:rPr>
              <w:t>Ongoing</w:t>
            </w:r>
          </w:p>
        </w:tc>
      </w:tr>
      <w:tr w:rsidR="00961A57" w:rsidRPr="00103FCD" w14:paraId="202439AB" w14:textId="77777777" w:rsidTr="00C05212">
        <w:trPr>
          <w:trHeight w:val="523"/>
        </w:trPr>
        <w:tc>
          <w:tcPr>
            <w:tcW w:w="1893" w:type="pct"/>
          </w:tcPr>
          <w:p w14:paraId="4C33F53B" w14:textId="76F788E6" w:rsidR="00063AA0" w:rsidRPr="00103FCD" w:rsidRDefault="00102ED7" w:rsidP="00103FCD">
            <w:pPr>
              <w:spacing w:after="0"/>
              <w:ind w:right="287"/>
              <w:rPr>
                <w:rFonts w:asciiTheme="minorHAnsi" w:hAnsiTheme="minorHAnsi" w:cstheme="minorHAnsi"/>
                <w:szCs w:val="17"/>
              </w:rPr>
            </w:pPr>
            <w:r w:rsidRPr="00103FCD">
              <w:rPr>
                <w:rFonts w:asciiTheme="minorHAnsi" w:hAnsiTheme="minorHAnsi" w:cstheme="minorHAnsi"/>
                <w:szCs w:val="17"/>
              </w:rPr>
              <w:t xml:space="preserve">Develop and deliver high level </w:t>
            </w:r>
            <w:r w:rsidR="00285EFD">
              <w:rPr>
                <w:rFonts w:asciiTheme="minorHAnsi" w:hAnsiTheme="minorHAnsi" w:cstheme="minorHAnsi"/>
                <w:szCs w:val="17"/>
              </w:rPr>
              <w:t>public communications</w:t>
            </w:r>
            <w:r w:rsidR="00063AA0" w:rsidRPr="00103FCD">
              <w:rPr>
                <w:rFonts w:asciiTheme="minorHAnsi" w:hAnsiTheme="minorHAnsi" w:cstheme="minorHAnsi"/>
                <w:szCs w:val="17"/>
              </w:rPr>
              <w:t xml:space="preserve"> </w:t>
            </w:r>
            <w:r w:rsidRPr="00103FCD">
              <w:rPr>
                <w:rFonts w:asciiTheme="minorHAnsi" w:hAnsiTheme="minorHAnsi" w:cstheme="minorHAnsi"/>
                <w:szCs w:val="17"/>
              </w:rPr>
              <w:t xml:space="preserve">to promote awareness of the change. </w:t>
            </w:r>
            <w:r w:rsidR="00063AA0" w:rsidRPr="00103FCD">
              <w:rPr>
                <w:rFonts w:asciiTheme="minorHAnsi" w:hAnsiTheme="minorHAnsi" w:cstheme="minorHAnsi"/>
                <w:szCs w:val="17"/>
              </w:rPr>
              <w:t>This will be delivered through the annual CO awareness campaign running over winter.</w:t>
            </w:r>
          </w:p>
          <w:p w14:paraId="0AB8170E" w14:textId="1ED120B6" w:rsidR="00102ED7" w:rsidRPr="00103FCD" w:rsidRDefault="00102ED7" w:rsidP="00103FCD">
            <w:pPr>
              <w:spacing w:after="0"/>
              <w:ind w:right="287"/>
              <w:rPr>
                <w:rFonts w:asciiTheme="minorHAnsi" w:hAnsiTheme="minorHAnsi" w:cstheme="minorHAnsi"/>
                <w:szCs w:val="17"/>
              </w:rPr>
            </w:pPr>
          </w:p>
        </w:tc>
        <w:tc>
          <w:tcPr>
            <w:tcW w:w="1554" w:type="pct"/>
          </w:tcPr>
          <w:p w14:paraId="53593CFE" w14:textId="667A93FA" w:rsidR="00102ED7" w:rsidRPr="00103FCD" w:rsidRDefault="00102ED7" w:rsidP="00103FCD">
            <w:pPr>
              <w:spacing w:after="0"/>
              <w:ind w:right="287"/>
              <w:contextualSpacing/>
              <w:textboxTightWrap w:val="allLines"/>
              <w:rPr>
                <w:rFonts w:asciiTheme="minorHAnsi" w:hAnsiTheme="minorHAnsi" w:cstheme="minorHAnsi"/>
                <w:szCs w:val="17"/>
              </w:rPr>
            </w:pPr>
            <w:r w:rsidRPr="00103FCD">
              <w:rPr>
                <w:rFonts w:asciiTheme="minorHAnsi" w:hAnsiTheme="minorHAnsi" w:cstheme="minorHAnsi"/>
                <w:szCs w:val="17"/>
              </w:rPr>
              <w:t>DELWP</w:t>
            </w:r>
            <w:r w:rsidR="00BA6120">
              <w:rPr>
                <w:rFonts w:asciiTheme="minorHAnsi" w:hAnsiTheme="minorHAnsi" w:cstheme="minorHAnsi"/>
                <w:szCs w:val="17"/>
              </w:rPr>
              <w:t xml:space="preserve"> and</w:t>
            </w:r>
            <w:r w:rsidRPr="00103FCD">
              <w:rPr>
                <w:rFonts w:asciiTheme="minorHAnsi" w:hAnsiTheme="minorHAnsi" w:cstheme="minorHAnsi"/>
                <w:szCs w:val="17"/>
              </w:rPr>
              <w:t xml:space="preserve"> ESV</w:t>
            </w:r>
          </w:p>
        </w:tc>
        <w:tc>
          <w:tcPr>
            <w:tcW w:w="1554" w:type="pct"/>
          </w:tcPr>
          <w:p w14:paraId="2185AC00" w14:textId="77777777" w:rsidR="00102ED7" w:rsidRPr="00103FCD" w:rsidRDefault="00102ED7" w:rsidP="00103FCD">
            <w:pPr>
              <w:spacing w:after="0"/>
              <w:ind w:right="287"/>
              <w:rPr>
                <w:rFonts w:asciiTheme="minorHAnsi" w:hAnsiTheme="minorHAnsi" w:cstheme="minorHAnsi"/>
                <w:szCs w:val="17"/>
              </w:rPr>
            </w:pPr>
            <w:r w:rsidRPr="00103FCD">
              <w:rPr>
                <w:rFonts w:asciiTheme="minorHAnsi" w:hAnsiTheme="minorHAnsi" w:cstheme="minorHAnsi"/>
                <w:szCs w:val="17"/>
              </w:rPr>
              <w:t xml:space="preserve"> April 2021</w:t>
            </w:r>
          </w:p>
        </w:tc>
      </w:tr>
      <w:tr w:rsidR="00961A57" w:rsidRPr="00103FCD" w14:paraId="66F90C39" w14:textId="77777777" w:rsidTr="00C05212">
        <w:trPr>
          <w:trHeight w:val="1798"/>
        </w:trPr>
        <w:tc>
          <w:tcPr>
            <w:tcW w:w="1893" w:type="pct"/>
          </w:tcPr>
          <w:p w14:paraId="2CB926CB" w14:textId="6E4C7E1F" w:rsidR="00102ED7" w:rsidRPr="00103FCD" w:rsidRDefault="00102ED7" w:rsidP="00103FCD">
            <w:pPr>
              <w:spacing w:after="0"/>
              <w:ind w:right="287"/>
              <w:rPr>
                <w:rFonts w:asciiTheme="minorHAnsi" w:hAnsiTheme="minorHAnsi" w:cstheme="minorHAnsi"/>
                <w:szCs w:val="17"/>
              </w:rPr>
            </w:pPr>
            <w:r w:rsidRPr="00103FCD">
              <w:rPr>
                <w:rFonts w:asciiTheme="minorHAnsi" w:hAnsiTheme="minorHAnsi" w:cstheme="minorHAnsi"/>
                <w:szCs w:val="17"/>
              </w:rPr>
              <w:t>Develop compliance and enforcement policy. ESV enforcement will be of the CABs where the expectation is that manufacturers have had their product assessed against the GTRC Technical Bulletin by 1 January 2022. ESV would expect and could direct CABs to suspend certificates if product is not assessed by this date.</w:t>
            </w:r>
            <w:r w:rsidR="001E61ED">
              <w:rPr>
                <w:rFonts w:asciiTheme="minorHAnsi" w:hAnsiTheme="minorHAnsi" w:cstheme="minorHAnsi"/>
                <w:szCs w:val="17"/>
              </w:rPr>
              <w:t xml:space="preserve"> The VBA will have a role in compliance and enforcement of gasfitting installations under </w:t>
            </w:r>
            <w:r w:rsidR="00636189">
              <w:rPr>
                <w:rFonts w:asciiTheme="minorHAnsi" w:hAnsiTheme="minorHAnsi" w:cstheme="minorHAnsi"/>
                <w:szCs w:val="17"/>
              </w:rPr>
              <w:t>the Victorian plumbing regulatory framework.</w:t>
            </w:r>
          </w:p>
        </w:tc>
        <w:tc>
          <w:tcPr>
            <w:tcW w:w="1554" w:type="pct"/>
          </w:tcPr>
          <w:p w14:paraId="5612148F" w14:textId="77777777" w:rsidR="00102ED7" w:rsidRPr="00103FCD" w:rsidRDefault="00102ED7" w:rsidP="00EF5CEE">
            <w:pPr>
              <w:spacing w:before="60" w:after="0"/>
              <w:ind w:right="284"/>
              <w:rPr>
                <w:rFonts w:asciiTheme="minorHAnsi" w:hAnsiTheme="minorHAnsi" w:cstheme="minorHAnsi"/>
                <w:szCs w:val="17"/>
              </w:rPr>
            </w:pPr>
            <w:r w:rsidRPr="00103FCD">
              <w:rPr>
                <w:rFonts w:asciiTheme="minorHAnsi" w:hAnsiTheme="minorHAnsi" w:cstheme="minorHAnsi"/>
                <w:szCs w:val="17"/>
              </w:rPr>
              <w:t xml:space="preserve">ESV </w:t>
            </w:r>
          </w:p>
        </w:tc>
        <w:tc>
          <w:tcPr>
            <w:tcW w:w="1554" w:type="pct"/>
          </w:tcPr>
          <w:p w14:paraId="0EAB917C" w14:textId="4C1BB11D" w:rsidR="00102ED7" w:rsidRPr="00103FCD" w:rsidRDefault="00102ED7" w:rsidP="00EF5CEE">
            <w:pPr>
              <w:spacing w:after="0"/>
              <w:ind w:right="284"/>
              <w:rPr>
                <w:rFonts w:asciiTheme="minorHAnsi" w:hAnsiTheme="minorHAnsi" w:cstheme="minorHAnsi"/>
                <w:szCs w:val="17"/>
              </w:rPr>
            </w:pPr>
            <w:r w:rsidRPr="00103FCD">
              <w:rPr>
                <w:rFonts w:asciiTheme="minorHAnsi" w:hAnsiTheme="minorHAnsi" w:cstheme="minorHAnsi"/>
                <w:szCs w:val="17"/>
              </w:rPr>
              <w:t xml:space="preserve">Finalised policy </w:t>
            </w:r>
            <w:r w:rsidR="000A5CB2">
              <w:rPr>
                <w:rFonts w:asciiTheme="minorHAnsi" w:hAnsiTheme="minorHAnsi" w:cstheme="minorHAnsi"/>
                <w:szCs w:val="17"/>
              </w:rPr>
              <w:t>prior to</w:t>
            </w:r>
            <w:r w:rsidRPr="00103FCD">
              <w:rPr>
                <w:rFonts w:asciiTheme="minorHAnsi" w:hAnsiTheme="minorHAnsi" w:cstheme="minorHAnsi"/>
                <w:szCs w:val="17"/>
              </w:rPr>
              <w:t xml:space="preserve"> implementation</w:t>
            </w:r>
            <w:r w:rsidR="007C1EF9">
              <w:rPr>
                <w:rFonts w:asciiTheme="minorHAnsi" w:hAnsiTheme="minorHAnsi" w:cstheme="minorHAnsi"/>
                <w:szCs w:val="17"/>
              </w:rPr>
              <w:t xml:space="preserve"> </w:t>
            </w:r>
            <w:r w:rsidRPr="00103FCD">
              <w:rPr>
                <w:rFonts w:asciiTheme="minorHAnsi" w:hAnsiTheme="minorHAnsi" w:cstheme="minorHAnsi"/>
                <w:szCs w:val="17"/>
              </w:rPr>
              <w:t>– before 1 January 2022.</w:t>
            </w:r>
            <w:r w:rsidR="006D2E1E">
              <w:rPr>
                <w:rStyle w:val="FootnoteReference"/>
                <w:rFonts w:asciiTheme="minorHAnsi" w:hAnsiTheme="minorHAnsi" w:cstheme="minorHAnsi"/>
                <w:szCs w:val="17"/>
              </w:rPr>
              <w:footnoteReference w:id="140"/>
            </w:r>
          </w:p>
        </w:tc>
      </w:tr>
      <w:tr w:rsidR="00961A57" w:rsidRPr="00103FCD" w14:paraId="1E42DAB7" w14:textId="77777777" w:rsidTr="00C05212">
        <w:trPr>
          <w:trHeight w:val="523"/>
        </w:trPr>
        <w:tc>
          <w:tcPr>
            <w:tcW w:w="1893" w:type="pct"/>
          </w:tcPr>
          <w:p w14:paraId="4EE295F5" w14:textId="77777777" w:rsidR="00102ED7" w:rsidRPr="00103FCD" w:rsidRDefault="00102ED7" w:rsidP="00EF5CEE">
            <w:pPr>
              <w:spacing w:after="0"/>
              <w:ind w:right="287"/>
              <w:rPr>
                <w:rFonts w:asciiTheme="minorHAnsi" w:hAnsiTheme="minorHAnsi" w:cstheme="minorHAnsi"/>
                <w:szCs w:val="17"/>
              </w:rPr>
            </w:pPr>
            <w:r w:rsidRPr="00103FCD">
              <w:rPr>
                <w:rFonts w:asciiTheme="minorHAnsi" w:hAnsiTheme="minorHAnsi" w:cstheme="minorHAnsi"/>
                <w:szCs w:val="17"/>
              </w:rPr>
              <w:t>Develop new guidance materials for manufacturers, suppliers, retailers, CABs and gasfitters to support the new Standard.</w:t>
            </w:r>
          </w:p>
        </w:tc>
        <w:tc>
          <w:tcPr>
            <w:tcW w:w="1554" w:type="pct"/>
          </w:tcPr>
          <w:p w14:paraId="659FA4A7" w14:textId="77777777" w:rsidR="00102ED7" w:rsidRPr="00103FCD" w:rsidRDefault="00102ED7" w:rsidP="00EF5CEE">
            <w:pPr>
              <w:spacing w:before="60" w:after="0"/>
              <w:ind w:right="284"/>
              <w:contextualSpacing/>
              <w:textboxTightWrap w:val="allLines"/>
              <w:rPr>
                <w:rFonts w:asciiTheme="minorHAnsi" w:hAnsiTheme="minorHAnsi" w:cstheme="minorHAnsi"/>
                <w:szCs w:val="17"/>
              </w:rPr>
            </w:pPr>
            <w:r w:rsidRPr="00103FCD">
              <w:rPr>
                <w:rFonts w:asciiTheme="minorHAnsi" w:hAnsiTheme="minorHAnsi" w:cstheme="minorHAnsi"/>
                <w:szCs w:val="17"/>
              </w:rPr>
              <w:t>ESV</w:t>
            </w:r>
          </w:p>
        </w:tc>
        <w:tc>
          <w:tcPr>
            <w:tcW w:w="1554" w:type="pct"/>
          </w:tcPr>
          <w:p w14:paraId="387C93E7" w14:textId="77777777" w:rsidR="00102ED7" w:rsidRPr="00103FCD" w:rsidRDefault="00102ED7" w:rsidP="00EF5CEE">
            <w:pPr>
              <w:spacing w:after="0"/>
              <w:ind w:right="284"/>
              <w:rPr>
                <w:rFonts w:asciiTheme="minorHAnsi" w:hAnsiTheme="minorHAnsi" w:cstheme="minorHAnsi"/>
                <w:szCs w:val="17"/>
              </w:rPr>
            </w:pPr>
            <w:r w:rsidRPr="00103FCD">
              <w:rPr>
                <w:rFonts w:asciiTheme="minorHAnsi" w:hAnsiTheme="minorHAnsi" w:cstheme="minorHAnsi"/>
                <w:szCs w:val="17"/>
              </w:rPr>
              <w:t>Guidance materials released in the lead up to the new requirements coming into effect on 1 January 2022.</w:t>
            </w:r>
          </w:p>
        </w:tc>
      </w:tr>
      <w:tr w:rsidR="00961A57" w:rsidRPr="00103FCD" w14:paraId="612489A8" w14:textId="77777777" w:rsidTr="00C05212">
        <w:trPr>
          <w:trHeight w:val="523"/>
        </w:trPr>
        <w:tc>
          <w:tcPr>
            <w:tcW w:w="1893" w:type="pct"/>
          </w:tcPr>
          <w:p w14:paraId="30AE5719" w14:textId="2D0C70F2" w:rsidR="00102ED7" w:rsidRPr="00103FCD" w:rsidRDefault="00102ED7" w:rsidP="00EF5CEE">
            <w:pPr>
              <w:spacing w:after="0"/>
              <w:ind w:right="287"/>
              <w:rPr>
                <w:rFonts w:asciiTheme="minorHAnsi" w:hAnsiTheme="minorHAnsi" w:cstheme="minorHAnsi"/>
                <w:szCs w:val="17"/>
              </w:rPr>
            </w:pPr>
            <w:r w:rsidRPr="00103FCD">
              <w:rPr>
                <w:rFonts w:asciiTheme="minorHAnsi" w:hAnsiTheme="minorHAnsi" w:cstheme="minorHAnsi"/>
                <w:szCs w:val="17"/>
              </w:rPr>
              <w:t>Develop evaluation information and data strategy.</w:t>
            </w:r>
            <w:r w:rsidR="00636189">
              <w:rPr>
                <w:rFonts w:asciiTheme="minorHAnsi" w:hAnsiTheme="minorHAnsi" w:cstheme="minorHAnsi"/>
                <w:szCs w:val="17"/>
              </w:rPr>
              <w:t xml:space="preserve"> This will include a role for </w:t>
            </w:r>
            <w:r w:rsidR="006330D2">
              <w:rPr>
                <w:rFonts w:asciiTheme="minorHAnsi" w:hAnsiTheme="minorHAnsi" w:cstheme="minorHAnsi"/>
                <w:szCs w:val="17"/>
              </w:rPr>
              <w:t xml:space="preserve">the </w:t>
            </w:r>
            <w:r w:rsidR="00636189">
              <w:rPr>
                <w:rFonts w:asciiTheme="minorHAnsi" w:hAnsiTheme="minorHAnsi" w:cstheme="minorHAnsi"/>
                <w:szCs w:val="17"/>
              </w:rPr>
              <w:t xml:space="preserve">VBA in providing </w:t>
            </w:r>
            <w:r w:rsidR="00016C0E">
              <w:t>registration and compliance certificate data</w:t>
            </w:r>
          </w:p>
        </w:tc>
        <w:tc>
          <w:tcPr>
            <w:tcW w:w="1554" w:type="pct"/>
          </w:tcPr>
          <w:p w14:paraId="2B503A71" w14:textId="77777777" w:rsidR="00102ED7" w:rsidRPr="00103FCD" w:rsidRDefault="00102ED7" w:rsidP="00EF5CEE">
            <w:pPr>
              <w:spacing w:before="60" w:after="0"/>
              <w:ind w:right="284"/>
              <w:rPr>
                <w:rFonts w:asciiTheme="minorHAnsi" w:hAnsiTheme="minorHAnsi" w:cstheme="minorHAnsi"/>
                <w:szCs w:val="17"/>
              </w:rPr>
            </w:pPr>
            <w:r w:rsidRPr="00103FCD">
              <w:rPr>
                <w:rFonts w:asciiTheme="minorHAnsi" w:hAnsiTheme="minorHAnsi" w:cstheme="minorHAnsi"/>
                <w:szCs w:val="17"/>
              </w:rPr>
              <w:t>DELWP and ESV</w:t>
            </w:r>
          </w:p>
        </w:tc>
        <w:tc>
          <w:tcPr>
            <w:tcW w:w="1554" w:type="pct"/>
          </w:tcPr>
          <w:p w14:paraId="3FDECB28" w14:textId="1875CE5C" w:rsidR="00102ED7" w:rsidRPr="00103FCD" w:rsidRDefault="00102ED7" w:rsidP="00EF5CEE">
            <w:pPr>
              <w:spacing w:after="0"/>
              <w:ind w:right="284"/>
              <w:rPr>
                <w:rFonts w:asciiTheme="minorHAnsi" w:hAnsiTheme="minorHAnsi" w:cstheme="minorHAnsi"/>
                <w:szCs w:val="17"/>
              </w:rPr>
            </w:pPr>
            <w:r w:rsidRPr="00103FCD">
              <w:rPr>
                <w:rFonts w:asciiTheme="minorHAnsi" w:hAnsiTheme="minorHAnsi" w:cstheme="minorHAnsi"/>
                <w:szCs w:val="17"/>
              </w:rPr>
              <w:t xml:space="preserve">Finalised strategy </w:t>
            </w:r>
            <w:r w:rsidR="00F37C97">
              <w:rPr>
                <w:rFonts w:asciiTheme="minorHAnsi" w:hAnsiTheme="minorHAnsi" w:cstheme="minorHAnsi"/>
                <w:szCs w:val="17"/>
              </w:rPr>
              <w:t xml:space="preserve">developed by </w:t>
            </w:r>
            <w:r w:rsidRPr="00103FCD">
              <w:rPr>
                <w:rFonts w:asciiTheme="minorHAnsi" w:hAnsiTheme="minorHAnsi" w:cstheme="minorHAnsi"/>
                <w:szCs w:val="17"/>
              </w:rPr>
              <w:t>implementation</w:t>
            </w:r>
            <w:r w:rsidR="00F37C97">
              <w:rPr>
                <w:rFonts w:asciiTheme="minorHAnsi" w:hAnsiTheme="minorHAnsi" w:cstheme="minorHAnsi"/>
                <w:szCs w:val="17"/>
              </w:rPr>
              <w:t xml:space="preserve"> </w:t>
            </w:r>
            <w:r w:rsidRPr="00103FCD">
              <w:rPr>
                <w:rFonts w:asciiTheme="minorHAnsi" w:hAnsiTheme="minorHAnsi" w:cstheme="minorHAnsi"/>
                <w:szCs w:val="17"/>
              </w:rPr>
              <w:t>– before 1 January 2022.</w:t>
            </w:r>
          </w:p>
        </w:tc>
      </w:tr>
    </w:tbl>
    <w:p w14:paraId="51C1E0D9" w14:textId="77777777" w:rsidR="00102ED7" w:rsidRPr="00E10A28" w:rsidRDefault="00102ED7" w:rsidP="00102ED7">
      <w:pPr>
        <w:spacing w:after="120"/>
        <w:rPr>
          <w:rFonts w:asciiTheme="minorHAnsi" w:hAnsiTheme="minorHAnsi"/>
          <w:sz w:val="20"/>
        </w:rPr>
      </w:pPr>
    </w:p>
    <w:p w14:paraId="0AAE23EF" w14:textId="77777777" w:rsidR="00102ED7" w:rsidRPr="00103FCD" w:rsidRDefault="00102ED7" w:rsidP="00103FCD">
      <w:pPr>
        <w:pStyle w:val="Heading3"/>
        <w:numPr>
          <w:ilvl w:val="1"/>
          <w:numId w:val="172"/>
        </w:numPr>
        <w:rPr>
          <w:color w:val="62B5E5" w:themeColor="accent3"/>
        </w:rPr>
      </w:pPr>
      <w:r w:rsidRPr="00103FCD">
        <w:rPr>
          <w:color w:val="62B5E5" w:themeColor="accent3"/>
        </w:rPr>
        <w:t xml:space="preserve">Who will be doing it? </w:t>
      </w:r>
    </w:p>
    <w:p w14:paraId="55A53528" w14:textId="3C1EB344" w:rsidR="00102ED7" w:rsidRPr="00103FCD" w:rsidRDefault="00102ED7" w:rsidP="00102ED7">
      <w:pPr>
        <w:spacing w:after="120"/>
        <w:rPr>
          <w:rFonts w:asciiTheme="minorHAnsi" w:hAnsiTheme="minorHAnsi"/>
          <w:szCs w:val="16"/>
        </w:rPr>
      </w:pPr>
      <w:r w:rsidRPr="00103FCD">
        <w:rPr>
          <w:rFonts w:asciiTheme="minorHAnsi" w:hAnsiTheme="minorHAnsi"/>
          <w:szCs w:val="16"/>
        </w:rPr>
        <w:t xml:space="preserve">Under the current regulatory framework, ESV and </w:t>
      </w:r>
      <w:r w:rsidR="006330D2">
        <w:rPr>
          <w:rFonts w:asciiTheme="minorHAnsi" w:hAnsiTheme="minorHAnsi"/>
          <w:szCs w:val="16"/>
        </w:rPr>
        <w:t xml:space="preserve">the </w:t>
      </w:r>
      <w:r w:rsidRPr="00103FCD">
        <w:rPr>
          <w:rFonts w:asciiTheme="minorHAnsi" w:hAnsiTheme="minorHAnsi"/>
          <w:szCs w:val="16"/>
        </w:rPr>
        <w:t>VBA both have separate responsibilities to enforce compliance under the</w:t>
      </w:r>
      <w:r w:rsidR="00930706">
        <w:rPr>
          <w:rFonts w:asciiTheme="minorHAnsi" w:hAnsiTheme="minorHAnsi"/>
          <w:szCs w:val="16"/>
        </w:rPr>
        <w:t xml:space="preserve"> GS Act</w:t>
      </w:r>
      <w:r w:rsidRPr="00103FCD">
        <w:rPr>
          <w:rFonts w:asciiTheme="minorHAnsi" w:hAnsiTheme="minorHAnsi"/>
          <w:szCs w:val="16"/>
        </w:rPr>
        <w:t xml:space="preserve"> and regulations.</w:t>
      </w:r>
    </w:p>
    <w:p w14:paraId="3DF51540" w14:textId="77777777" w:rsidR="00102ED7" w:rsidRPr="00C65505" w:rsidRDefault="00102ED7" w:rsidP="00102ED7">
      <w:pPr>
        <w:spacing w:after="120"/>
        <w:rPr>
          <w:rFonts w:asciiTheme="minorHAnsi" w:hAnsiTheme="minorHAnsi"/>
          <w:szCs w:val="16"/>
        </w:rPr>
      </w:pPr>
      <w:r w:rsidRPr="00103FCD">
        <w:rPr>
          <w:rFonts w:asciiTheme="minorHAnsi" w:hAnsiTheme="minorHAnsi"/>
          <w:szCs w:val="16"/>
        </w:rPr>
        <w:t>ESV will be primarily responsible for implementation of the proposed changes through the GTRC Technical Guidance Bulletin, includin</w:t>
      </w:r>
      <w:r w:rsidRPr="00C65505">
        <w:rPr>
          <w:rFonts w:asciiTheme="minorHAnsi" w:hAnsiTheme="minorHAnsi"/>
          <w:szCs w:val="16"/>
        </w:rPr>
        <w:t>g monitoring</w:t>
      </w:r>
      <w:r>
        <w:rPr>
          <w:rFonts w:asciiTheme="minorHAnsi" w:hAnsiTheme="minorHAnsi"/>
          <w:szCs w:val="16"/>
        </w:rPr>
        <w:t xml:space="preserve"> compliance through</w:t>
      </w:r>
      <w:r w:rsidRPr="00C65505">
        <w:rPr>
          <w:rFonts w:asciiTheme="minorHAnsi" w:hAnsiTheme="minorHAnsi"/>
          <w:szCs w:val="16"/>
        </w:rPr>
        <w:t xml:space="preserve"> the CAB assessment process. </w:t>
      </w:r>
    </w:p>
    <w:p w14:paraId="7E3D0A4B" w14:textId="77777777" w:rsidR="00102ED7" w:rsidRPr="00C65505" w:rsidRDefault="00102ED7" w:rsidP="00102ED7">
      <w:pPr>
        <w:spacing w:after="120"/>
        <w:rPr>
          <w:rFonts w:asciiTheme="minorHAnsi" w:hAnsiTheme="minorHAnsi"/>
          <w:szCs w:val="16"/>
        </w:rPr>
      </w:pPr>
      <w:r w:rsidRPr="00C65505">
        <w:rPr>
          <w:rFonts w:asciiTheme="minorHAnsi" w:hAnsiTheme="minorHAnsi"/>
          <w:szCs w:val="16"/>
        </w:rPr>
        <w:lastRenderedPageBreak/>
        <w:t>DELWP will lead key strategic policy development and stakeholder communications.</w:t>
      </w:r>
    </w:p>
    <w:p w14:paraId="06C0DB7B" w14:textId="402651D4" w:rsidR="00102ED7" w:rsidRPr="00407045" w:rsidRDefault="00102ED7" w:rsidP="00102ED7">
      <w:pPr>
        <w:spacing w:after="120"/>
        <w:contextualSpacing/>
        <w:textboxTightWrap w:val="allLines"/>
        <w:rPr>
          <w:rFonts w:asciiTheme="minorHAnsi" w:eastAsia="Times New Roman" w:hAnsiTheme="minorHAnsi" w:cs="Segoe UI Light"/>
          <w:lang w:eastAsia="en-AU"/>
        </w:rPr>
      </w:pPr>
      <w:r w:rsidRPr="000046DF">
        <w:rPr>
          <w:rFonts w:asciiTheme="minorHAnsi" w:eastAsia="Times New Roman" w:hAnsiTheme="minorHAnsi" w:cs="Segoe UI Light"/>
          <w:lang w:eastAsia="en-AU"/>
        </w:rPr>
        <w:t xml:space="preserve">ESV will take appropriate enforcement action where any </w:t>
      </w:r>
      <w:r w:rsidR="00517981">
        <w:rPr>
          <w:rFonts w:asciiTheme="minorHAnsi" w:eastAsia="Times New Roman" w:hAnsiTheme="minorHAnsi" w:cs="Segoe UI Light"/>
          <w:lang w:eastAsia="en-AU"/>
        </w:rPr>
        <w:t xml:space="preserve">standards or </w:t>
      </w:r>
      <w:r w:rsidR="00343456">
        <w:rPr>
          <w:rFonts w:asciiTheme="minorHAnsi" w:eastAsia="Times New Roman" w:hAnsiTheme="minorHAnsi" w:cs="Segoe UI Light"/>
          <w:lang w:eastAsia="en-AU"/>
        </w:rPr>
        <w:t xml:space="preserve">any </w:t>
      </w:r>
      <w:r w:rsidR="00517981">
        <w:rPr>
          <w:rFonts w:asciiTheme="minorHAnsi" w:eastAsia="Times New Roman" w:hAnsiTheme="minorHAnsi" w:cs="Segoe UI Light"/>
          <w:lang w:eastAsia="en-AU"/>
        </w:rPr>
        <w:t>regulations</w:t>
      </w:r>
      <w:r w:rsidR="00517981" w:rsidRPr="000046DF">
        <w:rPr>
          <w:rFonts w:asciiTheme="minorHAnsi" w:eastAsia="Times New Roman" w:hAnsiTheme="minorHAnsi" w:cs="Segoe UI Light"/>
          <w:lang w:eastAsia="en-AU"/>
        </w:rPr>
        <w:t xml:space="preserve"> </w:t>
      </w:r>
      <w:r w:rsidR="00343456">
        <w:rPr>
          <w:rFonts w:asciiTheme="minorHAnsi" w:eastAsia="Times New Roman" w:hAnsiTheme="minorHAnsi" w:cs="Segoe UI Light"/>
          <w:lang w:eastAsia="en-AU"/>
        </w:rPr>
        <w:t>under the GS</w:t>
      </w:r>
      <w:r w:rsidR="00B93A12">
        <w:rPr>
          <w:rFonts w:asciiTheme="minorHAnsi" w:eastAsia="Times New Roman" w:hAnsiTheme="minorHAnsi" w:cs="Segoe UI Light"/>
          <w:lang w:eastAsia="en-AU"/>
        </w:rPr>
        <w:t xml:space="preserve"> Act</w:t>
      </w:r>
      <w:r w:rsidR="00517981" w:rsidRPr="000046DF">
        <w:rPr>
          <w:rFonts w:asciiTheme="minorHAnsi" w:eastAsia="Times New Roman" w:hAnsiTheme="minorHAnsi" w:cs="Segoe UI Light"/>
          <w:lang w:eastAsia="en-AU"/>
        </w:rPr>
        <w:t xml:space="preserve"> </w:t>
      </w:r>
      <w:r w:rsidRPr="000046DF">
        <w:rPr>
          <w:rFonts w:asciiTheme="minorHAnsi" w:eastAsia="Times New Roman" w:hAnsiTheme="minorHAnsi" w:cs="Segoe UI Light"/>
          <w:lang w:eastAsia="en-AU"/>
        </w:rPr>
        <w:t>are found to have been breached.</w:t>
      </w:r>
    </w:p>
    <w:p w14:paraId="2FB0B774" w14:textId="77777777" w:rsidR="00102ED7" w:rsidRPr="00103FCD" w:rsidRDefault="00102ED7" w:rsidP="00103FCD">
      <w:pPr>
        <w:pStyle w:val="Heading3"/>
        <w:numPr>
          <w:ilvl w:val="1"/>
          <w:numId w:val="172"/>
        </w:numPr>
        <w:rPr>
          <w:color w:val="62B5E5" w:themeColor="accent3"/>
        </w:rPr>
      </w:pPr>
      <w:r w:rsidRPr="000276F0">
        <w:rPr>
          <w:color w:val="62B5E5" w:themeColor="accent3"/>
          <w:szCs w:val="26"/>
        </w:rPr>
        <w:t>Who will monitor implementation?</w:t>
      </w:r>
    </w:p>
    <w:p w14:paraId="297AB8B4" w14:textId="191E008B" w:rsidR="00102ED7" w:rsidRPr="002F2200" w:rsidRDefault="00102ED7" w:rsidP="00103FCD">
      <w:pPr>
        <w:spacing w:after="120"/>
        <w:rPr>
          <w:rFonts w:asciiTheme="minorHAnsi" w:hAnsiTheme="minorHAnsi"/>
          <w:szCs w:val="16"/>
        </w:rPr>
      </w:pPr>
      <w:r w:rsidRPr="00103FCD">
        <w:rPr>
          <w:rFonts w:asciiTheme="minorHAnsi" w:hAnsiTheme="minorHAnsi"/>
          <w:szCs w:val="16"/>
        </w:rPr>
        <w:t xml:space="preserve">Monitoring </w:t>
      </w:r>
      <w:r w:rsidRPr="00407045">
        <w:rPr>
          <w:rFonts w:asciiTheme="minorHAnsi" w:hAnsiTheme="minorHAnsi"/>
          <w:szCs w:val="16"/>
        </w:rPr>
        <w:t xml:space="preserve">of </w:t>
      </w:r>
      <w:r w:rsidRPr="000046DF">
        <w:rPr>
          <w:rFonts w:asciiTheme="minorHAnsi" w:hAnsiTheme="minorHAnsi"/>
          <w:szCs w:val="16"/>
        </w:rPr>
        <w:t>overall</w:t>
      </w:r>
      <w:r w:rsidRPr="00407045">
        <w:rPr>
          <w:rFonts w:asciiTheme="minorHAnsi" w:hAnsiTheme="minorHAnsi"/>
          <w:szCs w:val="16"/>
        </w:rPr>
        <w:t xml:space="preserve"> implementation, including identification and management of implementation risks, will be undertaken by DELWP, with support from ESV. </w:t>
      </w:r>
      <w:r w:rsidRPr="000046DF">
        <w:rPr>
          <w:rFonts w:asciiTheme="minorHAnsi" w:hAnsiTheme="minorHAnsi"/>
          <w:szCs w:val="16"/>
        </w:rPr>
        <w:t xml:space="preserve">ESV will monitor the implementation of </w:t>
      </w:r>
      <w:r w:rsidR="00137EE2">
        <w:rPr>
          <w:rFonts w:asciiTheme="minorHAnsi" w:hAnsiTheme="minorHAnsi"/>
          <w:szCs w:val="16"/>
        </w:rPr>
        <w:t>its</w:t>
      </w:r>
      <w:r w:rsidRPr="000046DF">
        <w:rPr>
          <w:rFonts w:asciiTheme="minorHAnsi" w:hAnsiTheme="minorHAnsi"/>
          <w:szCs w:val="16"/>
        </w:rPr>
        <w:t xml:space="preserve"> own actions and report to DELWP.</w:t>
      </w:r>
      <w:r w:rsidRPr="00E10A28">
        <w:rPr>
          <w:rFonts w:asciiTheme="minorHAnsi" w:hAnsiTheme="minorHAnsi"/>
          <w:szCs w:val="16"/>
        </w:rPr>
        <w:t xml:space="preserve"> </w:t>
      </w:r>
    </w:p>
    <w:p w14:paraId="6452ED8E" w14:textId="64844042" w:rsidR="00F23A86" w:rsidRDefault="00102ED7" w:rsidP="00075E70">
      <w:pPr>
        <w:spacing w:after="0" w:line="240" w:lineRule="auto"/>
        <w:rPr>
          <w:rFonts w:asciiTheme="minorHAnsi" w:hAnsiTheme="minorHAnsi"/>
          <w:szCs w:val="16"/>
        </w:rPr>
      </w:pPr>
      <w:r w:rsidRPr="005A75B9">
        <w:rPr>
          <w:rFonts w:asciiTheme="minorHAnsi" w:hAnsiTheme="minorHAnsi"/>
          <w:szCs w:val="16"/>
        </w:rPr>
        <w:t xml:space="preserve">DELWP and ESV will assess the implementation status of the </w:t>
      </w:r>
      <w:r w:rsidR="00652C52" w:rsidRPr="000276F0">
        <w:rPr>
          <w:rFonts w:asciiTheme="minorHAnsi" w:hAnsiTheme="minorHAnsi"/>
          <w:szCs w:val="16"/>
        </w:rPr>
        <w:t>approach described above</w:t>
      </w:r>
      <w:r w:rsidRPr="005A75B9">
        <w:rPr>
          <w:rFonts w:asciiTheme="minorHAnsi" w:hAnsiTheme="minorHAnsi"/>
          <w:szCs w:val="16"/>
        </w:rPr>
        <w:t xml:space="preserve"> throughout 2021</w:t>
      </w:r>
      <w:r w:rsidR="00935600">
        <w:rPr>
          <w:rFonts w:asciiTheme="minorHAnsi" w:hAnsiTheme="minorHAnsi"/>
          <w:szCs w:val="16"/>
        </w:rPr>
        <w:t xml:space="preserve">, noting that it is ultimately out of the Victorian Government’s control. </w:t>
      </w:r>
    </w:p>
    <w:p w14:paraId="124A56FD" w14:textId="77777777" w:rsidR="007A320E" w:rsidRDefault="007A320E" w:rsidP="00075E70">
      <w:pPr>
        <w:spacing w:after="0" w:line="240" w:lineRule="auto"/>
        <w:rPr>
          <w:rFonts w:asciiTheme="minorHAnsi" w:hAnsiTheme="minorHAnsi"/>
          <w:szCs w:val="16"/>
        </w:rPr>
      </w:pPr>
    </w:p>
    <w:p w14:paraId="52797CFD" w14:textId="3599A575" w:rsidR="00672DE8" w:rsidRDefault="00672DE8" w:rsidP="00672DE8">
      <w:pPr>
        <w:spacing w:after="0" w:line="240" w:lineRule="auto"/>
      </w:pPr>
      <w:r>
        <w:t xml:space="preserve">It is </w:t>
      </w:r>
      <w:r w:rsidR="00872559">
        <w:t xml:space="preserve">unlikely but </w:t>
      </w:r>
      <w:r>
        <w:t xml:space="preserve">possible that </w:t>
      </w:r>
      <w:r w:rsidRPr="00797FF5">
        <w:t>not all members of the GTRC</w:t>
      </w:r>
      <w:r>
        <w:t xml:space="preserve"> (i.e. every state in Australia) may agree to the GTRC Bulletin</w:t>
      </w:r>
      <w:r w:rsidR="009F389C">
        <w:t xml:space="preserve"> (</w:t>
      </w:r>
      <w:r>
        <w:t>although advice from ESV is that all members agree at the present time</w:t>
      </w:r>
      <w:r w:rsidR="009F389C">
        <w:t>)</w:t>
      </w:r>
      <w:r>
        <w:t xml:space="preserve">. </w:t>
      </w:r>
      <w:r w:rsidR="00935600">
        <w:t>In the even</w:t>
      </w:r>
      <w:r w:rsidR="009F389C">
        <w:t xml:space="preserve">t that the </w:t>
      </w:r>
      <w:r w:rsidR="00872559">
        <w:t xml:space="preserve">process is not proceeding as expected </w:t>
      </w:r>
      <w:r w:rsidR="000E1569" w:rsidRPr="00826650">
        <w:rPr>
          <w:rFonts w:asciiTheme="minorHAnsi" w:hAnsiTheme="minorHAnsi"/>
          <w:szCs w:val="16"/>
        </w:rPr>
        <w:t>by the second half of 2021</w:t>
      </w:r>
      <w:r w:rsidR="00D61D56">
        <w:rPr>
          <w:rFonts w:asciiTheme="minorHAnsi" w:hAnsiTheme="minorHAnsi"/>
          <w:szCs w:val="16"/>
        </w:rPr>
        <w:t xml:space="preserve"> </w:t>
      </w:r>
      <w:r w:rsidR="00872559">
        <w:t>then</w:t>
      </w:r>
      <w:r w:rsidR="000E1569">
        <w:t>:</w:t>
      </w:r>
    </w:p>
    <w:p w14:paraId="28D44445" w14:textId="77777777" w:rsidR="00872559" w:rsidRDefault="00872559" w:rsidP="00672DE8">
      <w:pPr>
        <w:spacing w:after="0" w:line="240" w:lineRule="auto"/>
      </w:pPr>
    </w:p>
    <w:p w14:paraId="19BCDCDD" w14:textId="3A8824E7" w:rsidR="00672DE8" w:rsidRDefault="00672DE8" w:rsidP="000276F0">
      <w:pPr>
        <w:pStyle w:val="ListParagraph"/>
        <w:numPr>
          <w:ilvl w:val="0"/>
          <w:numId w:val="260"/>
        </w:numPr>
        <w:spacing w:after="0" w:line="240" w:lineRule="auto"/>
        <w:contextualSpacing w:val="0"/>
      </w:pPr>
      <w:r>
        <w:t>ESV can release a Victoria</w:t>
      </w:r>
      <w:r w:rsidR="000E1569">
        <w:t>-</w:t>
      </w:r>
      <w:r>
        <w:t>specific bulletin if necessary</w:t>
      </w:r>
      <w:r w:rsidR="002247EE">
        <w:t xml:space="preserve"> or </w:t>
      </w:r>
      <w:r w:rsidR="002247EE" w:rsidRPr="00433C52">
        <w:rPr>
          <w:rFonts w:asciiTheme="minorHAnsi" w:hAnsiTheme="minorHAnsi"/>
          <w:szCs w:val="16"/>
        </w:rPr>
        <w:t>consider using its statutory powers under the</w:t>
      </w:r>
      <w:r w:rsidR="00930706">
        <w:rPr>
          <w:rFonts w:asciiTheme="minorHAnsi" w:hAnsiTheme="minorHAnsi"/>
          <w:szCs w:val="16"/>
        </w:rPr>
        <w:t xml:space="preserve"> GS Act</w:t>
      </w:r>
      <w:r w:rsidR="002247EE" w:rsidRPr="00433C52">
        <w:rPr>
          <w:rFonts w:asciiTheme="minorHAnsi" w:hAnsiTheme="minorHAnsi"/>
          <w:i/>
          <w:iCs/>
          <w:szCs w:val="16"/>
        </w:rPr>
        <w:t xml:space="preserve"> </w:t>
      </w:r>
      <w:r w:rsidR="002247EE" w:rsidRPr="00433C52">
        <w:rPr>
          <w:rFonts w:asciiTheme="minorHAnsi" w:hAnsiTheme="minorHAnsi"/>
          <w:szCs w:val="16"/>
        </w:rPr>
        <w:t>to affect certification, sale and supply of OFGSHs</w:t>
      </w:r>
    </w:p>
    <w:p w14:paraId="5ACB7EC2" w14:textId="1BA8A171" w:rsidR="00F23A86" w:rsidRPr="000276F0" w:rsidRDefault="000E1569" w:rsidP="000276F0">
      <w:pPr>
        <w:pStyle w:val="ListParagraph"/>
        <w:numPr>
          <w:ilvl w:val="0"/>
          <w:numId w:val="260"/>
        </w:numPr>
        <w:spacing w:after="0" w:line="240" w:lineRule="auto"/>
        <w:contextualSpacing w:val="0"/>
      </w:pPr>
      <w:r w:rsidRPr="00004831">
        <w:rPr>
          <w:rFonts w:asciiTheme="minorHAnsi" w:hAnsiTheme="minorHAnsi"/>
          <w:szCs w:val="16"/>
        </w:rPr>
        <w:t>DELWP w</w:t>
      </w:r>
      <w:r w:rsidR="00D61D56">
        <w:rPr>
          <w:rFonts w:asciiTheme="minorHAnsi" w:hAnsiTheme="minorHAnsi"/>
          <w:szCs w:val="16"/>
        </w:rPr>
        <w:t>ill</w:t>
      </w:r>
      <w:r w:rsidRPr="00004831">
        <w:rPr>
          <w:rFonts w:asciiTheme="minorHAnsi" w:hAnsiTheme="minorHAnsi"/>
          <w:szCs w:val="16"/>
        </w:rPr>
        <w:t xml:space="preserve"> give consideration to implementing a restriction on the installation of OFGSHs through amendments to the Gas Safety (Gas Installation) Regulations. </w:t>
      </w:r>
      <w:r>
        <w:rPr>
          <w:rFonts w:asciiTheme="minorHAnsi" w:hAnsiTheme="minorHAnsi"/>
          <w:szCs w:val="16"/>
        </w:rPr>
        <w:t xml:space="preserve">Draft amendments </w:t>
      </w:r>
      <w:r w:rsidR="00264CF0">
        <w:rPr>
          <w:rFonts w:asciiTheme="minorHAnsi" w:hAnsiTheme="minorHAnsi"/>
          <w:szCs w:val="16"/>
        </w:rPr>
        <w:t xml:space="preserve">to the Regulations </w:t>
      </w:r>
      <w:r>
        <w:rPr>
          <w:rFonts w:asciiTheme="minorHAnsi" w:hAnsiTheme="minorHAnsi"/>
          <w:szCs w:val="16"/>
        </w:rPr>
        <w:t xml:space="preserve">are set out in Appendix D.  </w:t>
      </w:r>
    </w:p>
    <w:p w14:paraId="3477B69F" w14:textId="77777777" w:rsidR="001A5FC7" w:rsidRPr="00BC1409" w:rsidRDefault="001A5FC7" w:rsidP="005024F8">
      <w:pPr>
        <w:pStyle w:val="Heading1"/>
        <w:ind w:left="794" w:hanging="794"/>
        <w:rPr>
          <w:rFonts w:asciiTheme="minorHAnsi" w:hAnsiTheme="minorHAnsi"/>
        </w:rPr>
      </w:pPr>
      <w:bookmarkStart w:id="246" w:name="_Toc42159452"/>
      <w:bookmarkStart w:id="247" w:name="_Toc43146918"/>
      <w:bookmarkStart w:id="248" w:name="_Toc59612291"/>
      <w:bookmarkEnd w:id="244"/>
      <w:bookmarkEnd w:id="245"/>
      <w:r w:rsidRPr="00BC1409">
        <w:rPr>
          <w:rFonts w:asciiTheme="minorHAnsi" w:hAnsiTheme="minorHAnsi"/>
        </w:rPr>
        <w:lastRenderedPageBreak/>
        <w:t>Evaluation strategy</w:t>
      </w:r>
      <w:bookmarkEnd w:id="246"/>
      <w:bookmarkEnd w:id="247"/>
      <w:bookmarkEnd w:id="248"/>
    </w:p>
    <w:p w14:paraId="5CFF54E0" w14:textId="79E264C3" w:rsidR="003720D2" w:rsidRPr="00FF5BFF" w:rsidRDefault="003720D2" w:rsidP="00FF5BFF">
      <w:pPr>
        <w:pStyle w:val="Heading3"/>
        <w:numPr>
          <w:ilvl w:val="1"/>
          <w:numId w:val="172"/>
        </w:numPr>
        <w:rPr>
          <w:color w:val="62B5E5" w:themeColor="accent3"/>
        </w:rPr>
      </w:pPr>
      <w:bookmarkStart w:id="249" w:name="_Toc42159453"/>
      <w:bookmarkStart w:id="250" w:name="_Toc43146919"/>
      <w:r w:rsidRPr="00FF5BFF">
        <w:rPr>
          <w:color w:val="62B5E5" w:themeColor="accent3"/>
        </w:rPr>
        <w:t>Purpose</w:t>
      </w:r>
    </w:p>
    <w:p w14:paraId="4A67FF79" w14:textId="79A058D9" w:rsidR="003720D2" w:rsidRPr="003720D2" w:rsidRDefault="003720D2" w:rsidP="003720D2">
      <w:pPr>
        <w:spacing w:after="120"/>
        <w:rPr>
          <w:rFonts w:asciiTheme="minorHAnsi" w:hAnsiTheme="minorHAnsi" w:cs="Segoe UI Light"/>
        </w:rPr>
      </w:pPr>
      <w:r w:rsidRPr="003720D2">
        <w:rPr>
          <w:rFonts w:asciiTheme="minorHAnsi" w:hAnsiTheme="minorHAnsi" w:cs="Segoe UI Light"/>
        </w:rPr>
        <w:t xml:space="preserve">This evaluation strategy has been developed to evaluate the effectiveness and efficiency of the </w:t>
      </w:r>
      <w:r w:rsidR="00F10961" w:rsidRPr="00023AD0">
        <w:rPr>
          <w:rFonts w:asciiTheme="minorHAnsi" w:hAnsiTheme="minorHAnsi" w:cs="Segoe UI Light"/>
        </w:rPr>
        <w:t>preferred option</w:t>
      </w:r>
      <w:r w:rsidR="00A9027A" w:rsidRPr="00023AD0">
        <w:rPr>
          <w:rFonts w:asciiTheme="minorHAnsi" w:hAnsiTheme="minorHAnsi" w:cs="Segoe UI Light"/>
        </w:rPr>
        <w:t xml:space="preserve">, which is the </w:t>
      </w:r>
      <w:r w:rsidR="000E28A2" w:rsidRPr="00023AD0">
        <w:rPr>
          <w:rFonts w:asciiTheme="minorHAnsi" w:hAnsiTheme="minorHAnsi" w:cs="Segoe UI Light"/>
        </w:rPr>
        <w:t>fast-tracked</w:t>
      </w:r>
      <w:r w:rsidR="00A9027A" w:rsidRPr="00023AD0">
        <w:rPr>
          <w:rFonts w:asciiTheme="minorHAnsi" w:hAnsiTheme="minorHAnsi" w:cs="Segoe UI Light"/>
        </w:rPr>
        <w:t xml:space="preserve"> standards</w:t>
      </w:r>
      <w:r w:rsidR="00F756EB">
        <w:rPr>
          <w:rFonts w:asciiTheme="minorHAnsi" w:hAnsiTheme="minorHAnsi" w:cs="Segoe UI Light"/>
        </w:rPr>
        <w:t>-</w:t>
      </w:r>
      <w:r w:rsidR="00A9027A" w:rsidRPr="00023AD0">
        <w:rPr>
          <w:rFonts w:asciiTheme="minorHAnsi" w:hAnsiTheme="minorHAnsi" w:cs="Segoe UI Light"/>
        </w:rPr>
        <w:t>based approach</w:t>
      </w:r>
      <w:r w:rsidR="00F10961" w:rsidRPr="00023AD0">
        <w:rPr>
          <w:rFonts w:asciiTheme="minorHAnsi" w:hAnsiTheme="minorHAnsi" w:cs="Segoe UI Light"/>
        </w:rPr>
        <w:t>.</w:t>
      </w:r>
    </w:p>
    <w:p w14:paraId="12C0A697" w14:textId="77777777" w:rsidR="003720D2" w:rsidRPr="003720D2" w:rsidRDefault="003720D2" w:rsidP="003720D2">
      <w:pPr>
        <w:spacing w:after="120"/>
        <w:rPr>
          <w:rFonts w:asciiTheme="minorHAnsi" w:hAnsiTheme="minorHAnsi" w:cs="Segoe UI Light"/>
        </w:rPr>
      </w:pPr>
      <w:r w:rsidRPr="003720D2">
        <w:rPr>
          <w:rFonts w:asciiTheme="minorHAnsi" w:hAnsiTheme="minorHAnsi" w:cs="Segoe UI Light"/>
        </w:rPr>
        <w:t xml:space="preserve">As per the </w:t>
      </w:r>
      <w:r w:rsidRPr="003720D2">
        <w:rPr>
          <w:rFonts w:asciiTheme="minorHAnsi" w:hAnsiTheme="minorHAnsi" w:cs="Segoe UI Light"/>
          <w:i/>
        </w:rPr>
        <w:t>Victorian Guide to Regulation</w:t>
      </w:r>
      <w:r w:rsidRPr="003720D2">
        <w:rPr>
          <w:rFonts w:asciiTheme="minorHAnsi" w:hAnsiTheme="minorHAnsi" w:cs="Segoe UI Light"/>
          <w:vertAlign w:val="superscript"/>
        </w:rPr>
        <w:footnoteReference w:id="141"/>
      </w:r>
      <w:r w:rsidRPr="003720D2">
        <w:rPr>
          <w:rFonts w:asciiTheme="minorHAnsi" w:hAnsiTheme="minorHAnsi" w:cs="Segoe UI Light"/>
        </w:rPr>
        <w:t xml:space="preserve"> the key elements of the evaluation strategy are as follows: </w:t>
      </w:r>
    </w:p>
    <w:p w14:paraId="03C3BC56" w14:textId="4965BD6D" w:rsidR="003720D2" w:rsidRPr="003720D2" w:rsidRDefault="003720D2" w:rsidP="003720D2">
      <w:pPr>
        <w:numPr>
          <w:ilvl w:val="0"/>
          <w:numId w:val="54"/>
        </w:numPr>
        <w:spacing w:after="0"/>
        <w:ind w:left="360"/>
        <w:contextualSpacing/>
        <w:textboxTightWrap w:val="allLines"/>
        <w:rPr>
          <w:rFonts w:asciiTheme="minorHAnsi" w:hAnsiTheme="minorHAnsi" w:cs="Segoe UI Light"/>
        </w:rPr>
      </w:pPr>
      <w:r w:rsidRPr="003720D2">
        <w:rPr>
          <w:rFonts w:asciiTheme="minorHAnsi" w:hAnsiTheme="minorHAnsi" w:cs="Segoe UI Light"/>
        </w:rPr>
        <w:t>What will be evaluated</w:t>
      </w:r>
      <w:r w:rsidR="00755942">
        <w:rPr>
          <w:rFonts w:asciiTheme="minorHAnsi" w:hAnsiTheme="minorHAnsi" w:cs="Segoe UI Light"/>
        </w:rPr>
        <w:t>?</w:t>
      </w:r>
    </w:p>
    <w:p w14:paraId="071CDBAE" w14:textId="5F20DE6E" w:rsidR="003720D2" w:rsidRPr="003720D2" w:rsidRDefault="003720D2" w:rsidP="003720D2">
      <w:pPr>
        <w:numPr>
          <w:ilvl w:val="0"/>
          <w:numId w:val="54"/>
        </w:numPr>
        <w:spacing w:after="0"/>
        <w:ind w:left="360"/>
        <w:contextualSpacing/>
        <w:textboxTightWrap w:val="allLines"/>
        <w:rPr>
          <w:rFonts w:asciiTheme="minorHAnsi" w:hAnsiTheme="minorHAnsi" w:cs="Segoe UI Light"/>
        </w:rPr>
      </w:pPr>
      <w:r w:rsidRPr="003720D2">
        <w:rPr>
          <w:rFonts w:asciiTheme="minorHAnsi" w:hAnsiTheme="minorHAnsi" w:cs="Segoe UI Light"/>
        </w:rPr>
        <w:t>How it will be done</w:t>
      </w:r>
      <w:r w:rsidR="00755942">
        <w:rPr>
          <w:rFonts w:asciiTheme="minorHAnsi" w:hAnsiTheme="minorHAnsi" w:cs="Segoe UI Light"/>
        </w:rPr>
        <w:t>?</w:t>
      </w:r>
    </w:p>
    <w:p w14:paraId="79244AAB" w14:textId="0B020804" w:rsidR="003720D2" w:rsidRPr="003720D2" w:rsidRDefault="003720D2" w:rsidP="003720D2">
      <w:pPr>
        <w:numPr>
          <w:ilvl w:val="0"/>
          <w:numId w:val="54"/>
        </w:numPr>
        <w:spacing w:after="0"/>
        <w:ind w:left="360"/>
        <w:contextualSpacing/>
        <w:textboxTightWrap w:val="allLines"/>
        <w:rPr>
          <w:rFonts w:asciiTheme="minorHAnsi" w:hAnsiTheme="minorHAnsi" w:cs="Segoe UI Light"/>
        </w:rPr>
      </w:pPr>
      <w:r w:rsidRPr="003720D2">
        <w:rPr>
          <w:rFonts w:asciiTheme="minorHAnsi" w:hAnsiTheme="minorHAnsi" w:cs="Segoe UI Light"/>
        </w:rPr>
        <w:t>Who will do it</w:t>
      </w:r>
      <w:r w:rsidR="00755942">
        <w:rPr>
          <w:rFonts w:asciiTheme="minorHAnsi" w:hAnsiTheme="minorHAnsi" w:cs="Segoe UI Light"/>
        </w:rPr>
        <w:t>?</w:t>
      </w:r>
    </w:p>
    <w:p w14:paraId="005185A0" w14:textId="238D1196" w:rsidR="003720D2" w:rsidRPr="003720D2" w:rsidRDefault="003720D2" w:rsidP="003720D2">
      <w:pPr>
        <w:numPr>
          <w:ilvl w:val="0"/>
          <w:numId w:val="54"/>
        </w:numPr>
        <w:spacing w:after="120"/>
        <w:ind w:left="360"/>
        <w:contextualSpacing/>
        <w:textboxTightWrap w:val="allLines"/>
        <w:rPr>
          <w:rFonts w:asciiTheme="minorHAnsi" w:hAnsiTheme="minorHAnsi" w:cs="Segoe UI Light"/>
        </w:rPr>
      </w:pPr>
      <w:r w:rsidRPr="003720D2">
        <w:rPr>
          <w:rFonts w:asciiTheme="minorHAnsi" w:hAnsiTheme="minorHAnsi" w:cs="Segoe UI Light"/>
        </w:rPr>
        <w:t>When it will be done</w:t>
      </w:r>
      <w:r w:rsidR="00755942">
        <w:rPr>
          <w:rFonts w:asciiTheme="minorHAnsi" w:hAnsiTheme="minorHAnsi" w:cs="Segoe UI Light"/>
        </w:rPr>
        <w:t>?</w:t>
      </w:r>
    </w:p>
    <w:p w14:paraId="527FF635" w14:textId="77777777" w:rsidR="003720D2" w:rsidRPr="00FF5BFF" w:rsidRDefault="003720D2" w:rsidP="00FF5BFF">
      <w:pPr>
        <w:pStyle w:val="Heading3"/>
        <w:numPr>
          <w:ilvl w:val="1"/>
          <w:numId w:val="172"/>
        </w:numPr>
        <w:rPr>
          <w:color w:val="62B5E5" w:themeColor="accent3"/>
        </w:rPr>
      </w:pPr>
      <w:r w:rsidRPr="00FF5BFF">
        <w:rPr>
          <w:color w:val="62B5E5" w:themeColor="accent3"/>
        </w:rPr>
        <w:t>What will be evaluated</w:t>
      </w:r>
    </w:p>
    <w:p w14:paraId="12153A1B" w14:textId="6E302B2D" w:rsidR="003720D2" w:rsidRPr="003720D2" w:rsidRDefault="003720D2" w:rsidP="003720D2">
      <w:pPr>
        <w:spacing w:after="120"/>
        <w:rPr>
          <w:rFonts w:asciiTheme="minorHAnsi" w:hAnsiTheme="minorHAnsi" w:cs="Segoe UI Light"/>
          <w:iCs/>
        </w:rPr>
      </w:pPr>
      <w:r w:rsidRPr="003720D2">
        <w:rPr>
          <w:rFonts w:asciiTheme="minorHAnsi" w:hAnsiTheme="minorHAnsi" w:cs="Segoe UI Light"/>
          <w:iCs/>
        </w:rPr>
        <w:t xml:space="preserve">The evaluation will measure whether the </w:t>
      </w:r>
      <w:r w:rsidR="006971E7" w:rsidRPr="00023AD0">
        <w:rPr>
          <w:rFonts w:asciiTheme="minorHAnsi" w:hAnsiTheme="minorHAnsi" w:cs="Segoe UI Light"/>
          <w:iCs/>
        </w:rPr>
        <w:t>preferred option meets its</w:t>
      </w:r>
      <w:r w:rsidRPr="003720D2">
        <w:rPr>
          <w:rFonts w:asciiTheme="minorHAnsi" w:hAnsiTheme="minorHAnsi" w:cs="Segoe UI Light"/>
          <w:iCs/>
        </w:rPr>
        <w:t xml:space="preserve"> objectives and </w:t>
      </w:r>
      <w:r w:rsidR="00B231F9" w:rsidRPr="003720D2">
        <w:rPr>
          <w:rFonts w:asciiTheme="minorHAnsi" w:hAnsiTheme="minorHAnsi" w:cs="Segoe UI Light"/>
          <w:iCs/>
        </w:rPr>
        <w:t>achieve</w:t>
      </w:r>
      <w:r w:rsidR="00B231F9">
        <w:rPr>
          <w:rFonts w:asciiTheme="minorHAnsi" w:hAnsiTheme="minorHAnsi" w:cs="Segoe UI Light"/>
          <w:iCs/>
        </w:rPr>
        <w:t>s</w:t>
      </w:r>
      <w:r w:rsidR="00B231F9" w:rsidRPr="003720D2">
        <w:rPr>
          <w:rFonts w:asciiTheme="minorHAnsi" w:hAnsiTheme="minorHAnsi" w:cs="Segoe UI Light"/>
          <w:iCs/>
        </w:rPr>
        <w:t xml:space="preserve"> </w:t>
      </w:r>
      <w:r w:rsidRPr="003720D2">
        <w:rPr>
          <w:rFonts w:asciiTheme="minorHAnsi" w:hAnsiTheme="minorHAnsi" w:cs="Segoe UI Light"/>
          <w:iCs/>
        </w:rPr>
        <w:t>their desired outcomes.</w:t>
      </w:r>
    </w:p>
    <w:p w14:paraId="5362E06B" w14:textId="48F5578E" w:rsidR="003720D2" w:rsidRPr="00435E98" w:rsidRDefault="003720D2" w:rsidP="00435E98">
      <w:pPr>
        <w:spacing w:after="120"/>
        <w:rPr>
          <w:rFonts w:asciiTheme="minorHAnsi" w:hAnsiTheme="minorHAnsi" w:cs="Segoe UI Light"/>
        </w:rPr>
      </w:pPr>
      <w:r w:rsidRPr="003720D2">
        <w:t>As set out in section 2.</w:t>
      </w:r>
      <w:r w:rsidR="00B231F9">
        <w:t>3</w:t>
      </w:r>
      <w:r w:rsidRPr="003720D2">
        <w:t xml:space="preserve">, the primary objective of the </w:t>
      </w:r>
      <w:r w:rsidR="006971E7" w:rsidRPr="00023AD0">
        <w:t xml:space="preserve">phase out of </w:t>
      </w:r>
      <w:r w:rsidR="000932DA">
        <w:t xml:space="preserve">OFGSHs </w:t>
      </w:r>
      <w:r w:rsidRPr="003720D2">
        <w:t xml:space="preserve">is </w:t>
      </w:r>
      <w:r w:rsidRPr="00023AD0">
        <w:t xml:space="preserve">to ensure the </w:t>
      </w:r>
      <w:r w:rsidR="00147E40">
        <w:t xml:space="preserve">health </w:t>
      </w:r>
      <w:r w:rsidRPr="00023AD0">
        <w:t>safety of the community by reducin</w:t>
      </w:r>
      <w:r w:rsidRPr="00435E98">
        <w:rPr>
          <w:rFonts w:asciiTheme="minorHAnsi" w:hAnsiTheme="minorHAnsi" w:cs="Segoe UI Light"/>
        </w:rPr>
        <w:t xml:space="preserve">g the risk of CO exposure from </w:t>
      </w:r>
      <w:r w:rsidR="00147E40">
        <w:rPr>
          <w:rFonts w:asciiTheme="minorHAnsi" w:hAnsiTheme="minorHAnsi" w:cs="Segoe UI Light"/>
        </w:rPr>
        <w:t xml:space="preserve">new </w:t>
      </w:r>
      <w:r w:rsidRPr="00435E98">
        <w:rPr>
          <w:rFonts w:asciiTheme="minorHAnsi" w:hAnsiTheme="minorHAnsi" w:cs="Segoe UI Light"/>
        </w:rPr>
        <w:t xml:space="preserve">OFGSHs in Victoria. </w:t>
      </w:r>
    </w:p>
    <w:p w14:paraId="13485512" w14:textId="4DB1DBF0" w:rsidR="003720D2" w:rsidRPr="00900EB8" w:rsidRDefault="003720D2" w:rsidP="003720D2">
      <w:pPr>
        <w:spacing w:after="120"/>
        <w:rPr>
          <w:rFonts w:asciiTheme="minorHAnsi" w:hAnsiTheme="minorHAnsi" w:cs="Segoe UI Light"/>
        </w:rPr>
      </w:pPr>
      <w:r w:rsidRPr="00435E98">
        <w:rPr>
          <w:rFonts w:asciiTheme="minorHAnsi" w:hAnsiTheme="minorHAnsi" w:cs="Segoe UI Light"/>
        </w:rPr>
        <w:t>An evaluati</w:t>
      </w:r>
      <w:r w:rsidRPr="003720D2">
        <w:rPr>
          <w:rFonts w:asciiTheme="minorHAnsi" w:hAnsiTheme="minorHAnsi" w:cs="Segoe UI Light"/>
        </w:rPr>
        <w:t>on logic map highlighting the activities, outputs and outcomes underpinning the</w:t>
      </w:r>
      <w:r w:rsidR="008C6156">
        <w:rPr>
          <w:rFonts w:asciiTheme="minorHAnsi" w:hAnsiTheme="minorHAnsi" w:cs="Segoe UI Light"/>
        </w:rPr>
        <w:t>se</w:t>
      </w:r>
      <w:r w:rsidRPr="003720D2">
        <w:rPr>
          <w:rFonts w:asciiTheme="minorHAnsi" w:hAnsiTheme="minorHAnsi" w:cs="Segoe UI Light"/>
        </w:rPr>
        <w:t xml:space="preserve"> objectives is set out in </w:t>
      </w:r>
      <w:r w:rsidR="000508EF">
        <w:rPr>
          <w:rFonts w:asciiTheme="minorHAnsi" w:hAnsiTheme="minorHAnsi" w:cs="Segoe UI Light"/>
        </w:rPr>
        <w:fldChar w:fldCharType="begin"/>
      </w:r>
      <w:r w:rsidR="000508EF">
        <w:rPr>
          <w:rFonts w:asciiTheme="minorHAnsi" w:hAnsiTheme="minorHAnsi" w:cs="Segoe UI Light"/>
        </w:rPr>
        <w:instrText xml:space="preserve"> REF _Ref56415287 \h  \* MERGEFORMAT </w:instrText>
      </w:r>
      <w:r w:rsidR="000508EF">
        <w:rPr>
          <w:rFonts w:asciiTheme="minorHAnsi" w:hAnsiTheme="minorHAnsi" w:cs="Segoe UI Light"/>
        </w:rPr>
      </w:r>
      <w:r w:rsidR="000508EF">
        <w:rPr>
          <w:rFonts w:asciiTheme="minorHAnsi" w:hAnsiTheme="minorHAnsi" w:cs="Segoe UI Light"/>
        </w:rPr>
        <w:fldChar w:fldCharType="separate"/>
      </w:r>
      <w:r w:rsidR="00CD0679" w:rsidRPr="00CD0679">
        <w:rPr>
          <w:rFonts w:asciiTheme="minorHAnsi" w:hAnsiTheme="minorHAnsi" w:cs="Segoe UI Light"/>
        </w:rPr>
        <w:t>Figure 7.1</w:t>
      </w:r>
      <w:r w:rsidR="000508EF">
        <w:rPr>
          <w:rFonts w:asciiTheme="minorHAnsi" w:hAnsiTheme="minorHAnsi" w:cs="Segoe UI Light"/>
        </w:rPr>
        <w:fldChar w:fldCharType="end"/>
      </w:r>
      <w:r w:rsidRPr="000508EF">
        <w:rPr>
          <w:rFonts w:asciiTheme="minorHAnsi" w:hAnsiTheme="minorHAnsi" w:cs="Segoe UI Light"/>
        </w:rPr>
        <w:t xml:space="preserve">. The logic map defines the objectives and the strategies or activities that will be used to achieve those objectives. </w:t>
      </w:r>
    </w:p>
    <w:p w14:paraId="58F4521A" w14:textId="00F4085C" w:rsidR="009C78AF" w:rsidRDefault="003720D2" w:rsidP="003720D2">
      <w:pPr>
        <w:spacing w:after="120"/>
        <w:rPr>
          <w:rFonts w:asciiTheme="minorHAnsi" w:hAnsiTheme="minorHAnsi" w:cs="Segoe UI Light"/>
          <w:iCs/>
        </w:rPr>
      </w:pPr>
      <w:r w:rsidRPr="009C2596">
        <w:rPr>
          <w:rFonts w:asciiTheme="minorHAnsi" w:hAnsiTheme="minorHAnsi" w:cs="Segoe UI Light"/>
        </w:rPr>
        <w:t xml:space="preserve">The effectiveness of the </w:t>
      </w:r>
      <w:r w:rsidR="00EA1537" w:rsidRPr="009C2596">
        <w:rPr>
          <w:rFonts w:asciiTheme="minorHAnsi" w:hAnsiTheme="minorHAnsi" w:cs="Segoe UI Light"/>
        </w:rPr>
        <w:t>preferred option</w:t>
      </w:r>
      <w:r w:rsidRPr="003720D2">
        <w:rPr>
          <w:rFonts w:asciiTheme="minorHAnsi" w:hAnsiTheme="minorHAnsi" w:cs="Segoe UI Light"/>
          <w:iCs/>
        </w:rPr>
        <w:t xml:space="preserve"> will be measured by reduction in illnesses and deaths as a result of CO poisoning from OFGSHs. Given some data issues (discussed further in section </w:t>
      </w:r>
      <w:r w:rsidR="00147E40">
        <w:rPr>
          <w:rFonts w:asciiTheme="minorHAnsi" w:hAnsiTheme="minorHAnsi" w:cs="Segoe UI Light"/>
          <w:iCs/>
        </w:rPr>
        <w:t>7</w:t>
      </w:r>
      <w:r w:rsidRPr="003720D2">
        <w:rPr>
          <w:rFonts w:asciiTheme="minorHAnsi" w:hAnsiTheme="minorHAnsi" w:cs="Segoe UI Light"/>
          <w:iCs/>
        </w:rPr>
        <w:t>.3</w:t>
      </w:r>
      <w:r w:rsidR="008D4231">
        <w:rPr>
          <w:rFonts w:asciiTheme="minorHAnsi" w:hAnsiTheme="minorHAnsi" w:cs="Segoe UI Light"/>
          <w:iCs/>
        </w:rPr>
        <w:t>.4</w:t>
      </w:r>
      <w:r w:rsidRPr="003720D2">
        <w:rPr>
          <w:rFonts w:asciiTheme="minorHAnsi" w:hAnsiTheme="minorHAnsi" w:cs="Segoe UI Light"/>
          <w:iCs/>
        </w:rPr>
        <w:t xml:space="preserve">), effectiveness of the </w:t>
      </w:r>
      <w:r w:rsidR="00EA1537" w:rsidRPr="00023AD0">
        <w:rPr>
          <w:rFonts w:asciiTheme="minorHAnsi" w:hAnsiTheme="minorHAnsi" w:cs="Segoe UI Light"/>
          <w:iCs/>
        </w:rPr>
        <w:t>preferred option</w:t>
      </w:r>
      <w:r w:rsidRPr="003720D2">
        <w:rPr>
          <w:rFonts w:asciiTheme="minorHAnsi" w:hAnsiTheme="minorHAnsi" w:cs="Segoe UI Light"/>
          <w:iCs/>
        </w:rPr>
        <w:t xml:space="preserve"> will also be measured by outputs such as number of OFGSHs sold and enforcement activities. </w:t>
      </w:r>
    </w:p>
    <w:p w14:paraId="2CF150AB" w14:textId="77777777" w:rsidR="009C78AF" w:rsidRDefault="009C78AF">
      <w:pPr>
        <w:spacing w:after="0"/>
        <w:rPr>
          <w:rFonts w:asciiTheme="minorHAnsi" w:hAnsiTheme="minorHAnsi" w:cs="Segoe UI Light"/>
          <w:iCs/>
        </w:rPr>
      </w:pPr>
      <w:r>
        <w:rPr>
          <w:rFonts w:asciiTheme="minorHAnsi" w:hAnsiTheme="minorHAnsi" w:cs="Segoe UI Light"/>
          <w:iCs/>
        </w:rPr>
        <w:br w:type="page"/>
      </w:r>
    </w:p>
    <w:p w14:paraId="2A0AF209" w14:textId="77777777" w:rsidR="003720D2" w:rsidRPr="003720D2" w:rsidRDefault="003720D2" w:rsidP="003720D2">
      <w:pPr>
        <w:spacing w:after="120"/>
        <w:rPr>
          <w:rFonts w:asciiTheme="minorHAnsi" w:hAnsiTheme="minorHAnsi" w:cs="Segoe UI Light"/>
          <w:iCs/>
        </w:rPr>
      </w:pPr>
    </w:p>
    <w:p w14:paraId="03900057" w14:textId="60693991" w:rsidR="0028420D" w:rsidRDefault="003720D2" w:rsidP="004D6579">
      <w:pPr>
        <w:spacing w:after="120"/>
        <w:rPr>
          <w:rFonts w:asciiTheme="minorHAnsi" w:hAnsiTheme="minorHAnsi"/>
          <w:iCs/>
          <w:color w:val="75787B" w:themeColor="accent6"/>
          <w:sz w:val="17"/>
        </w:rPr>
      </w:pPr>
      <w:bookmarkStart w:id="251" w:name="_Ref56415287"/>
      <w:r w:rsidRPr="003720D2">
        <w:rPr>
          <w:rFonts w:asciiTheme="minorHAnsi" w:hAnsiTheme="minorHAnsi"/>
          <w:iCs/>
          <w:color w:val="75787B" w:themeColor="accent6"/>
          <w:sz w:val="17"/>
        </w:rPr>
        <w:t xml:space="preserve">Figure </w:t>
      </w:r>
      <w:r w:rsidRPr="003720D2">
        <w:rPr>
          <w:rFonts w:asciiTheme="minorHAnsi" w:hAnsiTheme="minorHAnsi"/>
          <w:iCs/>
          <w:color w:val="75787B" w:themeColor="accent6"/>
          <w:sz w:val="17"/>
        </w:rPr>
        <w:fldChar w:fldCharType="begin"/>
      </w:r>
      <w:r w:rsidRPr="003720D2">
        <w:rPr>
          <w:rFonts w:asciiTheme="minorHAnsi" w:hAnsiTheme="minorHAnsi"/>
          <w:iCs/>
          <w:color w:val="75787B" w:themeColor="accent6"/>
          <w:sz w:val="17"/>
        </w:rPr>
        <w:instrText xml:space="preserve"> STYLEREF 1 \s </w:instrText>
      </w:r>
      <w:r w:rsidRPr="003720D2">
        <w:rPr>
          <w:rFonts w:asciiTheme="minorHAnsi" w:hAnsiTheme="minorHAnsi"/>
          <w:iCs/>
          <w:color w:val="75787B" w:themeColor="accent6"/>
          <w:sz w:val="17"/>
        </w:rPr>
        <w:fldChar w:fldCharType="separate"/>
      </w:r>
      <w:r w:rsidR="00CD0679">
        <w:rPr>
          <w:rFonts w:asciiTheme="minorHAnsi" w:hAnsiTheme="minorHAnsi"/>
          <w:iCs/>
          <w:noProof/>
          <w:color w:val="75787B" w:themeColor="accent6"/>
          <w:sz w:val="17"/>
        </w:rPr>
        <w:t>7</w:t>
      </w:r>
      <w:r w:rsidRPr="003720D2">
        <w:rPr>
          <w:rFonts w:asciiTheme="minorHAnsi" w:hAnsiTheme="minorHAnsi"/>
          <w:iCs/>
          <w:color w:val="75787B" w:themeColor="accent6"/>
          <w:sz w:val="17"/>
        </w:rPr>
        <w:fldChar w:fldCharType="end"/>
      </w:r>
      <w:r w:rsidRPr="003720D2">
        <w:rPr>
          <w:rFonts w:asciiTheme="minorHAnsi" w:hAnsiTheme="minorHAnsi"/>
          <w:iCs/>
          <w:color w:val="75787B" w:themeColor="accent6"/>
          <w:sz w:val="17"/>
        </w:rPr>
        <w:t>.</w:t>
      </w:r>
      <w:r w:rsidRPr="003720D2">
        <w:rPr>
          <w:rFonts w:asciiTheme="minorHAnsi" w:hAnsiTheme="minorHAnsi"/>
          <w:iCs/>
          <w:color w:val="75787B" w:themeColor="accent6"/>
          <w:sz w:val="17"/>
        </w:rPr>
        <w:fldChar w:fldCharType="begin"/>
      </w:r>
      <w:r w:rsidRPr="003720D2">
        <w:rPr>
          <w:rFonts w:asciiTheme="minorHAnsi" w:hAnsiTheme="minorHAnsi"/>
          <w:iCs/>
          <w:color w:val="75787B" w:themeColor="accent6"/>
          <w:sz w:val="17"/>
        </w:rPr>
        <w:instrText xml:space="preserve"> SEQ Figure \* ARABIC \s 1 </w:instrText>
      </w:r>
      <w:r w:rsidRPr="003720D2">
        <w:rPr>
          <w:rFonts w:asciiTheme="minorHAnsi" w:hAnsiTheme="minorHAnsi"/>
          <w:iCs/>
          <w:color w:val="75787B" w:themeColor="accent6"/>
          <w:sz w:val="17"/>
        </w:rPr>
        <w:fldChar w:fldCharType="separate"/>
      </w:r>
      <w:r w:rsidR="00CD0679">
        <w:rPr>
          <w:rFonts w:asciiTheme="minorHAnsi" w:hAnsiTheme="minorHAnsi"/>
          <w:iCs/>
          <w:noProof/>
          <w:color w:val="75787B" w:themeColor="accent6"/>
          <w:sz w:val="17"/>
        </w:rPr>
        <w:t>1</w:t>
      </w:r>
      <w:r w:rsidRPr="003720D2">
        <w:rPr>
          <w:rFonts w:asciiTheme="minorHAnsi" w:hAnsiTheme="minorHAnsi"/>
          <w:iCs/>
          <w:color w:val="75787B" w:themeColor="accent6"/>
          <w:sz w:val="17"/>
        </w:rPr>
        <w:fldChar w:fldCharType="end"/>
      </w:r>
      <w:bookmarkEnd w:id="251"/>
      <w:r w:rsidRPr="003720D2">
        <w:rPr>
          <w:rFonts w:asciiTheme="minorHAnsi" w:hAnsiTheme="minorHAnsi"/>
          <w:iCs/>
          <w:color w:val="75787B" w:themeColor="accent6"/>
          <w:sz w:val="17"/>
        </w:rPr>
        <w:t xml:space="preserve"> Evaluation logic map</w:t>
      </w:r>
      <w:r w:rsidR="00EB12B4">
        <w:rPr>
          <w:rFonts w:asciiTheme="minorHAnsi" w:hAnsiTheme="minorHAnsi"/>
          <w:iCs/>
          <w:color w:val="75787B" w:themeColor="accent6"/>
          <w:sz w:val="17"/>
        </w:rPr>
        <w:t xml:space="preserve"> </w:t>
      </w:r>
    </w:p>
    <w:p w14:paraId="2297FD58" w14:textId="77777777" w:rsidR="008C7AF8" w:rsidRDefault="008C7AF8" w:rsidP="008C7AF8">
      <w:pPr>
        <w:spacing w:after="120"/>
        <w:rPr>
          <w:rFonts w:asciiTheme="minorHAnsi" w:hAnsiTheme="minorHAnsi" w:cs="Segoe UI Light"/>
          <w:sz w:val="20"/>
          <w:szCs w:val="20"/>
        </w:rPr>
      </w:pPr>
      <w:r>
        <w:rPr>
          <w:noProof/>
        </w:rPr>
        <w:drawing>
          <wp:inline distT="0" distB="0" distL="0" distR="0" wp14:anchorId="70BFDBC5" wp14:editId="248E59CB">
            <wp:extent cx="5334002" cy="3423428"/>
            <wp:effectExtent l="0" t="0" r="0" b="5715"/>
            <wp:docPr id="8" name="Picture 8" descr="Figure 7.1 Evaluation logic map highlighting the activities, outputs and outcomes underpinning regulatory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8">
                      <a:extLst>
                        <a:ext uri="{28A0092B-C50C-407E-A947-70E740481C1C}">
                          <a14:useLocalDpi xmlns:a14="http://schemas.microsoft.com/office/drawing/2010/main" val="0"/>
                        </a:ext>
                      </a:extLst>
                    </a:blip>
                    <a:stretch>
                      <a:fillRect/>
                    </a:stretch>
                  </pic:blipFill>
                  <pic:spPr>
                    <a:xfrm>
                      <a:off x="0" y="0"/>
                      <a:ext cx="5334002" cy="3423428"/>
                    </a:xfrm>
                    <a:prstGeom prst="rect">
                      <a:avLst/>
                    </a:prstGeom>
                  </pic:spPr>
                </pic:pic>
              </a:graphicData>
            </a:graphic>
          </wp:inline>
        </w:drawing>
      </w:r>
    </w:p>
    <w:p w14:paraId="1FD16794" w14:textId="15C5A6B1" w:rsidR="003720D2" w:rsidRPr="003720D2" w:rsidRDefault="008C7AF8" w:rsidP="00C05212">
      <w:pPr>
        <w:pStyle w:val="Source"/>
        <w:rPr>
          <w:rFonts w:asciiTheme="minorHAnsi" w:hAnsiTheme="minorHAnsi" w:cs="Segoe UI Light"/>
          <w:sz w:val="20"/>
          <w:szCs w:val="20"/>
        </w:rPr>
      </w:pPr>
      <w:r>
        <w:t>Source: Deloitte Access Economics</w:t>
      </w:r>
    </w:p>
    <w:p w14:paraId="3F7F51DD" w14:textId="77777777" w:rsidR="003720D2" w:rsidRPr="00FF5BFF" w:rsidRDefault="003720D2" w:rsidP="00FF5BFF">
      <w:pPr>
        <w:pStyle w:val="Heading3"/>
        <w:numPr>
          <w:ilvl w:val="1"/>
          <w:numId w:val="172"/>
        </w:numPr>
        <w:rPr>
          <w:color w:val="62B5E5" w:themeColor="accent3"/>
        </w:rPr>
      </w:pPr>
      <w:r w:rsidRPr="00FF5BFF">
        <w:rPr>
          <w:color w:val="62B5E5" w:themeColor="accent3"/>
        </w:rPr>
        <w:t>How it will be done</w:t>
      </w:r>
    </w:p>
    <w:p w14:paraId="12744E80" w14:textId="77777777" w:rsidR="003720D2" w:rsidRPr="003720D2" w:rsidRDefault="003720D2" w:rsidP="004D6579">
      <w:pPr>
        <w:pStyle w:val="Heading3"/>
      </w:pPr>
      <w:r w:rsidRPr="003720D2">
        <w:t>Design</w:t>
      </w:r>
    </w:p>
    <w:p w14:paraId="12F4355B" w14:textId="676ED473" w:rsidR="003720D2" w:rsidRPr="003720D2" w:rsidRDefault="003720D2" w:rsidP="003720D2">
      <w:pPr>
        <w:spacing w:after="120"/>
        <w:rPr>
          <w:rFonts w:asciiTheme="minorHAnsi" w:hAnsiTheme="minorHAnsi" w:cs="Segoe UI Light"/>
        </w:rPr>
      </w:pPr>
      <w:r w:rsidRPr="003720D2">
        <w:rPr>
          <w:rFonts w:asciiTheme="minorHAnsi" w:hAnsiTheme="minorHAnsi" w:cs="Segoe UI Light"/>
        </w:rPr>
        <w:t xml:space="preserve">The design of the evaluation comprises information collection </w:t>
      </w:r>
      <w:r w:rsidR="00C10071" w:rsidRPr="00023AD0">
        <w:rPr>
          <w:rFonts w:asciiTheme="minorHAnsi" w:hAnsiTheme="minorHAnsi" w:cs="Segoe UI Light"/>
        </w:rPr>
        <w:t xml:space="preserve">before and after the introduction of the preferred option </w:t>
      </w:r>
      <w:r w:rsidRPr="003720D2">
        <w:rPr>
          <w:rFonts w:asciiTheme="minorHAnsi" w:hAnsiTheme="minorHAnsi" w:cs="Segoe UI Light"/>
        </w:rPr>
        <w:t xml:space="preserve">to assess how and whether change has occurred, and in what direction. </w:t>
      </w:r>
      <w:r w:rsidR="00A9027A" w:rsidRPr="00023AD0">
        <w:rPr>
          <w:rFonts w:asciiTheme="minorHAnsi" w:hAnsiTheme="minorHAnsi" w:cs="Segoe UI Light"/>
        </w:rPr>
        <w:t>Measure of “</w:t>
      </w:r>
      <w:r w:rsidRPr="003720D2">
        <w:rPr>
          <w:rFonts w:asciiTheme="minorHAnsi" w:hAnsiTheme="minorHAnsi" w:cs="Segoe UI Light"/>
        </w:rPr>
        <w:t>Before</w:t>
      </w:r>
      <w:r w:rsidR="00A9027A" w:rsidRPr="00023AD0">
        <w:rPr>
          <w:rFonts w:asciiTheme="minorHAnsi" w:hAnsiTheme="minorHAnsi" w:cs="Segoe UI Light"/>
        </w:rPr>
        <w:t>” the introduction of the preferred option</w:t>
      </w:r>
      <w:r w:rsidRPr="003720D2">
        <w:rPr>
          <w:rFonts w:asciiTheme="minorHAnsi" w:hAnsiTheme="minorHAnsi" w:cs="Segoe UI Light"/>
        </w:rPr>
        <w:t xml:space="preserve"> is the baseline measure of outcomes. </w:t>
      </w:r>
    </w:p>
    <w:p w14:paraId="3DAFA805" w14:textId="77777777" w:rsidR="003720D2" w:rsidRPr="003720D2" w:rsidRDefault="003720D2" w:rsidP="003720D2">
      <w:pPr>
        <w:spacing w:after="120"/>
        <w:rPr>
          <w:rFonts w:asciiTheme="minorHAnsi" w:hAnsiTheme="minorHAnsi" w:cs="Segoe UI Light"/>
        </w:rPr>
      </w:pPr>
      <w:r w:rsidRPr="003720D2">
        <w:rPr>
          <w:rFonts w:asciiTheme="minorHAnsi" w:hAnsiTheme="minorHAnsi" w:cs="Segoe UI Light"/>
        </w:rPr>
        <w:t>The evaluation will adopt a mix of both qualitative and quantitative methods.</w:t>
      </w:r>
    </w:p>
    <w:p w14:paraId="28F8196B" w14:textId="77777777" w:rsidR="00C15BDC" w:rsidRPr="00342A3F" w:rsidRDefault="00C15BDC" w:rsidP="00C15BDC">
      <w:pPr>
        <w:spacing w:after="120"/>
        <w:rPr>
          <w:rFonts w:cs="Segoe UI Light"/>
        </w:rPr>
      </w:pPr>
      <w:r w:rsidRPr="00342A3F">
        <w:rPr>
          <w:rFonts w:cs="Segoe UI Light"/>
        </w:rPr>
        <w:t xml:space="preserve">Qualitative evaluation methods will draw on stakeholder consultation (such as interview and surveys) with organisations and individuals that are impacted by the change: </w:t>
      </w:r>
    </w:p>
    <w:p w14:paraId="50F3F05E" w14:textId="6F9E1347" w:rsidR="00C15BDC" w:rsidRPr="00342A3F" w:rsidRDefault="00C15BDC" w:rsidP="00C15BDC">
      <w:pPr>
        <w:pStyle w:val="ListParagraph"/>
        <w:numPr>
          <w:ilvl w:val="0"/>
          <w:numId w:val="131"/>
        </w:numPr>
      </w:pPr>
      <w:r w:rsidRPr="00342A3F">
        <w:t>DELWP, ESV, DHHS</w:t>
      </w:r>
      <w:r w:rsidR="00932A01">
        <w:t>, CAV</w:t>
      </w:r>
      <w:r w:rsidRPr="00342A3F">
        <w:t xml:space="preserve"> and other Victorian Government Departments and agencies as appropriate </w:t>
      </w:r>
    </w:p>
    <w:p w14:paraId="3515EC7A" w14:textId="1E566F46" w:rsidR="00264CF0" w:rsidRDefault="002466EF" w:rsidP="00C15BDC">
      <w:pPr>
        <w:pStyle w:val="ListParagraph"/>
        <w:numPr>
          <w:ilvl w:val="0"/>
          <w:numId w:val="131"/>
        </w:numPr>
      </w:pPr>
      <w:r>
        <w:t>CABs, r</w:t>
      </w:r>
      <w:r w:rsidR="00C15BDC" w:rsidRPr="00342A3F">
        <w:t>etailers, suppliers, manufacturing businesses and industry groups</w:t>
      </w:r>
    </w:p>
    <w:p w14:paraId="39591F77" w14:textId="74F79A3B" w:rsidR="00C15BDC" w:rsidRPr="00342A3F" w:rsidRDefault="00264CF0" w:rsidP="00C15BDC">
      <w:pPr>
        <w:pStyle w:val="ListParagraph"/>
        <w:numPr>
          <w:ilvl w:val="0"/>
          <w:numId w:val="131"/>
        </w:numPr>
      </w:pPr>
      <w:r>
        <w:t>Health professionals</w:t>
      </w:r>
      <w:r w:rsidR="00152F5E">
        <w:t>.</w:t>
      </w:r>
    </w:p>
    <w:p w14:paraId="6C335A40" w14:textId="0ACBB1E6" w:rsidR="003720D2" w:rsidRPr="003720D2" w:rsidRDefault="003720D2" w:rsidP="003720D2">
      <w:pPr>
        <w:spacing w:after="120"/>
        <w:contextualSpacing/>
        <w:textboxTightWrap w:val="allLines"/>
        <w:rPr>
          <w:rFonts w:asciiTheme="minorHAnsi" w:hAnsiTheme="minorHAnsi" w:cs="Segoe UI Light"/>
        </w:rPr>
      </w:pPr>
      <w:r w:rsidRPr="003720D2">
        <w:rPr>
          <w:rFonts w:asciiTheme="minorHAnsi" w:hAnsiTheme="minorHAnsi" w:cs="Segoe UI Light"/>
        </w:rPr>
        <w:t xml:space="preserve">This will enable </w:t>
      </w:r>
      <w:r w:rsidR="00152F5E">
        <w:rPr>
          <w:rFonts w:asciiTheme="minorHAnsi" w:hAnsiTheme="minorHAnsi" w:cs="Segoe UI Light"/>
        </w:rPr>
        <w:t xml:space="preserve">the </w:t>
      </w:r>
      <w:r w:rsidRPr="003720D2">
        <w:rPr>
          <w:rFonts w:asciiTheme="minorHAnsi" w:hAnsiTheme="minorHAnsi" w:cs="Segoe UI Light"/>
        </w:rPr>
        <w:t xml:space="preserve">collection of information regarding, for example: </w:t>
      </w:r>
    </w:p>
    <w:p w14:paraId="091A469C" w14:textId="3BAFC014" w:rsidR="003720D2" w:rsidRPr="00096B3A" w:rsidRDefault="003720D2" w:rsidP="00096B3A">
      <w:pPr>
        <w:pStyle w:val="ListParagraph"/>
        <w:numPr>
          <w:ilvl w:val="0"/>
          <w:numId w:val="131"/>
        </w:numPr>
      </w:pPr>
      <w:r w:rsidRPr="00096B3A">
        <w:t xml:space="preserve">Issues encountered by ESV regarding administration, compliance and enforcement </w:t>
      </w:r>
    </w:p>
    <w:p w14:paraId="50137DCD" w14:textId="3ED38B96" w:rsidR="003720D2" w:rsidRPr="00096B3A" w:rsidRDefault="003720D2" w:rsidP="00096B3A">
      <w:pPr>
        <w:pStyle w:val="ListParagraph"/>
        <w:numPr>
          <w:ilvl w:val="0"/>
          <w:numId w:val="131"/>
        </w:numPr>
      </w:pPr>
      <w:r w:rsidRPr="00096B3A">
        <w:t xml:space="preserve">Stakeholders’ understanding of the proposed </w:t>
      </w:r>
      <w:r w:rsidR="00DC26CE">
        <w:t>standards</w:t>
      </w:r>
      <w:r w:rsidR="00F756EB">
        <w:t>-</w:t>
      </w:r>
      <w:r w:rsidR="00DC26CE">
        <w:t>based approach</w:t>
      </w:r>
      <w:r w:rsidRPr="00096B3A">
        <w:t xml:space="preserve">, costs of compliance and changes in behaviour brought about by the </w:t>
      </w:r>
      <w:r w:rsidR="00005A9B" w:rsidRPr="00096B3A">
        <w:t>change</w:t>
      </w:r>
    </w:p>
    <w:p w14:paraId="78A1CD0C" w14:textId="6D1D6B8E" w:rsidR="003720D2" w:rsidRPr="000276F0" w:rsidRDefault="00005A9B" w:rsidP="000276F0">
      <w:pPr>
        <w:pStyle w:val="ListParagraph"/>
        <w:numPr>
          <w:ilvl w:val="0"/>
          <w:numId w:val="131"/>
        </w:numPr>
        <w:rPr>
          <w:rFonts w:asciiTheme="minorHAnsi" w:hAnsiTheme="minorHAnsi" w:cs="Segoe UI Light"/>
        </w:rPr>
      </w:pPr>
      <w:r w:rsidRPr="00096B3A">
        <w:t>Any h</w:t>
      </w:r>
      <w:r w:rsidR="003720D2" w:rsidRPr="00096B3A">
        <w:t>ealth impacts</w:t>
      </w:r>
      <w:r w:rsidRPr="00096B3A">
        <w:t>.</w:t>
      </w:r>
    </w:p>
    <w:p w14:paraId="72444A94" w14:textId="66139A40" w:rsidR="003720D2" w:rsidRPr="003720D2" w:rsidRDefault="003720D2" w:rsidP="003720D2">
      <w:pPr>
        <w:spacing w:after="120"/>
        <w:rPr>
          <w:rFonts w:asciiTheme="minorHAnsi" w:hAnsiTheme="minorHAnsi" w:cs="Segoe UI Light"/>
        </w:rPr>
      </w:pPr>
      <w:r w:rsidRPr="003720D2">
        <w:rPr>
          <w:rFonts w:asciiTheme="minorHAnsi" w:hAnsiTheme="minorHAnsi" w:cs="Segoe UI Light"/>
        </w:rPr>
        <w:t xml:space="preserve">The quantitative method of evaluation will involve assessment of baseline data against </w:t>
      </w:r>
      <w:r w:rsidR="009A4411" w:rsidRPr="00023AD0">
        <w:rPr>
          <w:rFonts w:asciiTheme="minorHAnsi" w:hAnsiTheme="minorHAnsi" w:cs="Segoe UI Light"/>
        </w:rPr>
        <w:t>data collected after the introduction of the preferred option</w:t>
      </w:r>
      <w:r w:rsidRPr="00023AD0">
        <w:rPr>
          <w:rFonts w:asciiTheme="minorHAnsi" w:hAnsiTheme="minorHAnsi" w:cs="Segoe UI Light"/>
        </w:rPr>
        <w:t>.</w:t>
      </w:r>
      <w:r w:rsidRPr="003720D2">
        <w:rPr>
          <w:rFonts w:asciiTheme="minorHAnsi" w:hAnsiTheme="minorHAnsi" w:cs="Segoe UI Light"/>
        </w:rPr>
        <w:t xml:space="preserve"> Specific methodologies for the collection and analysis of data will vary depending on the indicator in question.</w:t>
      </w:r>
    </w:p>
    <w:p w14:paraId="40EE0E78" w14:textId="77777777" w:rsidR="003720D2" w:rsidRPr="003720D2" w:rsidRDefault="003720D2" w:rsidP="004D6579">
      <w:pPr>
        <w:pStyle w:val="Heading3"/>
      </w:pPr>
      <w:r w:rsidRPr="003720D2">
        <w:t>Establishing a baseline</w:t>
      </w:r>
    </w:p>
    <w:p w14:paraId="07ADF16E" w14:textId="35F5AD50" w:rsidR="003720D2" w:rsidRPr="003720D2" w:rsidRDefault="003720D2" w:rsidP="003720D2">
      <w:pPr>
        <w:spacing w:after="120"/>
        <w:rPr>
          <w:rFonts w:asciiTheme="minorHAnsi" w:eastAsia="Times New Roman" w:hAnsiTheme="minorHAnsi"/>
          <w:sz w:val="16"/>
          <w:szCs w:val="16"/>
        </w:rPr>
      </w:pPr>
      <w:r w:rsidRPr="003720D2">
        <w:rPr>
          <w:rFonts w:asciiTheme="minorHAnsi" w:hAnsiTheme="minorHAnsi" w:cs="Segoe UI Light"/>
        </w:rPr>
        <w:t xml:space="preserve">The proposed baseline is the </w:t>
      </w:r>
      <w:r w:rsidRPr="00023AD0">
        <w:rPr>
          <w:rFonts w:asciiTheme="minorHAnsi" w:hAnsiTheme="minorHAnsi" w:cs="Segoe UI Light"/>
        </w:rPr>
        <w:t>20</w:t>
      </w:r>
      <w:r w:rsidR="009A4411" w:rsidRPr="00023AD0">
        <w:rPr>
          <w:rFonts w:asciiTheme="minorHAnsi" w:hAnsiTheme="minorHAnsi" w:cs="Segoe UI Light"/>
        </w:rPr>
        <w:t>20</w:t>
      </w:r>
      <w:r w:rsidRPr="00023AD0">
        <w:rPr>
          <w:rFonts w:asciiTheme="minorHAnsi" w:hAnsiTheme="minorHAnsi" w:cs="Segoe UI Light"/>
        </w:rPr>
        <w:t>-2</w:t>
      </w:r>
      <w:r w:rsidR="009A4411" w:rsidRPr="00023AD0">
        <w:rPr>
          <w:rFonts w:asciiTheme="minorHAnsi" w:hAnsiTheme="minorHAnsi" w:cs="Segoe UI Light"/>
        </w:rPr>
        <w:t>1</w:t>
      </w:r>
      <w:r w:rsidRPr="003720D2">
        <w:rPr>
          <w:rFonts w:asciiTheme="minorHAnsi" w:hAnsiTheme="minorHAnsi" w:cs="Segoe UI Light"/>
        </w:rPr>
        <w:t xml:space="preserve"> financial year, which is the final complete year of the status quo.</w:t>
      </w:r>
      <w:r w:rsidR="003A6F8E">
        <w:rPr>
          <w:rFonts w:asciiTheme="minorHAnsi" w:hAnsiTheme="minorHAnsi" w:cs="Segoe UI Light"/>
        </w:rPr>
        <w:t xml:space="preserve"> </w:t>
      </w:r>
      <w:r w:rsidR="002E4924">
        <w:rPr>
          <w:rFonts w:asciiTheme="minorHAnsi" w:hAnsiTheme="minorHAnsi" w:cs="Segoe UI Light"/>
        </w:rPr>
        <w:t>However,</w:t>
      </w:r>
      <w:r w:rsidR="003A6F8E">
        <w:rPr>
          <w:rFonts w:asciiTheme="minorHAnsi" w:hAnsiTheme="minorHAnsi" w:cs="Segoe UI Light"/>
        </w:rPr>
        <w:t xml:space="preserve"> regard will also be had to </w:t>
      </w:r>
      <w:r w:rsidR="00DD3768">
        <w:rPr>
          <w:rFonts w:asciiTheme="minorHAnsi" w:hAnsiTheme="minorHAnsi" w:cs="Segoe UI Light"/>
        </w:rPr>
        <w:t xml:space="preserve">deaths and illnesses </w:t>
      </w:r>
      <w:r w:rsidR="007F6CF2">
        <w:rPr>
          <w:rFonts w:asciiTheme="minorHAnsi" w:hAnsiTheme="minorHAnsi" w:cs="Segoe UI Light"/>
        </w:rPr>
        <w:t xml:space="preserve">since 2010 when improved information began to be collected about deaths and illnesses. </w:t>
      </w:r>
      <w:r w:rsidRPr="003720D2">
        <w:rPr>
          <w:rFonts w:asciiTheme="minorHAnsi" w:hAnsiTheme="minorHAnsi" w:cs="Segoe UI Light"/>
        </w:rPr>
        <w:t xml:space="preserve">The evaluation will have to closely analyse and judge the impact of the </w:t>
      </w:r>
      <w:r w:rsidR="004D6579" w:rsidRPr="00023AD0">
        <w:rPr>
          <w:rFonts w:asciiTheme="minorHAnsi" w:hAnsiTheme="minorHAnsi" w:cs="Segoe UI Light"/>
        </w:rPr>
        <w:t>preferred option</w:t>
      </w:r>
      <w:r w:rsidRPr="003720D2">
        <w:rPr>
          <w:rFonts w:asciiTheme="minorHAnsi" w:hAnsiTheme="minorHAnsi" w:cs="Segoe UI Light"/>
        </w:rPr>
        <w:t xml:space="preserve"> against external impacts</w:t>
      </w:r>
      <w:r w:rsidR="00D21B9F">
        <w:rPr>
          <w:rFonts w:asciiTheme="minorHAnsi" w:hAnsiTheme="minorHAnsi" w:cs="Segoe UI Light"/>
        </w:rPr>
        <w:t>, including notably the Government’s plan to spend $335 million to replace inefficient heaters (including OF</w:t>
      </w:r>
      <w:r w:rsidR="00CB283A">
        <w:rPr>
          <w:rFonts w:asciiTheme="minorHAnsi" w:hAnsiTheme="minorHAnsi" w:cs="Segoe UI Light"/>
        </w:rPr>
        <w:t xml:space="preserve">GSHs), </w:t>
      </w:r>
      <w:r w:rsidR="00336694">
        <w:rPr>
          <w:rFonts w:asciiTheme="minorHAnsi" w:hAnsiTheme="minorHAnsi" w:cs="Segoe UI Light"/>
        </w:rPr>
        <w:t xml:space="preserve">full </w:t>
      </w:r>
      <w:r w:rsidR="00CB283A">
        <w:rPr>
          <w:rFonts w:asciiTheme="minorHAnsi" w:hAnsiTheme="minorHAnsi" w:cs="Segoe UI Light"/>
        </w:rPr>
        <w:lastRenderedPageBreak/>
        <w:t>details of which are yet to be released</w:t>
      </w:r>
      <w:r w:rsidR="00336694">
        <w:rPr>
          <w:rFonts w:asciiTheme="minorHAnsi" w:hAnsiTheme="minorHAnsi" w:cs="Segoe UI Light"/>
        </w:rPr>
        <w:t xml:space="preserve"> but which are </w:t>
      </w:r>
      <w:r w:rsidR="00336694" w:rsidRPr="000276F0">
        <w:rPr>
          <w:rFonts w:asciiTheme="minorHAnsi" w:hAnsiTheme="minorHAnsi" w:cs="Segoe UI Light"/>
        </w:rPr>
        <w:t>expected to result in 100,000 OFGSHs being removed</w:t>
      </w:r>
      <w:r w:rsidR="00CB283A">
        <w:rPr>
          <w:rFonts w:asciiTheme="minorHAnsi" w:hAnsiTheme="minorHAnsi" w:cs="Segoe UI Light"/>
        </w:rPr>
        <w:t>.</w:t>
      </w:r>
      <w:r w:rsidR="00111C13">
        <w:rPr>
          <w:rFonts w:asciiTheme="minorHAnsi" w:hAnsiTheme="minorHAnsi" w:cs="Segoe UI Light"/>
        </w:rPr>
        <w:t xml:space="preserve"> This reduction is significantly greater than the number of new OFGSHs that will now not be installed as a result of the preferred option in this RIS</w:t>
      </w:r>
      <w:r w:rsidR="006D2CBF">
        <w:rPr>
          <w:rFonts w:asciiTheme="minorHAnsi" w:hAnsiTheme="minorHAnsi" w:cs="Segoe UI Light"/>
        </w:rPr>
        <w:t xml:space="preserve"> (estimated to be just over 5,000 appliances)</w:t>
      </w:r>
      <w:r w:rsidR="0063626F">
        <w:rPr>
          <w:rFonts w:asciiTheme="minorHAnsi" w:hAnsiTheme="minorHAnsi" w:cs="Segoe UI Light"/>
        </w:rPr>
        <w:t xml:space="preserve">. </w:t>
      </w:r>
    </w:p>
    <w:p w14:paraId="3713C8A7" w14:textId="77777777" w:rsidR="003720D2" w:rsidRPr="003720D2" w:rsidRDefault="003720D2" w:rsidP="003720D2">
      <w:pPr>
        <w:spacing w:after="120"/>
        <w:rPr>
          <w:rFonts w:asciiTheme="minorHAnsi" w:hAnsiTheme="minorHAnsi" w:cs="Segoe UI Light"/>
        </w:rPr>
      </w:pPr>
      <w:r w:rsidRPr="003720D2">
        <w:rPr>
          <w:rFonts w:asciiTheme="minorHAnsi" w:hAnsiTheme="minorHAnsi" w:cs="Segoe UI Light"/>
        </w:rPr>
        <w:t>The current available data sources as outlined above will be the main data sources used to establish the baseline for comparison.</w:t>
      </w:r>
    </w:p>
    <w:p w14:paraId="0D057148" w14:textId="77777777" w:rsidR="003720D2" w:rsidRPr="003720D2" w:rsidRDefault="003720D2" w:rsidP="004D6579">
      <w:pPr>
        <w:pStyle w:val="Heading3"/>
      </w:pPr>
      <w:r w:rsidRPr="003720D2">
        <w:t>Data sources</w:t>
      </w:r>
    </w:p>
    <w:p w14:paraId="24D79CFE" w14:textId="46CABE2E" w:rsidR="003720D2" w:rsidRPr="003720D2" w:rsidRDefault="003720D2" w:rsidP="003720D2">
      <w:pPr>
        <w:spacing w:after="120"/>
        <w:rPr>
          <w:rFonts w:asciiTheme="minorHAnsi" w:hAnsiTheme="minorHAnsi" w:cs="Segoe UI Light"/>
        </w:rPr>
      </w:pPr>
      <w:r w:rsidRPr="003720D2">
        <w:rPr>
          <w:rFonts w:asciiTheme="minorHAnsi" w:hAnsiTheme="minorHAnsi" w:cs="Segoe UI Light"/>
        </w:rPr>
        <w:t xml:space="preserve">The evaluation will largely use currently available data sources to assess the </w:t>
      </w:r>
      <w:r w:rsidRPr="003720D2">
        <w:rPr>
          <w:rFonts w:asciiTheme="minorHAnsi" w:hAnsiTheme="minorHAnsi" w:cs="Segoe UI Light"/>
          <w:b/>
          <w:bCs/>
        </w:rPr>
        <w:t>outcomes</w:t>
      </w:r>
      <w:r w:rsidRPr="003720D2">
        <w:rPr>
          <w:rFonts w:asciiTheme="minorHAnsi" w:hAnsiTheme="minorHAnsi" w:cs="Segoe UI Light"/>
        </w:rPr>
        <w:t xml:space="preserve"> of the </w:t>
      </w:r>
      <w:r w:rsidR="004D6579" w:rsidRPr="00023AD0">
        <w:rPr>
          <w:rFonts w:asciiTheme="minorHAnsi" w:hAnsiTheme="minorHAnsi" w:cs="Segoe UI Light"/>
        </w:rPr>
        <w:t>preferred option</w:t>
      </w:r>
      <w:r w:rsidRPr="003720D2">
        <w:rPr>
          <w:rFonts w:asciiTheme="minorHAnsi" w:hAnsiTheme="minorHAnsi" w:cs="Segoe UI Light"/>
        </w:rPr>
        <w:t>, including:</w:t>
      </w:r>
    </w:p>
    <w:p w14:paraId="7EAE7AD6" w14:textId="77777777" w:rsidR="003720D2" w:rsidRPr="00096B3A" w:rsidRDefault="003720D2" w:rsidP="00096B3A">
      <w:pPr>
        <w:pStyle w:val="ListParagraph"/>
        <w:numPr>
          <w:ilvl w:val="0"/>
          <w:numId w:val="131"/>
        </w:numPr>
      </w:pPr>
      <w:r w:rsidRPr="00096B3A">
        <w:t>Number of illnesses from CO poisoning, from DHHS/hospital data</w:t>
      </w:r>
    </w:p>
    <w:p w14:paraId="06AB5749" w14:textId="77777777" w:rsidR="003720D2" w:rsidRPr="00096B3A" w:rsidRDefault="003720D2" w:rsidP="00096B3A">
      <w:pPr>
        <w:pStyle w:val="ListParagraph"/>
        <w:numPr>
          <w:ilvl w:val="0"/>
          <w:numId w:val="131"/>
        </w:numPr>
      </w:pPr>
      <w:r w:rsidRPr="00096B3A">
        <w:t>Number of serious illnesses and deaths from CO poisoning, from DHHS/hospital data</w:t>
      </w:r>
    </w:p>
    <w:p w14:paraId="76404297" w14:textId="1DB14C8B" w:rsidR="003720D2" w:rsidRPr="00096B3A" w:rsidRDefault="003720D2" w:rsidP="00096B3A">
      <w:pPr>
        <w:pStyle w:val="ListParagraph"/>
        <w:numPr>
          <w:ilvl w:val="0"/>
          <w:numId w:val="131"/>
        </w:numPr>
      </w:pPr>
      <w:r w:rsidRPr="00096B3A">
        <w:t>The number of CO incidents reported to and investigated by ESV</w:t>
      </w:r>
      <w:r w:rsidR="00342A3F" w:rsidRPr="00096B3A">
        <w:t>.</w:t>
      </w:r>
    </w:p>
    <w:p w14:paraId="453D20FE" w14:textId="60DDF7CD" w:rsidR="003720D2" w:rsidRPr="003720D2" w:rsidRDefault="003720D2" w:rsidP="00096B3A">
      <w:pPr>
        <w:spacing w:before="170" w:after="0"/>
        <w:rPr>
          <w:rFonts w:asciiTheme="minorHAnsi" w:hAnsiTheme="minorHAnsi" w:cs="Segoe UI Light"/>
        </w:rPr>
      </w:pPr>
      <w:r w:rsidRPr="003720D2">
        <w:rPr>
          <w:rFonts w:asciiTheme="minorHAnsi" w:hAnsiTheme="minorHAnsi" w:cs="Segoe UI Light"/>
        </w:rPr>
        <w:t xml:space="preserve">As discussed in the analysis, the number of low level illnesses from CO poisoning is understood to be significant, but there is </w:t>
      </w:r>
      <w:r w:rsidR="002E06B8">
        <w:rPr>
          <w:rFonts w:asciiTheme="minorHAnsi" w:hAnsiTheme="minorHAnsi" w:cs="Segoe UI Light"/>
        </w:rPr>
        <w:t>a high level of</w:t>
      </w:r>
      <w:r w:rsidR="002E06B8" w:rsidRPr="003720D2">
        <w:rPr>
          <w:rFonts w:asciiTheme="minorHAnsi" w:hAnsiTheme="minorHAnsi" w:cs="Segoe UI Light"/>
        </w:rPr>
        <w:t xml:space="preserve"> </w:t>
      </w:r>
      <w:r w:rsidRPr="003720D2">
        <w:rPr>
          <w:rFonts w:asciiTheme="minorHAnsi" w:hAnsiTheme="minorHAnsi" w:cs="Segoe UI Light"/>
        </w:rPr>
        <w:t xml:space="preserve">uncertainty about this number, and the analysis undertaken is based on an estimate. There are also data issues around the serious illnesses reported. The potential to improve these data issues is discussed below. </w:t>
      </w:r>
    </w:p>
    <w:p w14:paraId="5527780E" w14:textId="77777777" w:rsidR="003720D2" w:rsidRPr="003720D2" w:rsidRDefault="003720D2" w:rsidP="003720D2">
      <w:pPr>
        <w:spacing w:after="0"/>
        <w:rPr>
          <w:rFonts w:asciiTheme="minorHAnsi" w:hAnsiTheme="minorHAnsi" w:cs="Segoe UI Light"/>
          <w:i/>
        </w:rPr>
      </w:pPr>
    </w:p>
    <w:p w14:paraId="371A23EC" w14:textId="33841B05" w:rsidR="003720D2" w:rsidRPr="003720D2" w:rsidRDefault="003720D2" w:rsidP="00023AD0">
      <w:pPr>
        <w:pStyle w:val="Heading3"/>
      </w:pPr>
      <w:r w:rsidRPr="003720D2">
        <w:t>Data improvement</w:t>
      </w:r>
    </w:p>
    <w:p w14:paraId="00E0F625" w14:textId="281545C4" w:rsidR="003720D2" w:rsidRPr="003720D2" w:rsidRDefault="003720D2" w:rsidP="003720D2">
      <w:pPr>
        <w:spacing w:after="120"/>
        <w:rPr>
          <w:rFonts w:asciiTheme="minorHAnsi" w:hAnsiTheme="minorHAnsi"/>
          <w:szCs w:val="16"/>
        </w:rPr>
      </w:pPr>
      <w:r w:rsidRPr="003720D2">
        <w:rPr>
          <w:rFonts w:asciiTheme="minorHAnsi" w:hAnsiTheme="minorHAnsi" w:cs="Segoe UI Light"/>
        </w:rPr>
        <w:t>As part of the implementation process</w:t>
      </w:r>
      <w:r w:rsidR="00FE275F">
        <w:rPr>
          <w:rFonts w:asciiTheme="minorHAnsi" w:hAnsiTheme="minorHAnsi" w:cs="Segoe UI Light"/>
        </w:rPr>
        <w:t xml:space="preserve">, </w:t>
      </w:r>
      <w:r w:rsidRPr="003720D2">
        <w:rPr>
          <w:rFonts w:asciiTheme="minorHAnsi" w:hAnsiTheme="minorHAnsi" w:cs="Segoe UI Light"/>
        </w:rPr>
        <w:t xml:space="preserve">DELWP and </w:t>
      </w:r>
      <w:r w:rsidRPr="00023AD0">
        <w:rPr>
          <w:rFonts w:asciiTheme="minorHAnsi" w:hAnsiTheme="minorHAnsi" w:cs="Segoe UI Light"/>
        </w:rPr>
        <w:t>ESV</w:t>
      </w:r>
      <w:r w:rsidRPr="003720D2">
        <w:rPr>
          <w:rFonts w:asciiTheme="minorHAnsi" w:hAnsiTheme="minorHAnsi" w:cs="Segoe UI Light"/>
        </w:rPr>
        <w:t xml:space="preserve"> will undertake a review of existing data sources to assess gaps in data and identify areas and strategies for improvement. </w:t>
      </w:r>
      <w:r w:rsidRPr="003720D2">
        <w:rPr>
          <w:rFonts w:asciiTheme="minorHAnsi" w:hAnsiTheme="minorHAnsi"/>
          <w:szCs w:val="16"/>
        </w:rPr>
        <w:t xml:space="preserve">This will include considering whether new types of data/information </w:t>
      </w:r>
      <w:r w:rsidR="002E4924">
        <w:rPr>
          <w:rFonts w:asciiTheme="minorHAnsi" w:hAnsiTheme="minorHAnsi"/>
          <w:szCs w:val="16"/>
        </w:rPr>
        <w:t>need</w:t>
      </w:r>
      <w:r w:rsidRPr="003720D2">
        <w:rPr>
          <w:rFonts w:asciiTheme="minorHAnsi" w:hAnsiTheme="minorHAnsi"/>
          <w:szCs w:val="16"/>
        </w:rPr>
        <w:t xml:space="preserve"> to be collected to better understand the effects of the new approach. </w:t>
      </w:r>
    </w:p>
    <w:p w14:paraId="514FA203" w14:textId="37925170" w:rsidR="003720D2" w:rsidRPr="003720D2" w:rsidRDefault="003720D2" w:rsidP="003720D2">
      <w:pPr>
        <w:spacing w:after="120"/>
        <w:rPr>
          <w:rFonts w:asciiTheme="minorHAnsi" w:hAnsiTheme="minorHAnsi" w:cs="Segoe UI Light"/>
        </w:rPr>
      </w:pPr>
      <w:r w:rsidRPr="003720D2">
        <w:rPr>
          <w:rFonts w:asciiTheme="minorHAnsi" w:hAnsiTheme="minorHAnsi" w:cs="Segoe UI Light"/>
        </w:rPr>
        <w:t xml:space="preserve">The objective will be to ensure that adequate data is available to enable effective evaluation of the </w:t>
      </w:r>
      <w:r w:rsidR="00E51F93" w:rsidRPr="00023AD0">
        <w:rPr>
          <w:rFonts w:asciiTheme="minorHAnsi" w:hAnsiTheme="minorHAnsi" w:cs="Segoe UI Light"/>
        </w:rPr>
        <w:t>preferred option</w:t>
      </w:r>
      <w:r w:rsidRPr="00023AD0">
        <w:rPr>
          <w:rFonts w:asciiTheme="minorHAnsi" w:hAnsiTheme="minorHAnsi" w:cs="Segoe UI Light"/>
        </w:rPr>
        <w:t>.</w:t>
      </w:r>
      <w:r w:rsidRPr="003720D2">
        <w:rPr>
          <w:rFonts w:asciiTheme="minorHAnsi" w:hAnsiTheme="minorHAnsi" w:cs="Segoe UI Light"/>
        </w:rPr>
        <w:t xml:space="preserve"> Depending on the outcomes of this review, quantitative data sources will be developed to ensure that appropriate data is </w:t>
      </w:r>
      <w:r w:rsidR="002E4924" w:rsidRPr="003720D2">
        <w:rPr>
          <w:rFonts w:asciiTheme="minorHAnsi" w:hAnsiTheme="minorHAnsi" w:cs="Segoe UI Light"/>
        </w:rPr>
        <w:t>collected,</w:t>
      </w:r>
      <w:r w:rsidRPr="003720D2">
        <w:rPr>
          <w:rFonts w:asciiTheme="minorHAnsi" w:hAnsiTheme="minorHAnsi" w:cs="Segoe UI Light"/>
        </w:rPr>
        <w:t xml:space="preserve"> and managed or alternative processes considered, such as additional stakeholder consultation.</w:t>
      </w:r>
    </w:p>
    <w:p w14:paraId="77072C3F" w14:textId="246417CC" w:rsidR="003720D2" w:rsidRPr="003720D2" w:rsidRDefault="003720D2" w:rsidP="003720D2">
      <w:pPr>
        <w:spacing w:after="120"/>
        <w:rPr>
          <w:rFonts w:asciiTheme="minorHAnsi" w:hAnsiTheme="minorHAnsi"/>
          <w:szCs w:val="16"/>
        </w:rPr>
      </w:pPr>
      <w:r w:rsidRPr="003720D2">
        <w:rPr>
          <w:rFonts w:asciiTheme="minorHAnsi" w:hAnsiTheme="minorHAnsi"/>
          <w:szCs w:val="16"/>
        </w:rPr>
        <w:t xml:space="preserve">An obvious data issue is lack of information on low level illnesses, as noted above. This is not an easy information gap to address, because low level illnesses are often misdiagnosed at the doctor level. Data on serious illnesses from </w:t>
      </w:r>
      <w:r w:rsidR="000932DA">
        <w:rPr>
          <w:rFonts w:asciiTheme="minorHAnsi" w:hAnsiTheme="minorHAnsi"/>
          <w:szCs w:val="16"/>
        </w:rPr>
        <w:t xml:space="preserve">OFGSHs </w:t>
      </w:r>
      <w:r w:rsidRPr="003720D2">
        <w:rPr>
          <w:rFonts w:asciiTheme="minorHAnsi" w:hAnsiTheme="minorHAnsi"/>
          <w:szCs w:val="16"/>
        </w:rPr>
        <w:t xml:space="preserve">poisoning is also problematic as poisoning cases are sometimes bundled together with cases of CO poisoning from other sources at the hospital level. These data issues would require significant work and collaboration to </w:t>
      </w:r>
      <w:r w:rsidR="00317FB9" w:rsidRPr="003720D2">
        <w:rPr>
          <w:rFonts w:asciiTheme="minorHAnsi" w:hAnsiTheme="minorHAnsi"/>
          <w:szCs w:val="16"/>
        </w:rPr>
        <w:t>address and</w:t>
      </w:r>
      <w:r w:rsidRPr="003720D2">
        <w:rPr>
          <w:rFonts w:asciiTheme="minorHAnsi" w:hAnsiTheme="minorHAnsi"/>
          <w:szCs w:val="16"/>
        </w:rPr>
        <w:t xml:space="preserve"> would need to be considered as part of a separate process. </w:t>
      </w:r>
    </w:p>
    <w:p w14:paraId="69396C6A" w14:textId="2BF7BC13" w:rsidR="003720D2" w:rsidRPr="003720D2" w:rsidRDefault="003720D2" w:rsidP="003720D2">
      <w:pPr>
        <w:spacing w:after="120"/>
        <w:contextualSpacing/>
        <w:textboxTightWrap w:val="allLines"/>
        <w:rPr>
          <w:rFonts w:asciiTheme="minorHAnsi" w:hAnsiTheme="minorHAnsi" w:cs="Segoe UI Light"/>
        </w:rPr>
      </w:pPr>
      <w:r w:rsidRPr="003720D2">
        <w:rPr>
          <w:rFonts w:asciiTheme="minorHAnsi" w:hAnsiTheme="minorHAnsi" w:cs="Segoe UI Light"/>
        </w:rPr>
        <w:t xml:space="preserve">An important output is the number of OFGSHs in buildings, however only rough survey data is available to support this. </w:t>
      </w:r>
      <w:r w:rsidRPr="00023AD0">
        <w:rPr>
          <w:rFonts w:asciiTheme="minorHAnsi" w:hAnsiTheme="minorHAnsi" w:cs="Segoe UI Light"/>
        </w:rPr>
        <w:t>Surveys, such as market research commissioned by ESV or existing annual reports which track Victorian consumers</w:t>
      </w:r>
      <w:r w:rsidR="00D96599">
        <w:rPr>
          <w:rFonts w:asciiTheme="minorHAnsi" w:hAnsiTheme="minorHAnsi" w:cs="Segoe UI Light"/>
        </w:rPr>
        <w:t>’</w:t>
      </w:r>
      <w:r w:rsidRPr="00023AD0">
        <w:rPr>
          <w:rFonts w:asciiTheme="minorHAnsi" w:hAnsiTheme="minorHAnsi" w:cs="Segoe UI Light"/>
        </w:rPr>
        <w:t xml:space="preserve"> </w:t>
      </w:r>
      <w:r w:rsidR="00146E3F">
        <w:rPr>
          <w:rFonts w:asciiTheme="minorHAnsi" w:hAnsiTheme="minorHAnsi" w:cs="Segoe UI Light"/>
        </w:rPr>
        <w:t>primary heating source</w:t>
      </w:r>
      <w:r w:rsidR="00D96599">
        <w:rPr>
          <w:rFonts w:asciiTheme="minorHAnsi" w:hAnsiTheme="minorHAnsi" w:cs="Segoe UI Light"/>
        </w:rPr>
        <w:t xml:space="preserve"> </w:t>
      </w:r>
      <w:r w:rsidRPr="00023AD0">
        <w:rPr>
          <w:rFonts w:asciiTheme="minorHAnsi" w:hAnsiTheme="minorHAnsi" w:cs="Segoe UI Light"/>
        </w:rPr>
        <w:t>could be used to track the types of heaters in households over time.</w:t>
      </w:r>
    </w:p>
    <w:p w14:paraId="5B00FE57" w14:textId="77777777" w:rsidR="003720D2" w:rsidRPr="003720D2" w:rsidRDefault="003720D2" w:rsidP="003720D2">
      <w:pPr>
        <w:spacing w:after="120"/>
        <w:contextualSpacing/>
        <w:textboxTightWrap w:val="allLines"/>
        <w:rPr>
          <w:rFonts w:asciiTheme="minorHAnsi" w:hAnsiTheme="minorHAnsi" w:cs="Segoe UI Light"/>
        </w:rPr>
      </w:pPr>
    </w:p>
    <w:p w14:paraId="446BAD8F" w14:textId="77777777" w:rsidR="003720D2" w:rsidRPr="00FF5BFF" w:rsidRDefault="003720D2" w:rsidP="00FF5BFF">
      <w:pPr>
        <w:pStyle w:val="Heading3"/>
        <w:numPr>
          <w:ilvl w:val="1"/>
          <w:numId w:val="172"/>
        </w:numPr>
        <w:rPr>
          <w:color w:val="62B5E5" w:themeColor="accent3"/>
        </w:rPr>
      </w:pPr>
      <w:r w:rsidRPr="00FF5BFF">
        <w:rPr>
          <w:color w:val="62B5E5" w:themeColor="accent3"/>
        </w:rPr>
        <w:t>Who will do it</w:t>
      </w:r>
    </w:p>
    <w:p w14:paraId="71EE2BE0" w14:textId="7802B6FE" w:rsidR="003720D2" w:rsidRPr="003720D2" w:rsidRDefault="003720D2" w:rsidP="003720D2">
      <w:pPr>
        <w:spacing w:after="120"/>
        <w:rPr>
          <w:rFonts w:asciiTheme="minorHAnsi" w:hAnsiTheme="minorHAnsi" w:cs="Segoe UI Light"/>
        </w:rPr>
      </w:pPr>
      <w:r w:rsidRPr="003720D2">
        <w:rPr>
          <w:rFonts w:asciiTheme="minorHAnsi" w:hAnsiTheme="minorHAnsi" w:cs="Segoe UI Light"/>
        </w:rPr>
        <w:t xml:space="preserve">Responsibility for the evaluation will be shared between DELWP and </w:t>
      </w:r>
      <w:r w:rsidR="00023AD0" w:rsidRPr="00023AD0">
        <w:rPr>
          <w:rFonts w:asciiTheme="minorHAnsi" w:hAnsiTheme="minorHAnsi" w:cs="Segoe UI Light"/>
        </w:rPr>
        <w:t>ESV</w:t>
      </w:r>
      <w:r w:rsidRPr="00023AD0">
        <w:rPr>
          <w:rFonts w:asciiTheme="minorHAnsi" w:hAnsiTheme="minorHAnsi" w:cs="Segoe UI Light"/>
        </w:rPr>
        <w:t xml:space="preserve"> </w:t>
      </w:r>
      <w:r w:rsidRPr="003720D2">
        <w:rPr>
          <w:rFonts w:asciiTheme="minorHAnsi" w:hAnsiTheme="minorHAnsi" w:cs="Segoe UI Light"/>
        </w:rPr>
        <w:t xml:space="preserve">as the agencies with prime responsibility for gas safety. Integrated and coordinated delivery of the evaluation will provide for the clearest lines for meeting the evaluation objectives and ensure learning and improvement can occur at both the departmental (legislative) and regulator levels. </w:t>
      </w:r>
    </w:p>
    <w:p w14:paraId="591623EA" w14:textId="25105BFB" w:rsidR="003720D2" w:rsidRPr="003720D2" w:rsidRDefault="003720D2" w:rsidP="003720D2">
      <w:pPr>
        <w:spacing w:after="120"/>
        <w:rPr>
          <w:rFonts w:asciiTheme="minorHAnsi" w:hAnsiTheme="minorHAnsi" w:cs="Segoe UI Light"/>
        </w:rPr>
      </w:pPr>
      <w:r w:rsidRPr="003720D2">
        <w:rPr>
          <w:rFonts w:asciiTheme="minorHAnsi" w:eastAsia="Times New Roman" w:hAnsiTheme="minorHAnsi" w:cs="Segoe UI Light"/>
        </w:rPr>
        <w:t xml:space="preserve">ESV </w:t>
      </w:r>
      <w:r w:rsidR="00023AD0" w:rsidRPr="00023AD0">
        <w:rPr>
          <w:rFonts w:asciiTheme="minorHAnsi" w:eastAsia="Times New Roman" w:hAnsiTheme="minorHAnsi" w:cs="Segoe UI Light"/>
        </w:rPr>
        <w:t>is</w:t>
      </w:r>
      <w:r w:rsidRPr="003720D2">
        <w:rPr>
          <w:rFonts w:asciiTheme="minorHAnsi" w:eastAsia="Times New Roman" w:hAnsiTheme="minorHAnsi" w:cs="Segoe UI Light"/>
        </w:rPr>
        <w:t xml:space="preserve"> responsible for ongoing monitoring and will play a significant role in data collection and management activities. DELWP will be responsible for the whole of government policy evaluation.</w:t>
      </w:r>
      <w:r w:rsidR="00E06FDF">
        <w:rPr>
          <w:rFonts w:asciiTheme="minorHAnsi" w:eastAsia="Times New Roman" w:hAnsiTheme="minorHAnsi" w:cs="Segoe UI Light"/>
        </w:rPr>
        <w:t xml:space="preserve"> </w:t>
      </w:r>
      <w:r w:rsidR="006330D2">
        <w:rPr>
          <w:rFonts w:asciiTheme="minorHAnsi" w:eastAsia="Times New Roman" w:hAnsiTheme="minorHAnsi" w:cs="Segoe UI Light"/>
        </w:rPr>
        <w:t xml:space="preserve">The </w:t>
      </w:r>
      <w:r w:rsidR="00E06FDF">
        <w:rPr>
          <w:rFonts w:asciiTheme="minorHAnsi" w:eastAsia="Times New Roman" w:hAnsiTheme="minorHAnsi" w:cs="Segoe UI Light"/>
        </w:rPr>
        <w:t>VBA will support the evaluation, including by provision of data on installations.</w:t>
      </w:r>
    </w:p>
    <w:p w14:paraId="416CA572" w14:textId="77777777" w:rsidR="003720D2" w:rsidRPr="00FF5BFF" w:rsidRDefault="003720D2" w:rsidP="00FF5BFF">
      <w:pPr>
        <w:pStyle w:val="Heading3"/>
        <w:numPr>
          <w:ilvl w:val="1"/>
          <w:numId w:val="172"/>
        </w:numPr>
        <w:rPr>
          <w:color w:val="62B5E5" w:themeColor="accent3"/>
        </w:rPr>
      </w:pPr>
      <w:r w:rsidRPr="00FF5BFF">
        <w:rPr>
          <w:color w:val="62B5E5" w:themeColor="accent3"/>
        </w:rPr>
        <w:t>When it will be done</w:t>
      </w:r>
    </w:p>
    <w:p w14:paraId="0013CD4D" w14:textId="089B0102" w:rsidR="003720D2" w:rsidRPr="003720D2" w:rsidRDefault="006F1053" w:rsidP="003720D2">
      <w:pPr>
        <w:spacing w:after="120"/>
        <w:rPr>
          <w:rFonts w:asciiTheme="minorHAnsi" w:hAnsiTheme="minorHAnsi" w:cs="Segoe UI Light"/>
        </w:rPr>
      </w:pPr>
      <w:r w:rsidRPr="000A6B85">
        <w:rPr>
          <w:rFonts w:asciiTheme="minorHAnsi" w:hAnsiTheme="minorHAnsi" w:cs="Segoe UI Light"/>
        </w:rPr>
        <w:fldChar w:fldCharType="begin"/>
      </w:r>
      <w:r w:rsidRPr="006F1053">
        <w:rPr>
          <w:rFonts w:asciiTheme="minorHAnsi" w:hAnsiTheme="minorHAnsi" w:cs="Segoe UI Light"/>
        </w:rPr>
        <w:instrText xml:space="preserve"> REF _Ref56415322 \h  \* MERGEFORMAT </w:instrText>
      </w:r>
      <w:r w:rsidRPr="000A6B85">
        <w:rPr>
          <w:rFonts w:asciiTheme="minorHAnsi" w:hAnsiTheme="minorHAnsi" w:cs="Segoe UI Light"/>
        </w:rPr>
      </w:r>
      <w:r w:rsidRPr="000A6B85">
        <w:rPr>
          <w:rFonts w:asciiTheme="minorHAnsi" w:hAnsiTheme="minorHAnsi" w:cs="Segoe UI Light"/>
        </w:rPr>
        <w:fldChar w:fldCharType="separate"/>
      </w:r>
      <w:r w:rsidR="00CD0679" w:rsidRPr="00CD0679">
        <w:rPr>
          <w:rFonts w:asciiTheme="minorHAnsi" w:hAnsiTheme="minorHAnsi"/>
          <w:iCs/>
        </w:rPr>
        <w:t>Table 7</w:t>
      </w:r>
      <w:r w:rsidR="00CD0679" w:rsidRPr="00CD0679">
        <w:rPr>
          <w:rFonts w:asciiTheme="minorHAnsi" w:hAnsiTheme="minorHAnsi"/>
          <w:iCs/>
        </w:rPr>
        <w:noBreakHyphen/>
        <w:t>1</w:t>
      </w:r>
      <w:r w:rsidRPr="000A6B85">
        <w:rPr>
          <w:rFonts w:asciiTheme="minorHAnsi" w:hAnsiTheme="minorHAnsi" w:cs="Segoe UI Light"/>
        </w:rPr>
        <w:fldChar w:fldCharType="end"/>
      </w:r>
      <w:r>
        <w:rPr>
          <w:rFonts w:asciiTheme="minorHAnsi" w:hAnsiTheme="minorHAnsi" w:cs="Segoe UI Light"/>
        </w:rPr>
        <w:t xml:space="preserve"> </w:t>
      </w:r>
      <w:r w:rsidR="003720D2" w:rsidRPr="003720D2">
        <w:rPr>
          <w:rFonts w:asciiTheme="minorHAnsi" w:hAnsiTheme="minorHAnsi" w:cs="Segoe UI Light"/>
        </w:rPr>
        <w:t xml:space="preserve">outlines a high-level overview of when evaluation activities will occur. </w:t>
      </w:r>
    </w:p>
    <w:p w14:paraId="12B7B002" w14:textId="413C2751" w:rsidR="003720D2" w:rsidRPr="003720D2" w:rsidRDefault="003720D2" w:rsidP="003720D2">
      <w:pPr>
        <w:keepNext/>
        <w:keepLines/>
        <w:spacing w:before="240" w:after="240"/>
        <w:rPr>
          <w:rFonts w:asciiTheme="minorHAnsi" w:hAnsiTheme="minorHAnsi"/>
          <w:iCs/>
          <w:color w:val="75787B" w:themeColor="accent6"/>
          <w:sz w:val="17"/>
        </w:rPr>
      </w:pPr>
      <w:bookmarkStart w:id="252" w:name="_Ref56415322"/>
      <w:r w:rsidRPr="003720D2">
        <w:rPr>
          <w:rFonts w:asciiTheme="minorHAnsi" w:hAnsiTheme="minorHAnsi"/>
          <w:iCs/>
          <w:color w:val="75787B" w:themeColor="accent6"/>
          <w:sz w:val="17"/>
        </w:rPr>
        <w:lastRenderedPageBreak/>
        <w:t xml:space="preserve">Table </w:t>
      </w:r>
      <w:r w:rsidR="00D96599">
        <w:rPr>
          <w:rFonts w:asciiTheme="minorHAnsi" w:hAnsiTheme="minorHAnsi"/>
          <w:iCs/>
          <w:color w:val="75787B" w:themeColor="accent6"/>
          <w:sz w:val="17"/>
        </w:rPr>
        <w:t>7</w:t>
      </w:r>
      <w:r w:rsidRPr="003720D2">
        <w:rPr>
          <w:rFonts w:asciiTheme="minorHAnsi" w:hAnsiTheme="minorHAnsi"/>
          <w:iCs/>
          <w:color w:val="75787B" w:themeColor="accent6"/>
          <w:sz w:val="17"/>
        </w:rPr>
        <w:noBreakHyphen/>
      </w:r>
      <w:r w:rsidRPr="003720D2">
        <w:rPr>
          <w:rFonts w:asciiTheme="minorHAnsi" w:hAnsiTheme="minorHAnsi"/>
          <w:iCs/>
          <w:color w:val="75787B" w:themeColor="accent6"/>
          <w:sz w:val="17"/>
        </w:rPr>
        <w:fldChar w:fldCharType="begin"/>
      </w:r>
      <w:r w:rsidRPr="003720D2">
        <w:rPr>
          <w:rFonts w:asciiTheme="minorHAnsi" w:hAnsiTheme="minorHAnsi"/>
          <w:iCs/>
          <w:color w:val="75787B" w:themeColor="accent6"/>
          <w:sz w:val="17"/>
        </w:rPr>
        <w:instrText xml:space="preserve"> SEQ Table \* ARABIC \s 1 </w:instrText>
      </w:r>
      <w:r w:rsidRPr="003720D2">
        <w:rPr>
          <w:rFonts w:asciiTheme="minorHAnsi" w:hAnsiTheme="minorHAnsi"/>
          <w:iCs/>
          <w:color w:val="75787B" w:themeColor="accent6"/>
          <w:sz w:val="17"/>
        </w:rPr>
        <w:fldChar w:fldCharType="separate"/>
      </w:r>
      <w:r w:rsidR="00CD0679">
        <w:rPr>
          <w:rFonts w:asciiTheme="minorHAnsi" w:hAnsiTheme="minorHAnsi"/>
          <w:iCs/>
          <w:noProof/>
          <w:color w:val="75787B" w:themeColor="accent6"/>
          <w:sz w:val="17"/>
        </w:rPr>
        <w:t>1</w:t>
      </w:r>
      <w:r w:rsidRPr="003720D2">
        <w:rPr>
          <w:rFonts w:asciiTheme="minorHAnsi" w:hAnsiTheme="minorHAnsi"/>
          <w:iCs/>
          <w:color w:val="75787B" w:themeColor="accent6"/>
          <w:sz w:val="17"/>
        </w:rPr>
        <w:fldChar w:fldCharType="end"/>
      </w:r>
      <w:bookmarkEnd w:id="252"/>
      <w:r w:rsidRPr="003720D2">
        <w:rPr>
          <w:rFonts w:asciiTheme="minorHAnsi" w:hAnsiTheme="minorHAnsi"/>
          <w:iCs/>
          <w:color w:val="75787B" w:themeColor="accent6"/>
          <w:sz w:val="17"/>
        </w:rPr>
        <w:t xml:space="preserve"> Timeline for evaluation </w:t>
      </w:r>
    </w:p>
    <w:tbl>
      <w:tblPr>
        <w:tblStyle w:val="Deloittetable1"/>
        <w:tblW w:w="5000" w:type="pct"/>
        <w:tblLook w:val="04A0" w:firstRow="1" w:lastRow="0" w:firstColumn="1" w:lastColumn="0" w:noHBand="0" w:noVBand="1"/>
      </w:tblPr>
      <w:tblGrid>
        <w:gridCol w:w="3009"/>
        <w:gridCol w:w="6017"/>
      </w:tblGrid>
      <w:tr w:rsidR="003720D2" w:rsidRPr="00435E98" w14:paraId="657F92D1" w14:textId="77777777" w:rsidTr="00015CB1">
        <w:trPr>
          <w:cnfStyle w:val="100000000000" w:firstRow="1" w:lastRow="0" w:firstColumn="0" w:lastColumn="0" w:oddVBand="0" w:evenVBand="0" w:oddHBand="0" w:evenHBand="0" w:firstRowFirstColumn="0" w:firstRowLastColumn="0" w:lastRowFirstColumn="0" w:lastRowLastColumn="0"/>
          <w:trHeight w:val="376"/>
          <w:tblHeader/>
        </w:trPr>
        <w:tc>
          <w:tcPr>
            <w:tcW w:w="1667" w:type="pct"/>
          </w:tcPr>
          <w:p w14:paraId="2BE7F693" w14:textId="77777777" w:rsidR="003720D2" w:rsidRPr="00435E98" w:rsidRDefault="003720D2" w:rsidP="003720D2">
            <w:pPr>
              <w:spacing w:after="0"/>
              <w:rPr>
                <w:rFonts w:asciiTheme="minorHAnsi" w:hAnsiTheme="minorHAnsi" w:cs="Segoe UI Light"/>
                <w:b/>
                <w:szCs w:val="17"/>
              </w:rPr>
            </w:pPr>
            <w:r w:rsidRPr="00435E98">
              <w:rPr>
                <w:rFonts w:asciiTheme="minorHAnsi" w:hAnsiTheme="minorHAnsi" w:cs="Segoe UI Light"/>
                <w:b/>
                <w:szCs w:val="17"/>
              </w:rPr>
              <w:t>Activity</w:t>
            </w:r>
          </w:p>
        </w:tc>
        <w:tc>
          <w:tcPr>
            <w:tcW w:w="3333" w:type="pct"/>
          </w:tcPr>
          <w:p w14:paraId="7CEB2F39" w14:textId="77777777" w:rsidR="003720D2" w:rsidRPr="00435E98" w:rsidRDefault="003720D2" w:rsidP="003720D2">
            <w:pPr>
              <w:spacing w:after="0"/>
              <w:rPr>
                <w:rFonts w:asciiTheme="minorHAnsi" w:hAnsiTheme="minorHAnsi" w:cs="Segoe UI Light"/>
                <w:b/>
                <w:szCs w:val="17"/>
              </w:rPr>
            </w:pPr>
            <w:r w:rsidRPr="00435E98">
              <w:rPr>
                <w:rFonts w:asciiTheme="minorHAnsi" w:hAnsiTheme="minorHAnsi" w:cs="Segoe UI Light"/>
                <w:b/>
                <w:szCs w:val="17"/>
              </w:rPr>
              <w:t xml:space="preserve">Timing </w:t>
            </w:r>
          </w:p>
        </w:tc>
      </w:tr>
      <w:tr w:rsidR="003720D2" w:rsidRPr="00435E98" w14:paraId="1E3C6509" w14:textId="77777777" w:rsidTr="00015CB1">
        <w:trPr>
          <w:trHeight w:val="330"/>
        </w:trPr>
        <w:tc>
          <w:tcPr>
            <w:tcW w:w="1667" w:type="pct"/>
          </w:tcPr>
          <w:p w14:paraId="6A305887" w14:textId="3A01D642" w:rsidR="003720D2" w:rsidRPr="00435E98" w:rsidRDefault="003720D2" w:rsidP="003720D2">
            <w:pPr>
              <w:spacing w:after="0"/>
              <w:rPr>
                <w:rFonts w:asciiTheme="minorHAnsi" w:hAnsiTheme="minorHAnsi" w:cs="Segoe UI Light"/>
                <w:szCs w:val="17"/>
              </w:rPr>
            </w:pPr>
            <w:r w:rsidRPr="00435E98">
              <w:rPr>
                <w:rFonts w:asciiTheme="minorHAnsi" w:hAnsiTheme="minorHAnsi" w:cs="Segoe UI Light"/>
                <w:szCs w:val="17"/>
              </w:rPr>
              <w:t>Establish baseline</w:t>
            </w:r>
          </w:p>
        </w:tc>
        <w:tc>
          <w:tcPr>
            <w:tcW w:w="3333" w:type="pct"/>
          </w:tcPr>
          <w:p w14:paraId="5BC135DE" w14:textId="60C83B12" w:rsidR="003720D2" w:rsidRPr="00435E98" w:rsidRDefault="003720D2" w:rsidP="003720D2">
            <w:pPr>
              <w:spacing w:after="0"/>
              <w:rPr>
                <w:rFonts w:asciiTheme="minorHAnsi" w:hAnsiTheme="minorHAnsi" w:cs="Segoe UI Light"/>
                <w:szCs w:val="17"/>
              </w:rPr>
            </w:pPr>
            <w:r w:rsidRPr="00435E98">
              <w:rPr>
                <w:rFonts w:asciiTheme="minorHAnsi" w:hAnsiTheme="minorHAnsi" w:cs="Segoe UI Light"/>
                <w:szCs w:val="17"/>
              </w:rPr>
              <w:t xml:space="preserve">Prior to </w:t>
            </w:r>
            <w:r w:rsidR="00023AD0" w:rsidRPr="00435E98">
              <w:rPr>
                <w:rFonts w:asciiTheme="minorHAnsi" w:hAnsiTheme="minorHAnsi" w:cs="Segoe UI Light"/>
                <w:szCs w:val="17"/>
              </w:rPr>
              <w:t>preferred option</w:t>
            </w:r>
            <w:r w:rsidRPr="00435E98">
              <w:rPr>
                <w:rFonts w:asciiTheme="minorHAnsi" w:hAnsiTheme="minorHAnsi" w:cs="Segoe UI Light"/>
                <w:szCs w:val="17"/>
              </w:rPr>
              <w:t xml:space="preserve"> being introduced. This RIS forms a substantial part of the work in establishing a baseline.</w:t>
            </w:r>
          </w:p>
        </w:tc>
      </w:tr>
      <w:tr w:rsidR="003720D2" w:rsidRPr="00435E98" w14:paraId="1C0AF00C" w14:textId="77777777" w:rsidTr="00015CB1">
        <w:trPr>
          <w:trHeight w:val="308"/>
        </w:trPr>
        <w:tc>
          <w:tcPr>
            <w:tcW w:w="1667" w:type="pct"/>
          </w:tcPr>
          <w:p w14:paraId="0DFCC684" w14:textId="77777777" w:rsidR="003720D2" w:rsidRPr="00435E98" w:rsidRDefault="003720D2" w:rsidP="003720D2">
            <w:pPr>
              <w:spacing w:after="0"/>
              <w:rPr>
                <w:rFonts w:asciiTheme="minorHAnsi" w:hAnsiTheme="minorHAnsi" w:cs="Segoe UI Light"/>
                <w:szCs w:val="17"/>
              </w:rPr>
            </w:pPr>
            <w:r w:rsidRPr="00435E98">
              <w:rPr>
                <w:rFonts w:asciiTheme="minorHAnsi" w:hAnsiTheme="minorHAnsi" w:cs="Segoe UI Light"/>
                <w:szCs w:val="17"/>
              </w:rPr>
              <w:t>Data collection</w:t>
            </w:r>
          </w:p>
        </w:tc>
        <w:tc>
          <w:tcPr>
            <w:tcW w:w="3333" w:type="pct"/>
          </w:tcPr>
          <w:p w14:paraId="35586AEE" w14:textId="28494CFA" w:rsidR="003720D2" w:rsidRPr="00435E98" w:rsidRDefault="003720D2" w:rsidP="003720D2">
            <w:pPr>
              <w:spacing w:after="0"/>
              <w:rPr>
                <w:rFonts w:asciiTheme="minorHAnsi" w:hAnsiTheme="minorHAnsi" w:cs="Segoe UI Light"/>
                <w:szCs w:val="17"/>
              </w:rPr>
            </w:pPr>
            <w:r w:rsidRPr="00435E98">
              <w:rPr>
                <w:rFonts w:asciiTheme="minorHAnsi" w:hAnsiTheme="minorHAnsi" w:cs="Segoe UI Light"/>
                <w:szCs w:val="17"/>
              </w:rPr>
              <w:t xml:space="preserve">From introduction of </w:t>
            </w:r>
            <w:r w:rsidR="00023AD0" w:rsidRPr="00435E98">
              <w:rPr>
                <w:rFonts w:asciiTheme="minorHAnsi" w:hAnsiTheme="minorHAnsi" w:cs="Segoe UI Light"/>
                <w:szCs w:val="17"/>
              </w:rPr>
              <w:t>preferred option</w:t>
            </w:r>
            <w:r w:rsidRPr="00435E98">
              <w:rPr>
                <w:rFonts w:asciiTheme="minorHAnsi" w:hAnsiTheme="minorHAnsi" w:cs="Segoe UI Light"/>
                <w:szCs w:val="17"/>
              </w:rPr>
              <w:t>.</w:t>
            </w:r>
          </w:p>
        </w:tc>
      </w:tr>
      <w:tr w:rsidR="003720D2" w:rsidRPr="00435E98" w14:paraId="793E76E1" w14:textId="77777777" w:rsidTr="00015CB1">
        <w:trPr>
          <w:trHeight w:val="212"/>
        </w:trPr>
        <w:tc>
          <w:tcPr>
            <w:tcW w:w="1667" w:type="pct"/>
          </w:tcPr>
          <w:p w14:paraId="6AA7D00D" w14:textId="77777777" w:rsidR="003720D2" w:rsidRPr="00435E98" w:rsidRDefault="003720D2" w:rsidP="003720D2">
            <w:pPr>
              <w:spacing w:after="0"/>
              <w:rPr>
                <w:rFonts w:asciiTheme="minorHAnsi" w:hAnsiTheme="minorHAnsi" w:cs="Segoe UI Light"/>
                <w:szCs w:val="17"/>
              </w:rPr>
            </w:pPr>
            <w:r w:rsidRPr="00435E98">
              <w:rPr>
                <w:rFonts w:asciiTheme="minorHAnsi" w:hAnsiTheme="minorHAnsi" w:cs="Segoe UI Light"/>
                <w:szCs w:val="17"/>
              </w:rPr>
              <w:t>Data monitoring and reporting</w:t>
            </w:r>
          </w:p>
        </w:tc>
        <w:tc>
          <w:tcPr>
            <w:tcW w:w="3333" w:type="pct"/>
          </w:tcPr>
          <w:p w14:paraId="42E57ECE" w14:textId="64B2CB4B" w:rsidR="003720D2" w:rsidRPr="00435E98" w:rsidRDefault="003720D2" w:rsidP="003720D2">
            <w:pPr>
              <w:spacing w:after="0"/>
              <w:rPr>
                <w:rFonts w:asciiTheme="minorHAnsi" w:hAnsiTheme="minorHAnsi" w:cs="Segoe UI Light"/>
                <w:szCs w:val="17"/>
              </w:rPr>
            </w:pPr>
            <w:r w:rsidRPr="00435E98">
              <w:rPr>
                <w:rFonts w:asciiTheme="minorHAnsi" w:hAnsiTheme="minorHAnsi" w:cs="Segoe UI Light"/>
                <w:szCs w:val="17"/>
              </w:rPr>
              <w:t xml:space="preserve">From introduction of </w:t>
            </w:r>
            <w:r w:rsidR="00023AD0" w:rsidRPr="00435E98">
              <w:rPr>
                <w:rFonts w:asciiTheme="minorHAnsi" w:hAnsiTheme="minorHAnsi" w:cs="Segoe UI Light"/>
                <w:szCs w:val="17"/>
              </w:rPr>
              <w:t>preferred option</w:t>
            </w:r>
            <w:r w:rsidRPr="00435E98">
              <w:rPr>
                <w:rFonts w:asciiTheme="minorHAnsi" w:hAnsiTheme="minorHAnsi" w:cs="Segoe UI Light"/>
                <w:szCs w:val="17"/>
              </w:rPr>
              <w:t xml:space="preserve">. Review of data and outcomes will be continuous. </w:t>
            </w:r>
          </w:p>
        </w:tc>
      </w:tr>
      <w:tr w:rsidR="003720D2" w:rsidRPr="00435E98" w14:paraId="34F907B5" w14:textId="77777777" w:rsidTr="00015CB1">
        <w:trPr>
          <w:trHeight w:val="523"/>
        </w:trPr>
        <w:tc>
          <w:tcPr>
            <w:tcW w:w="1667" w:type="pct"/>
          </w:tcPr>
          <w:p w14:paraId="6C6391F8" w14:textId="7DF72BA8" w:rsidR="003720D2" w:rsidRPr="00435E98" w:rsidRDefault="005E7E85" w:rsidP="003720D2">
            <w:pPr>
              <w:spacing w:after="0"/>
              <w:rPr>
                <w:rFonts w:asciiTheme="minorHAnsi" w:hAnsiTheme="minorHAnsi" w:cs="Segoe UI Light"/>
                <w:szCs w:val="17"/>
              </w:rPr>
            </w:pPr>
            <w:r w:rsidRPr="00435E98">
              <w:rPr>
                <w:rFonts w:asciiTheme="minorHAnsi" w:hAnsiTheme="minorHAnsi" w:cs="Segoe UI Light"/>
                <w:szCs w:val="17"/>
              </w:rPr>
              <w:t>Early</w:t>
            </w:r>
            <w:r w:rsidR="003720D2" w:rsidRPr="00435E98">
              <w:rPr>
                <w:rFonts w:asciiTheme="minorHAnsi" w:hAnsiTheme="minorHAnsi" w:cs="Segoe UI Light"/>
                <w:szCs w:val="17"/>
              </w:rPr>
              <w:t xml:space="preserve"> evaluation that assesses short term outcomes and identifies potential improvements </w:t>
            </w:r>
          </w:p>
        </w:tc>
        <w:tc>
          <w:tcPr>
            <w:tcW w:w="3333" w:type="pct"/>
          </w:tcPr>
          <w:p w14:paraId="42E3B73A" w14:textId="15CAF42A" w:rsidR="003720D2" w:rsidRPr="00435E98" w:rsidRDefault="003720D2" w:rsidP="003720D2">
            <w:pPr>
              <w:spacing w:after="0"/>
              <w:rPr>
                <w:rFonts w:asciiTheme="minorHAnsi" w:hAnsiTheme="minorHAnsi" w:cs="Segoe UI Light"/>
                <w:szCs w:val="17"/>
              </w:rPr>
            </w:pPr>
            <w:r w:rsidRPr="00435E98">
              <w:rPr>
                <w:rFonts w:asciiTheme="minorHAnsi" w:hAnsiTheme="minorHAnsi" w:cs="Segoe UI Light"/>
                <w:szCs w:val="17"/>
              </w:rPr>
              <w:t xml:space="preserve">Third year of operation of the </w:t>
            </w:r>
            <w:r w:rsidR="00023AD0" w:rsidRPr="00435E98">
              <w:rPr>
                <w:rFonts w:asciiTheme="minorHAnsi" w:hAnsiTheme="minorHAnsi" w:cs="Segoe UI Light"/>
                <w:szCs w:val="17"/>
              </w:rPr>
              <w:t>preferred option.</w:t>
            </w:r>
          </w:p>
        </w:tc>
      </w:tr>
      <w:tr w:rsidR="003720D2" w:rsidRPr="00435E98" w14:paraId="05DAE605" w14:textId="77777777" w:rsidTr="00015CB1">
        <w:trPr>
          <w:trHeight w:val="523"/>
        </w:trPr>
        <w:tc>
          <w:tcPr>
            <w:tcW w:w="1667" w:type="pct"/>
          </w:tcPr>
          <w:p w14:paraId="50A98A36" w14:textId="4A75CBB4" w:rsidR="003720D2" w:rsidRPr="00435E98" w:rsidRDefault="003720D2" w:rsidP="003720D2">
            <w:pPr>
              <w:spacing w:after="0"/>
              <w:rPr>
                <w:rFonts w:asciiTheme="minorHAnsi" w:hAnsiTheme="minorHAnsi" w:cs="Segoe UI Light"/>
                <w:szCs w:val="17"/>
              </w:rPr>
            </w:pPr>
            <w:r w:rsidRPr="00435E98">
              <w:rPr>
                <w:rFonts w:asciiTheme="minorHAnsi" w:hAnsiTheme="minorHAnsi" w:cs="Segoe UI Light"/>
                <w:szCs w:val="17"/>
              </w:rPr>
              <w:t xml:space="preserve">Evaluation of effectiveness and efficiency of </w:t>
            </w:r>
            <w:r w:rsidR="00C15BDC" w:rsidRPr="00435E98">
              <w:rPr>
                <w:rFonts w:asciiTheme="minorHAnsi" w:hAnsiTheme="minorHAnsi" w:cs="Segoe UI Light"/>
                <w:szCs w:val="17"/>
              </w:rPr>
              <w:t>preferred option</w:t>
            </w:r>
          </w:p>
        </w:tc>
        <w:tc>
          <w:tcPr>
            <w:tcW w:w="3333" w:type="pct"/>
          </w:tcPr>
          <w:p w14:paraId="13282332" w14:textId="3FBF5B06" w:rsidR="003720D2" w:rsidRPr="00435E98" w:rsidRDefault="00FA6A86" w:rsidP="003720D2">
            <w:pPr>
              <w:spacing w:after="0"/>
              <w:rPr>
                <w:rFonts w:asciiTheme="minorHAnsi" w:hAnsiTheme="minorHAnsi" w:cs="Segoe UI Light"/>
                <w:szCs w:val="17"/>
              </w:rPr>
            </w:pPr>
            <w:r w:rsidRPr="00435E98">
              <w:rPr>
                <w:rFonts w:asciiTheme="minorHAnsi" w:hAnsiTheme="minorHAnsi" w:cs="Segoe UI Light"/>
                <w:szCs w:val="17"/>
              </w:rPr>
              <w:t>After 10 years</w:t>
            </w:r>
            <w:r w:rsidR="00510AF9">
              <w:rPr>
                <w:rFonts w:asciiTheme="minorHAnsi" w:hAnsiTheme="minorHAnsi" w:cs="Segoe UI Light"/>
                <w:szCs w:val="17"/>
              </w:rPr>
              <w:t>.</w:t>
            </w:r>
          </w:p>
        </w:tc>
      </w:tr>
    </w:tbl>
    <w:p w14:paraId="39B711C7" w14:textId="77777777" w:rsidR="003720D2" w:rsidRPr="003720D2" w:rsidRDefault="003720D2" w:rsidP="003720D2">
      <w:pPr>
        <w:spacing w:after="0"/>
      </w:pPr>
    </w:p>
    <w:p w14:paraId="3A55ED37" w14:textId="2B13D697" w:rsidR="00FB527A" w:rsidRDefault="00EB497B" w:rsidP="005024F8">
      <w:pPr>
        <w:pStyle w:val="Heading1"/>
      </w:pPr>
      <w:bookmarkStart w:id="253" w:name="_Toc51238926"/>
      <w:bookmarkStart w:id="254" w:name="_Toc51238931"/>
      <w:bookmarkStart w:id="255" w:name="_Toc51238940"/>
      <w:bookmarkStart w:id="256" w:name="_Toc51238942"/>
      <w:bookmarkStart w:id="257" w:name="_Toc51238944"/>
      <w:bookmarkStart w:id="258" w:name="_Toc51238957"/>
      <w:bookmarkStart w:id="259" w:name="_Toc51238963"/>
      <w:bookmarkEnd w:id="249"/>
      <w:bookmarkEnd w:id="250"/>
      <w:bookmarkEnd w:id="253"/>
      <w:bookmarkEnd w:id="254"/>
      <w:bookmarkEnd w:id="255"/>
      <w:bookmarkEnd w:id="256"/>
      <w:bookmarkEnd w:id="257"/>
      <w:bookmarkEnd w:id="258"/>
      <w:bookmarkEnd w:id="259"/>
      <w:r>
        <w:lastRenderedPageBreak/>
        <w:t xml:space="preserve"> </w:t>
      </w:r>
      <w:bookmarkStart w:id="260" w:name="_Toc59612292"/>
      <w:r>
        <w:t>Reference</w:t>
      </w:r>
      <w:r w:rsidR="00577655">
        <w:t>s</w:t>
      </w:r>
      <w:bookmarkEnd w:id="260"/>
    </w:p>
    <w:p w14:paraId="13F2C1A0" w14:textId="77777777" w:rsidR="00176A52" w:rsidRPr="00E66890" w:rsidRDefault="00176A52" w:rsidP="00176A52">
      <w:pPr>
        <w:spacing w:afterLines="80" w:after="192"/>
      </w:pPr>
      <w:r>
        <w:t>A</w:t>
      </w:r>
      <w:r w:rsidRPr="00E66890">
        <w:t xml:space="preserve">llen Consulting Group. (2012). </w:t>
      </w:r>
      <w:hyperlink r:id="rId39" w:history="1">
        <w:r w:rsidRPr="00E66890">
          <w:rPr>
            <w:rStyle w:val="Hyperlink"/>
          </w:rPr>
          <w:t>The risk of carbon monoxide poisoning from domestic gas appliances Decision Regulations Impact Statement.</w:t>
        </w:r>
      </w:hyperlink>
    </w:p>
    <w:p w14:paraId="62FAD158" w14:textId="77777777" w:rsidR="00176A52" w:rsidRDefault="00176A52" w:rsidP="00176A52">
      <w:pPr>
        <w:pStyle w:val="FootnoteText"/>
        <w:spacing w:afterLines="80" w:after="192"/>
        <w:rPr>
          <w:sz w:val="18"/>
          <w:szCs w:val="18"/>
        </w:rPr>
      </w:pPr>
      <w:r w:rsidRPr="001C2CAC">
        <w:rPr>
          <w:sz w:val="18"/>
          <w:szCs w:val="18"/>
        </w:rPr>
        <w:t xml:space="preserve">Amazon. (2019). </w:t>
      </w:r>
      <w:hyperlink r:id="rId40" w:history="1">
        <w:r w:rsidRPr="001C2CAC">
          <w:rPr>
            <w:rStyle w:val="Hyperlink"/>
            <w:sz w:val="18"/>
            <w:szCs w:val="18"/>
          </w:rPr>
          <w:t>First Alert SCO500B Wireless Interconnected Photoelectric Smoke and Carbon Monoxide Combo Alarm with Voice and Location</w:t>
        </w:r>
      </w:hyperlink>
    </w:p>
    <w:p w14:paraId="4B3DFBFA" w14:textId="77777777" w:rsidR="00176A52" w:rsidRPr="001C2CAC" w:rsidRDefault="00176A52" w:rsidP="00176A52">
      <w:pPr>
        <w:pStyle w:val="FootnoteText"/>
        <w:spacing w:afterLines="80" w:after="192"/>
        <w:rPr>
          <w:sz w:val="18"/>
          <w:szCs w:val="18"/>
        </w:rPr>
      </w:pPr>
      <w:r w:rsidRPr="001C2CAC">
        <w:rPr>
          <w:sz w:val="18"/>
          <w:szCs w:val="18"/>
        </w:rPr>
        <w:t xml:space="preserve">Amazon. (2019). </w:t>
      </w:r>
      <w:hyperlink r:id="rId41" w:history="1">
        <w:r w:rsidRPr="001C2CAC">
          <w:rPr>
            <w:rStyle w:val="Hyperlink"/>
            <w:sz w:val="18"/>
            <w:szCs w:val="18"/>
          </w:rPr>
          <w:t>Kidde Tamper Resistant Plug-In Carbon Monoxide Detector Alarm with Battery Backup | Model KNCOB-DP2</w:t>
        </w:r>
      </w:hyperlink>
    </w:p>
    <w:p w14:paraId="23F88BF3" w14:textId="77777777" w:rsidR="00176A52" w:rsidRPr="001C2CAC" w:rsidRDefault="00176A52" w:rsidP="00176A52">
      <w:pPr>
        <w:spacing w:afterLines="80" w:after="192"/>
      </w:pPr>
      <w:r>
        <w:t xml:space="preserve">Austin Health. (2019). </w:t>
      </w:r>
      <w:hyperlink r:id="rId42" w:history="1">
        <w:r w:rsidRPr="00001D37">
          <w:rPr>
            <w:rStyle w:val="Hyperlink"/>
          </w:rPr>
          <w:t>Victorian Poisons Information Centre</w:t>
        </w:r>
      </w:hyperlink>
    </w:p>
    <w:p w14:paraId="111DB2DC" w14:textId="77777777" w:rsidR="00176A52" w:rsidRPr="001C2CAC" w:rsidRDefault="00176A52" w:rsidP="00176A52">
      <w:pPr>
        <w:pStyle w:val="FootnoteText"/>
        <w:spacing w:afterLines="80" w:after="192"/>
        <w:rPr>
          <w:sz w:val="18"/>
          <w:szCs w:val="18"/>
        </w:rPr>
      </w:pPr>
      <w:r w:rsidRPr="001C2CAC">
        <w:rPr>
          <w:sz w:val="18"/>
          <w:szCs w:val="18"/>
        </w:rPr>
        <w:t xml:space="preserve">Brooks. (2019). </w:t>
      </w:r>
      <w:hyperlink r:id="rId43" w:history="1">
        <w:r w:rsidRPr="001C2CAC">
          <w:rPr>
            <w:rStyle w:val="Hyperlink"/>
            <w:sz w:val="18"/>
            <w:szCs w:val="18"/>
          </w:rPr>
          <w:t>Carbon Monoxide Alarm (10-year Lithium battery)</w:t>
        </w:r>
      </w:hyperlink>
    </w:p>
    <w:p w14:paraId="3B6363A2" w14:textId="331C176D" w:rsidR="00176A52" w:rsidRPr="00E66890" w:rsidRDefault="00176A52" w:rsidP="00176A52">
      <w:pPr>
        <w:pStyle w:val="FootnoteText"/>
        <w:spacing w:afterLines="80" w:after="192"/>
        <w:rPr>
          <w:sz w:val="18"/>
          <w:szCs w:val="18"/>
        </w:rPr>
      </w:pPr>
      <w:r w:rsidRPr="00E66890">
        <w:rPr>
          <w:sz w:val="18"/>
          <w:szCs w:val="18"/>
        </w:rPr>
        <w:t xml:space="preserve">Commissioner for Better Regulation (2016). </w:t>
      </w:r>
      <w:hyperlink r:id="rId44" w:history="1">
        <w:r w:rsidRPr="00E66890">
          <w:rPr>
            <w:rStyle w:val="Hyperlink"/>
            <w:sz w:val="18"/>
            <w:szCs w:val="18"/>
          </w:rPr>
          <w:t>Victorian Guide to Regulation: A handbook for policy-makers in Victoria</w:t>
        </w:r>
      </w:hyperlink>
      <w:r w:rsidRPr="00E66890">
        <w:rPr>
          <w:sz w:val="18"/>
          <w:szCs w:val="18"/>
        </w:rPr>
        <w:t xml:space="preserve"> </w:t>
      </w:r>
    </w:p>
    <w:p w14:paraId="6EF22327" w14:textId="250CE51D" w:rsidR="00176A52" w:rsidRPr="00E66890" w:rsidRDefault="00176A52" w:rsidP="00176A52">
      <w:pPr>
        <w:spacing w:afterLines="80" w:after="192"/>
      </w:pPr>
      <w:r w:rsidRPr="00E66890">
        <w:t>Consumer Affairs Victoria. (</w:t>
      </w:r>
      <w:r w:rsidR="00E175E8" w:rsidRPr="00E66890">
        <w:t>December</w:t>
      </w:r>
      <w:r w:rsidRPr="00E66890">
        <w:t xml:space="preserve"> 2019). </w:t>
      </w:r>
      <w:hyperlink r:id="rId45" w:history="1">
        <w:r w:rsidRPr="00E66890">
          <w:rPr>
            <w:rStyle w:val="Hyperlink"/>
          </w:rPr>
          <w:t>Gas appliances - safety advice for tenants and residents</w:t>
        </w:r>
      </w:hyperlink>
      <w:r w:rsidRPr="00E66890">
        <w:t xml:space="preserve"> </w:t>
      </w:r>
    </w:p>
    <w:p w14:paraId="5A3B7F2F" w14:textId="7ABE5835" w:rsidR="00176A52" w:rsidRPr="00E66890" w:rsidRDefault="00176A52" w:rsidP="00176A52">
      <w:pPr>
        <w:spacing w:afterLines="80" w:after="192"/>
      </w:pPr>
      <w:r w:rsidRPr="00E66890">
        <w:t>Consumer Affairs Victoria. (</w:t>
      </w:r>
      <w:r w:rsidR="00E175E8" w:rsidRPr="00E66890">
        <w:t>December</w:t>
      </w:r>
      <w:r w:rsidRPr="00E66890">
        <w:t xml:space="preserve"> 2019). </w:t>
      </w:r>
      <w:hyperlink r:id="rId46" w:history="1">
        <w:r w:rsidRPr="00E66890">
          <w:rPr>
            <w:rStyle w:val="Hyperlink"/>
          </w:rPr>
          <w:t>Renting a home: a guide for tenants</w:t>
        </w:r>
      </w:hyperlink>
    </w:p>
    <w:p w14:paraId="378B1D32" w14:textId="77777777" w:rsidR="00176A52" w:rsidRPr="00E66890" w:rsidRDefault="00176A52" w:rsidP="00176A52">
      <w:pPr>
        <w:spacing w:afterLines="80" w:after="192"/>
      </w:pPr>
      <w:r w:rsidRPr="00E66890">
        <w:t xml:space="preserve">Coroners Court. (2018). </w:t>
      </w:r>
      <w:hyperlink r:id="rId47" w:history="1">
        <w:r w:rsidRPr="00C05212">
          <w:rPr>
            <w:rStyle w:val="Hyperlink"/>
            <w:i/>
            <w:iCs/>
          </w:rPr>
          <w:t>Inquest into the death of Sonia Sofianopoulos</w:t>
        </w:r>
        <w:r w:rsidRPr="00E66890">
          <w:rPr>
            <w:rStyle w:val="Hyperlink"/>
          </w:rPr>
          <w:t xml:space="preserve"> (File no. COR 2017/3566).</w:t>
        </w:r>
      </w:hyperlink>
    </w:p>
    <w:p w14:paraId="6EEBC8F3" w14:textId="77777777" w:rsidR="00176A52" w:rsidRPr="00E66890" w:rsidRDefault="00176A52" w:rsidP="00176A52">
      <w:pPr>
        <w:spacing w:afterLines="80" w:after="192"/>
      </w:pPr>
      <w:r w:rsidRPr="00E66890">
        <w:t xml:space="preserve">Coroners Court of Victoria. (July 2013). </w:t>
      </w:r>
      <w:r w:rsidRPr="00C05212">
        <w:rPr>
          <w:i/>
          <w:iCs/>
        </w:rPr>
        <w:t>Inquest into the death of Chase Robinson</w:t>
      </w:r>
      <w:r w:rsidRPr="00E66890">
        <w:t xml:space="preserve"> (File No. COR 2010 2037) </w:t>
      </w:r>
    </w:p>
    <w:p w14:paraId="6688FE8C" w14:textId="77777777" w:rsidR="00176A52" w:rsidRPr="00E66890" w:rsidRDefault="00176A52" w:rsidP="00176A52">
      <w:pPr>
        <w:spacing w:afterLines="80" w:after="192"/>
      </w:pPr>
      <w:r w:rsidRPr="00E66890">
        <w:t xml:space="preserve">Coroners Court of Victoria. (July 2013). </w:t>
      </w:r>
      <w:r w:rsidRPr="00C05212">
        <w:rPr>
          <w:i/>
          <w:iCs/>
        </w:rPr>
        <w:t>Inquest into the death of Tyler Robinson</w:t>
      </w:r>
      <w:r w:rsidRPr="00E66890">
        <w:t xml:space="preserve"> (File No. COR 2010 2038)</w:t>
      </w:r>
    </w:p>
    <w:p w14:paraId="25B6B767" w14:textId="475C0608" w:rsidR="00176A52" w:rsidRPr="00E66890" w:rsidRDefault="00176A52" w:rsidP="00176A52">
      <w:pPr>
        <w:spacing w:afterLines="80" w:after="192"/>
      </w:pPr>
      <w:r>
        <w:t xml:space="preserve">Department of Environment, Land Water and Planning. </w:t>
      </w:r>
      <w:r w:rsidRPr="00E66890">
        <w:t xml:space="preserve">(2019). </w:t>
      </w:r>
      <w:r w:rsidRPr="00E66890">
        <w:rPr>
          <w:i/>
        </w:rPr>
        <w:t>Confidential – check testing of open flued heaters – just OFGH 13.08.2018.xls</w:t>
      </w:r>
    </w:p>
    <w:p w14:paraId="6DA6C3F4" w14:textId="77777777" w:rsidR="00176A52" w:rsidRDefault="00176A52" w:rsidP="00176A52">
      <w:pPr>
        <w:spacing w:afterLines="80" w:after="192"/>
      </w:pPr>
      <w:r>
        <w:t xml:space="preserve">Department of Environment, Land Water and Planning. (2019). </w:t>
      </w:r>
      <w:hyperlink r:id="rId48" w:history="1">
        <w:r w:rsidRPr="009D55E8">
          <w:rPr>
            <w:rStyle w:val="Hyperlink"/>
          </w:rPr>
          <w:t>Save Energy and Money</w:t>
        </w:r>
      </w:hyperlink>
    </w:p>
    <w:p w14:paraId="31B86A2B" w14:textId="77777777" w:rsidR="00176A52" w:rsidRPr="00E66890" w:rsidRDefault="00176A52" w:rsidP="00176A52">
      <w:pPr>
        <w:pStyle w:val="FootnoteText"/>
        <w:spacing w:afterLines="80" w:after="192"/>
        <w:rPr>
          <w:i/>
          <w:sz w:val="18"/>
          <w:szCs w:val="18"/>
        </w:rPr>
      </w:pPr>
      <w:r>
        <w:rPr>
          <w:sz w:val="18"/>
          <w:szCs w:val="18"/>
        </w:rPr>
        <w:t xml:space="preserve">Department of Environment, Land Water and Planning. </w:t>
      </w:r>
      <w:r w:rsidRPr="00E66890">
        <w:rPr>
          <w:sz w:val="18"/>
          <w:szCs w:val="18"/>
        </w:rPr>
        <w:t xml:space="preserve">(2018). </w:t>
      </w:r>
      <w:r w:rsidRPr="00E66890">
        <w:rPr>
          <w:i/>
          <w:sz w:val="18"/>
          <w:szCs w:val="18"/>
        </w:rPr>
        <w:t>GAS HEATERS - REGULATORY POWERS.docx</w:t>
      </w:r>
    </w:p>
    <w:p w14:paraId="0ACDB749" w14:textId="77777777" w:rsidR="00176A52" w:rsidRPr="009D55E8" w:rsidRDefault="00176A52" w:rsidP="00176A52">
      <w:pPr>
        <w:spacing w:afterLines="80" w:after="192"/>
      </w:pPr>
      <w:r w:rsidRPr="00E66890">
        <w:t>Department of Health and Human Services</w:t>
      </w:r>
      <w:r w:rsidRPr="001C2CAC">
        <w:t xml:space="preserve">. (2019, September 20). </w:t>
      </w:r>
      <w:r w:rsidRPr="009D55E8">
        <w:t>Summary of DHHS gas heater removals March 2018 to September 2019</w:t>
      </w:r>
      <w:r>
        <w:t>.pdf</w:t>
      </w:r>
    </w:p>
    <w:p w14:paraId="10FD1FD3" w14:textId="77777777" w:rsidR="00176A52" w:rsidRDefault="00176A52" w:rsidP="00176A52">
      <w:pPr>
        <w:spacing w:afterLines="80" w:after="192"/>
      </w:pPr>
      <w:r w:rsidRPr="00E66890">
        <w:t>Department of Health and Human Services</w:t>
      </w:r>
      <w:r>
        <w:t xml:space="preserve">. </w:t>
      </w:r>
      <w:r w:rsidRPr="001C2CAC">
        <w:t xml:space="preserve">(2018). </w:t>
      </w:r>
      <w:r w:rsidRPr="00001D37">
        <w:t>Victorian Carbon Monoxide Admission Analysis</w:t>
      </w:r>
      <w:r>
        <w:t>.pdf</w:t>
      </w:r>
    </w:p>
    <w:p w14:paraId="59BA8CE2" w14:textId="77777777" w:rsidR="00176A52" w:rsidRPr="00E66890" w:rsidRDefault="00176A52" w:rsidP="00176A52">
      <w:pPr>
        <w:spacing w:afterLines="80" w:after="192"/>
      </w:pPr>
      <w:r w:rsidRPr="00E66890">
        <w:t xml:space="preserve">Department of Health and Human Services. (2016). </w:t>
      </w:r>
      <w:hyperlink r:id="rId49" w:history="1">
        <w:r w:rsidRPr="00E66890">
          <w:rPr>
            <w:rStyle w:val="Hyperlink"/>
          </w:rPr>
          <w:t>Victorian Utility Consumption Household Survey 2015.</w:t>
        </w:r>
      </w:hyperlink>
    </w:p>
    <w:p w14:paraId="64BBB2E2" w14:textId="77777777" w:rsidR="00176A52" w:rsidRPr="001C2CAC" w:rsidRDefault="00176A52" w:rsidP="00176A52">
      <w:pPr>
        <w:pStyle w:val="FootnoteText"/>
        <w:spacing w:afterLines="80" w:after="192"/>
        <w:rPr>
          <w:sz w:val="18"/>
          <w:szCs w:val="18"/>
        </w:rPr>
      </w:pPr>
      <w:r>
        <w:rPr>
          <w:sz w:val="18"/>
          <w:szCs w:val="18"/>
        </w:rPr>
        <w:t xml:space="preserve">Department of the Prime Minister and cabinet. (2012). </w:t>
      </w:r>
      <w:hyperlink r:id="rId50" w:history="1">
        <w:r w:rsidRPr="009D55E8">
          <w:rPr>
            <w:rStyle w:val="Hyperlink"/>
            <w:sz w:val="18"/>
            <w:szCs w:val="18"/>
          </w:rPr>
          <w:t>GAS APPLIANCE (CARBON MONOXIDE) SAFETY STRATEGY – COAG DECISION REGULATION IMPACT STATEMENT – STANDING COUNCIL ON ENERGY AND RESOURCES</w:t>
        </w:r>
      </w:hyperlink>
      <w:r>
        <w:rPr>
          <w:sz w:val="18"/>
          <w:szCs w:val="18"/>
        </w:rPr>
        <w:t xml:space="preserve"> </w:t>
      </w:r>
    </w:p>
    <w:p w14:paraId="61E50070" w14:textId="5186D32D" w:rsidR="00640C5A" w:rsidRDefault="00640C5A" w:rsidP="00176A52">
      <w:pPr>
        <w:spacing w:afterLines="80" w:after="192"/>
        <w:rPr>
          <w:i/>
        </w:rPr>
      </w:pPr>
      <w:r w:rsidRPr="00CC4A0B">
        <w:t xml:space="preserve">Energy Efficient </w:t>
      </w:r>
      <w:r w:rsidRPr="00640C5A">
        <w:t>Strategies</w:t>
      </w:r>
      <w:r w:rsidRPr="000B7473">
        <w:t xml:space="preserve"> Pty. Ltd. (2018). </w:t>
      </w:r>
      <w:r w:rsidRPr="009776F4">
        <w:t>Victorian Housing Stock Open Flued Space Heater Estimates</w:t>
      </w:r>
    </w:p>
    <w:p w14:paraId="0FCA80D0" w14:textId="77777777" w:rsidR="00176A52" w:rsidRPr="001C2CAC" w:rsidRDefault="00176A52" w:rsidP="00176A52">
      <w:pPr>
        <w:spacing w:afterLines="80" w:after="192"/>
      </w:pPr>
      <w:r w:rsidRPr="001C2CAC">
        <w:t xml:space="preserve">Energy Safe Victoria. (2019). </w:t>
      </w:r>
      <w:hyperlink r:id="rId51" w:history="1">
        <w:r w:rsidRPr="001C2CAC">
          <w:rPr>
            <w:rStyle w:val="Hyperlink"/>
          </w:rPr>
          <w:t>FAQs – Open-flued gas heaters</w:t>
        </w:r>
      </w:hyperlink>
    </w:p>
    <w:p w14:paraId="66BC76F0" w14:textId="3C604D0D" w:rsidR="00176A52" w:rsidRDefault="00176A52" w:rsidP="00176A52">
      <w:pPr>
        <w:pStyle w:val="FootnoteText"/>
        <w:spacing w:afterLines="80" w:after="192"/>
        <w:rPr>
          <w:sz w:val="18"/>
          <w:szCs w:val="18"/>
        </w:rPr>
      </w:pPr>
      <w:r w:rsidRPr="001C2CAC">
        <w:rPr>
          <w:sz w:val="18"/>
          <w:szCs w:val="18"/>
        </w:rPr>
        <w:t xml:space="preserve">Energy Safe Victoria (2019). </w:t>
      </w:r>
      <w:hyperlink r:id="rId52" w:history="1">
        <w:r w:rsidRPr="00E641F3">
          <w:rPr>
            <w:rStyle w:val="Hyperlink"/>
            <w:sz w:val="18"/>
            <w:szCs w:val="18"/>
          </w:rPr>
          <w:t>Landlords and tenancy</w:t>
        </w:r>
      </w:hyperlink>
    </w:p>
    <w:p w14:paraId="672BCB0C" w14:textId="77777777" w:rsidR="00176A52" w:rsidRPr="001C2CAC" w:rsidRDefault="00176A52" w:rsidP="00176A52">
      <w:pPr>
        <w:pStyle w:val="FootnoteText"/>
        <w:spacing w:afterLines="80" w:after="192"/>
        <w:rPr>
          <w:sz w:val="18"/>
          <w:szCs w:val="18"/>
        </w:rPr>
      </w:pPr>
      <w:r w:rsidRPr="001C2CAC">
        <w:rPr>
          <w:sz w:val="18"/>
          <w:szCs w:val="18"/>
        </w:rPr>
        <w:lastRenderedPageBreak/>
        <w:t>Energy Safe Victoria</w:t>
      </w:r>
      <w:r>
        <w:rPr>
          <w:sz w:val="18"/>
          <w:szCs w:val="18"/>
        </w:rPr>
        <w:t>.</w:t>
      </w:r>
      <w:r w:rsidRPr="001C2CAC">
        <w:rPr>
          <w:sz w:val="18"/>
          <w:szCs w:val="18"/>
        </w:rPr>
        <w:t xml:space="preserve"> (2019). </w:t>
      </w:r>
      <w:hyperlink r:id="rId53" w:history="1">
        <w:r w:rsidRPr="001C2CAC">
          <w:rPr>
            <w:rStyle w:val="Hyperlink"/>
            <w:sz w:val="18"/>
            <w:szCs w:val="18"/>
          </w:rPr>
          <w:t>Victorians need to ‘Be Sure’ their gas heaters are safe ahead of winter</w:t>
        </w:r>
      </w:hyperlink>
    </w:p>
    <w:p w14:paraId="161980DA" w14:textId="77777777" w:rsidR="00176A52" w:rsidRPr="00E66890" w:rsidRDefault="00176A52" w:rsidP="00176A52">
      <w:pPr>
        <w:spacing w:afterLines="80" w:after="192"/>
      </w:pPr>
      <w:r w:rsidRPr="001C2CAC">
        <w:t>Energy Safe Victoria</w:t>
      </w:r>
      <w:r w:rsidRPr="00E66890">
        <w:t xml:space="preserve">. (2018). </w:t>
      </w:r>
      <w:hyperlink r:id="rId54" w:history="1">
        <w:r w:rsidRPr="00E66890">
          <w:rPr>
            <w:rStyle w:val="Hyperlink"/>
          </w:rPr>
          <w:t>Gas information sheet 36: Carbon monoxide alarms for domestic use</w:t>
        </w:r>
      </w:hyperlink>
    </w:p>
    <w:p w14:paraId="6B70D77A" w14:textId="77777777" w:rsidR="00176A52" w:rsidRPr="00E641F3" w:rsidRDefault="00176A52" w:rsidP="00176A52">
      <w:pPr>
        <w:spacing w:afterLines="80" w:after="192"/>
      </w:pPr>
      <w:r w:rsidRPr="001C2CAC">
        <w:t>Energy Safe Victoria</w:t>
      </w:r>
      <w:r w:rsidRPr="00E66890">
        <w:t xml:space="preserve">. (2018). </w:t>
      </w:r>
      <w:hyperlink r:id="rId55" w:history="1">
        <w:r w:rsidRPr="00E641F3">
          <w:rPr>
            <w:rStyle w:val="Hyperlink"/>
          </w:rPr>
          <w:t>Proposed Gas Safety (Gas Installation) Regulations 2018 – Discussion paper and draft regulations.</w:t>
        </w:r>
      </w:hyperlink>
    </w:p>
    <w:p w14:paraId="63074A92" w14:textId="77777777" w:rsidR="00176A52" w:rsidRPr="00E66890" w:rsidRDefault="00176A52" w:rsidP="00176A52">
      <w:pPr>
        <w:pStyle w:val="FootnoteText"/>
        <w:spacing w:afterLines="80" w:after="192"/>
        <w:rPr>
          <w:sz w:val="18"/>
          <w:szCs w:val="18"/>
        </w:rPr>
      </w:pPr>
      <w:r w:rsidRPr="00E66890">
        <w:rPr>
          <w:sz w:val="18"/>
          <w:szCs w:val="18"/>
        </w:rPr>
        <w:t>Essence. (2019, August). Energy Safe Victoria’s ‘Be Sure’ Campaign Evaluation Campaign Evaluation Report</w:t>
      </w:r>
    </w:p>
    <w:p w14:paraId="29C4A892" w14:textId="77777777" w:rsidR="00176A52" w:rsidRPr="001C2CAC" w:rsidRDefault="00176A52" w:rsidP="00176A52">
      <w:pPr>
        <w:pStyle w:val="FootnoteText"/>
        <w:spacing w:afterLines="80" w:after="192"/>
        <w:rPr>
          <w:sz w:val="18"/>
          <w:szCs w:val="18"/>
        </w:rPr>
      </w:pPr>
      <w:r w:rsidRPr="001C2CAC">
        <w:rPr>
          <w:sz w:val="18"/>
          <w:szCs w:val="18"/>
        </w:rPr>
        <w:t xml:space="preserve">Essence. (2018). </w:t>
      </w:r>
      <w:hyperlink r:id="rId56" w:history="1">
        <w:r w:rsidRPr="009D55E8">
          <w:rPr>
            <w:rStyle w:val="Hyperlink"/>
            <w:sz w:val="18"/>
            <w:szCs w:val="18"/>
          </w:rPr>
          <w:t>Energy Safe Victoria’s ‘Be SURE’ campaign</w:t>
        </w:r>
      </w:hyperlink>
    </w:p>
    <w:p w14:paraId="7883A13B" w14:textId="11BF1F56" w:rsidR="00176A52" w:rsidRPr="00E66890" w:rsidRDefault="00176A52" w:rsidP="00176A52">
      <w:pPr>
        <w:spacing w:afterLines="80" w:after="192"/>
      </w:pPr>
      <w:r w:rsidRPr="00E66890">
        <w:t xml:space="preserve">First Alert. (2019). </w:t>
      </w:r>
      <w:hyperlink r:id="rId57" w:history="1">
        <w:r w:rsidRPr="00E66890">
          <w:rPr>
            <w:rStyle w:val="Hyperlink"/>
            <w:i/>
          </w:rPr>
          <w:t>First Safety Laws and Legislation by State</w:t>
        </w:r>
      </w:hyperlink>
    </w:p>
    <w:p w14:paraId="6CCD5D7A" w14:textId="77777777" w:rsidR="00176A52" w:rsidRPr="00E66890" w:rsidRDefault="00176A52" w:rsidP="00176A52">
      <w:pPr>
        <w:spacing w:afterLines="80" w:after="192"/>
      </w:pPr>
      <w:r w:rsidRPr="00E641F3">
        <w:t xml:space="preserve">Health and Safety Executive. (2018). </w:t>
      </w:r>
      <w:hyperlink r:id="rId58" w:history="1">
        <w:r w:rsidRPr="00E641F3">
          <w:rPr>
            <w:rStyle w:val="Hyperlink"/>
          </w:rPr>
          <w:t>Safety in the installation and use of gas systems and appliances</w:t>
        </w:r>
      </w:hyperlink>
    </w:p>
    <w:p w14:paraId="1D87F3B4" w14:textId="6C21ED0C" w:rsidR="00176A52" w:rsidRPr="009D55E8" w:rsidRDefault="00176A52" w:rsidP="00176A52">
      <w:pPr>
        <w:pStyle w:val="FootnoteText"/>
        <w:spacing w:afterLines="80" w:after="192"/>
        <w:rPr>
          <w:sz w:val="18"/>
          <w:szCs w:val="18"/>
        </w:rPr>
      </w:pPr>
      <w:r w:rsidRPr="009D55E8">
        <w:rPr>
          <w:sz w:val="18"/>
          <w:szCs w:val="18"/>
        </w:rPr>
        <w:t xml:space="preserve">Health and Safety Executive. (2011). </w:t>
      </w:r>
      <w:hyperlink r:id="rId59" w:history="1">
        <w:r w:rsidRPr="009D55E8">
          <w:rPr>
            <w:rStyle w:val="Hyperlink"/>
            <w:sz w:val="18"/>
            <w:szCs w:val="18"/>
          </w:rPr>
          <w:t>Domestic carbon monoxide alarms: Long-term reliability and use scoping study</w:t>
        </w:r>
      </w:hyperlink>
    </w:p>
    <w:p w14:paraId="3A1E7C79" w14:textId="65640E22" w:rsidR="00176A52" w:rsidRPr="00E66890" w:rsidRDefault="00176A52" w:rsidP="00176A52">
      <w:pPr>
        <w:spacing w:afterLines="80" w:after="192"/>
      </w:pPr>
      <w:r w:rsidRPr="00E641F3">
        <w:t xml:space="preserve">Hseni. (n.d.). </w:t>
      </w:r>
      <w:hyperlink r:id="rId60" w:history="1">
        <w:r w:rsidRPr="00E641F3">
          <w:rPr>
            <w:rStyle w:val="Hyperlink"/>
          </w:rPr>
          <w:t>Carbon Monoxide alarms</w:t>
        </w:r>
      </w:hyperlink>
    </w:p>
    <w:p w14:paraId="3E99FC68" w14:textId="4A7F1095" w:rsidR="00176A52" w:rsidRPr="001C2CAC" w:rsidRDefault="00176A52" w:rsidP="00176A52">
      <w:pPr>
        <w:spacing w:afterLines="80" w:after="192"/>
      </w:pPr>
      <w:r w:rsidRPr="001C2CAC">
        <w:t xml:space="preserve">J. Rose et al. (2017). </w:t>
      </w:r>
      <w:r w:rsidRPr="001C2CAC">
        <w:rPr>
          <w:i/>
        </w:rPr>
        <w:t xml:space="preserve">Carbon Monoxide Poisoning: Pathogenesis, Management, and Future Directions of Therapy. </w:t>
      </w:r>
      <w:r w:rsidRPr="001C2CAC">
        <w:t>American Journal of Respiratory and Critical Care Medicine</w:t>
      </w:r>
    </w:p>
    <w:p w14:paraId="34750271" w14:textId="77777777" w:rsidR="00176A52" w:rsidRPr="00E66890" w:rsidRDefault="00176A52" w:rsidP="00176A52">
      <w:pPr>
        <w:spacing w:afterLines="80" w:after="192"/>
      </w:pPr>
      <w:r w:rsidRPr="00E641F3">
        <w:t xml:space="preserve">Legislation.Gov.uk. (2015). </w:t>
      </w:r>
      <w:hyperlink r:id="rId61" w:history="1">
        <w:r w:rsidRPr="00E641F3">
          <w:rPr>
            <w:rStyle w:val="Hyperlink"/>
          </w:rPr>
          <w:t>The Smoke and Carbon Monoxide Alarm (England) Regulations 2015</w:t>
        </w:r>
      </w:hyperlink>
    </w:p>
    <w:p w14:paraId="07EB68AB" w14:textId="77777777" w:rsidR="00176A52" w:rsidRPr="00E66890" w:rsidRDefault="00176A52" w:rsidP="00176A52">
      <w:pPr>
        <w:spacing w:afterLines="80" w:after="192"/>
      </w:pPr>
      <w:r w:rsidRPr="00E66890">
        <w:t>Milbur Consulting Ltd. (2008). Proposed Gas Safety (Gas Installation) Regulations 2008: Regulatory Impact Statement</w:t>
      </w:r>
    </w:p>
    <w:p w14:paraId="6D1B23C3" w14:textId="07AC02FE" w:rsidR="00176A52" w:rsidRPr="001C2CAC" w:rsidRDefault="00176A52" w:rsidP="00176A52">
      <w:pPr>
        <w:spacing w:afterLines="80" w:after="192"/>
      </w:pPr>
      <w:r w:rsidRPr="001C2CAC">
        <w:t xml:space="preserve">Molloy, S.B., Cheng, M., Galbally I.E., Keywood, M.D., Lawson, S.J. Powell, J.C., Gillett, R., Dunne, E., Selleck, P.W. (2012). </w:t>
      </w:r>
      <w:r w:rsidRPr="001C2CAC">
        <w:rPr>
          <w:i/>
        </w:rPr>
        <w:t>Indoor air quality in typical temperate zone Australian dwellings</w:t>
      </w:r>
      <w:r w:rsidRPr="001C2CAC">
        <w:t>. Elsevier: Atmospheric Environment 54(2012) p400-407</w:t>
      </w:r>
    </w:p>
    <w:p w14:paraId="4537E028" w14:textId="77777777" w:rsidR="00176A52" w:rsidRDefault="00176A52" w:rsidP="00176A52">
      <w:pPr>
        <w:spacing w:afterLines="80" w:after="192"/>
      </w:pPr>
      <w:r>
        <w:t xml:space="preserve">Nationwide House Energy Rating Scheme. (2019). </w:t>
      </w:r>
      <w:hyperlink r:id="rId62" w:history="1">
        <w:r w:rsidRPr="009D55E8">
          <w:rPr>
            <w:rStyle w:val="Hyperlink"/>
          </w:rPr>
          <w:t>Home energy star ratings</w:t>
        </w:r>
      </w:hyperlink>
    </w:p>
    <w:p w14:paraId="0B9F432A" w14:textId="77777777" w:rsidR="00176A52" w:rsidRPr="001C2CAC" w:rsidRDefault="00176A52" w:rsidP="00176A52">
      <w:pPr>
        <w:spacing w:afterLines="80" w:after="192"/>
        <w:rPr>
          <w:rFonts w:cs="Segoe UI Light"/>
        </w:rPr>
      </w:pPr>
      <w:r w:rsidRPr="001C2CAC">
        <w:t xml:space="preserve">Office of </w:t>
      </w:r>
      <w:r>
        <w:t>the Chief Parliamentary Counsel. (</w:t>
      </w:r>
      <w:r w:rsidRPr="00001D37">
        <w:t xml:space="preserve">2011). </w:t>
      </w:r>
      <w:hyperlink r:id="rId63" w:history="1">
        <w:r w:rsidRPr="00001D37">
          <w:rPr>
            <w:rStyle w:val="Hyperlink"/>
            <w:rFonts w:cs="Segoe UI Light"/>
          </w:rPr>
          <w:t>Subordinate Legislation Act Guidelines.</w:t>
        </w:r>
      </w:hyperlink>
      <w:r w:rsidRPr="001C2CAC">
        <w:rPr>
          <w:rFonts w:cs="Segoe UI Light"/>
        </w:rPr>
        <w:t xml:space="preserve"> </w:t>
      </w:r>
    </w:p>
    <w:p w14:paraId="77E0538F" w14:textId="77777777" w:rsidR="00176A52" w:rsidRPr="00E66890" w:rsidRDefault="00176A52" w:rsidP="00176A52">
      <w:pPr>
        <w:spacing w:afterLines="80" w:after="192"/>
      </w:pPr>
      <w:r w:rsidRPr="00E66890">
        <w:t xml:space="preserve">Ontario Ministry of the Solicitor General. (2016). </w:t>
      </w:r>
      <w:hyperlink r:id="rId64" w:anchor="P59_4811" w:history="1">
        <w:r w:rsidRPr="00E66890">
          <w:rPr>
            <w:rStyle w:val="Hyperlink"/>
          </w:rPr>
          <w:t>Carbon Monoxide Alarm Questions and Answers</w:t>
        </w:r>
      </w:hyperlink>
    </w:p>
    <w:p w14:paraId="73F282B7" w14:textId="6CFB7C19" w:rsidR="00176A52" w:rsidRPr="00E66890" w:rsidRDefault="00176A52" w:rsidP="00176A52">
      <w:pPr>
        <w:spacing w:afterLines="80" w:after="192"/>
      </w:pPr>
      <w:r w:rsidRPr="00E66890">
        <w:t xml:space="preserve">Palmer, G. (2012). </w:t>
      </w:r>
      <w:hyperlink r:id="rId65" w:history="1">
        <w:r w:rsidRPr="00E66890">
          <w:rPr>
            <w:rStyle w:val="Hyperlink"/>
            <w:i/>
          </w:rPr>
          <w:t>Does Energy Efficiency Reduce Emissions and Peak Demand? A Case Study of 50 Years of Space Heating in Melbourne</w:t>
        </w:r>
      </w:hyperlink>
      <w:r w:rsidRPr="00E66890">
        <w:t>. Sustainability, MDPI, Open Access Journal 4(7), p1-36</w:t>
      </w:r>
    </w:p>
    <w:p w14:paraId="398DAABB" w14:textId="77777777" w:rsidR="00176A52" w:rsidRDefault="00176A52" w:rsidP="00176A52">
      <w:pPr>
        <w:spacing w:afterLines="80" w:after="192"/>
      </w:pPr>
      <w:r>
        <w:t xml:space="preserve">Premier of Victoria. (2019). </w:t>
      </w:r>
      <w:hyperlink r:id="rId66" w:history="1">
        <w:r w:rsidRPr="009D55E8">
          <w:rPr>
            <w:rStyle w:val="Hyperlink"/>
          </w:rPr>
          <w:t>$3 Billion In Power Bill Savings For Victorians</w:t>
        </w:r>
      </w:hyperlink>
    </w:p>
    <w:p w14:paraId="0ADB9257" w14:textId="77777777" w:rsidR="00176A52" w:rsidRPr="00E66890" w:rsidRDefault="00176A52" w:rsidP="00176A52">
      <w:pPr>
        <w:spacing w:afterLines="80" w:after="192"/>
      </w:pPr>
      <w:r w:rsidRPr="00E66890">
        <w:t xml:space="preserve">Quantum Market Research. (2018, July). </w:t>
      </w:r>
      <w:r w:rsidRPr="00E66890">
        <w:rPr>
          <w:i/>
        </w:rPr>
        <w:t>Energy Safe Victoria Gas Heaters Report Draft.pdf</w:t>
      </w:r>
    </w:p>
    <w:p w14:paraId="2489D53F" w14:textId="77777777" w:rsidR="00176A52" w:rsidRDefault="00176A52" w:rsidP="00176A52">
      <w:pPr>
        <w:spacing w:afterLines="80" w:after="192"/>
      </w:pPr>
      <w:r w:rsidRPr="001C2CAC">
        <w:t xml:space="preserve">Quell. (2019). </w:t>
      </w:r>
      <w:hyperlink r:id="rId67" w:history="1">
        <w:r w:rsidRPr="001C2CAC">
          <w:rPr>
            <w:rStyle w:val="Hyperlink"/>
            <w:rFonts w:cs="Helvetica"/>
            <w:lang w:val="en-US"/>
          </w:rPr>
          <w:t>Carbon Monoxide Digital Display Alarm</w:t>
        </w:r>
      </w:hyperlink>
    </w:p>
    <w:p w14:paraId="56C689DB" w14:textId="06D4C345" w:rsidR="00176A52" w:rsidRPr="000276F0" w:rsidRDefault="00176A52" w:rsidP="00176A52">
      <w:pPr>
        <w:pStyle w:val="FootnoteText"/>
        <w:spacing w:afterLines="80" w:after="192"/>
        <w:rPr>
          <w:i/>
          <w:sz w:val="18"/>
          <w:szCs w:val="18"/>
        </w:rPr>
      </w:pPr>
      <w:r w:rsidRPr="000276F0">
        <w:rPr>
          <w:i/>
          <w:sz w:val="18"/>
          <w:szCs w:val="18"/>
        </w:rPr>
        <w:t>Residential Tenancies Act 1997</w:t>
      </w:r>
    </w:p>
    <w:p w14:paraId="19A38AB3" w14:textId="77777777" w:rsidR="00176A52" w:rsidRDefault="00176A52" w:rsidP="00176A52">
      <w:pPr>
        <w:spacing w:afterLines="80" w:after="192"/>
      </w:pPr>
      <w:r w:rsidRPr="002D135B">
        <w:t xml:space="preserve">Scottish Government. (2019). </w:t>
      </w:r>
      <w:hyperlink r:id="rId68" w:history="1">
        <w:r w:rsidRPr="002D135B">
          <w:rPr>
            <w:rStyle w:val="Hyperlink"/>
          </w:rPr>
          <w:t>Fire and smoke alarms: changes to the law</w:t>
        </w:r>
      </w:hyperlink>
      <w:r w:rsidRPr="002D135B">
        <w:t xml:space="preserve"> </w:t>
      </w:r>
    </w:p>
    <w:p w14:paraId="320CBD56" w14:textId="77777777" w:rsidR="00176A52" w:rsidRPr="00E66890" w:rsidRDefault="00176A52" w:rsidP="00176A52">
      <w:pPr>
        <w:spacing w:afterLines="80" w:after="192"/>
      </w:pPr>
      <w:r>
        <w:t xml:space="preserve">Scottish Government. (2016). </w:t>
      </w:r>
      <w:hyperlink r:id="rId69" w:history="1">
        <w:r w:rsidRPr="007A22AB">
          <w:rPr>
            <w:rStyle w:val="Hyperlink"/>
          </w:rPr>
          <w:t>Carbon monoxide alarms in private rented properties: guidance</w:t>
        </w:r>
      </w:hyperlink>
    </w:p>
    <w:p w14:paraId="2DC84A95" w14:textId="77777777" w:rsidR="00176A52" w:rsidRPr="001C2CAC" w:rsidRDefault="00176A52" w:rsidP="00176A52">
      <w:pPr>
        <w:spacing w:afterLines="80" w:after="192"/>
      </w:pPr>
      <w:r w:rsidRPr="001C2CAC">
        <w:t xml:space="preserve">Standards Australia. (2019). </w:t>
      </w:r>
      <w:hyperlink r:id="rId70" w:history="1">
        <w:r w:rsidRPr="001C2CAC">
          <w:rPr>
            <w:rStyle w:val="Hyperlink"/>
          </w:rPr>
          <w:t>Our process</w:t>
        </w:r>
      </w:hyperlink>
    </w:p>
    <w:p w14:paraId="77E214C3" w14:textId="77777777" w:rsidR="00176A52" w:rsidRPr="00E66890" w:rsidRDefault="00176A52" w:rsidP="00176A52">
      <w:pPr>
        <w:spacing w:afterLines="80" w:after="192"/>
      </w:pPr>
      <w:r w:rsidRPr="00E66890">
        <w:t xml:space="preserve">Sustainability Victoria. (2020). </w:t>
      </w:r>
      <w:hyperlink r:id="rId71" w:history="1">
        <w:r w:rsidRPr="00E66890">
          <w:rPr>
            <w:rStyle w:val="Hyperlink"/>
          </w:rPr>
          <w:t>Heating running costs</w:t>
        </w:r>
      </w:hyperlink>
      <w:r w:rsidRPr="00E66890">
        <w:t xml:space="preserve">. </w:t>
      </w:r>
    </w:p>
    <w:p w14:paraId="3743667D" w14:textId="77777777" w:rsidR="00176A52" w:rsidRPr="001C2CAC" w:rsidRDefault="00176A52" w:rsidP="00176A52">
      <w:pPr>
        <w:spacing w:afterLines="80" w:after="192"/>
      </w:pPr>
      <w:r>
        <w:t xml:space="preserve">Sustainability Victoria. (2019). </w:t>
      </w:r>
      <w:hyperlink r:id="rId72" w:history="1">
        <w:r w:rsidRPr="009D55E8">
          <w:rPr>
            <w:rStyle w:val="Hyperlink"/>
          </w:rPr>
          <w:t>Energy Efficiency Upgrade Potential</w:t>
        </w:r>
      </w:hyperlink>
      <w:r>
        <w:t xml:space="preserve"> </w:t>
      </w:r>
    </w:p>
    <w:p w14:paraId="2FBFA7BF" w14:textId="77777777" w:rsidR="00176A52" w:rsidRPr="001C2CAC" w:rsidRDefault="00176A52" w:rsidP="00176A52">
      <w:pPr>
        <w:spacing w:afterLines="80" w:after="192"/>
      </w:pPr>
      <w:r>
        <w:t xml:space="preserve">Sustainability Victoria. (2019). </w:t>
      </w:r>
      <w:hyperlink r:id="rId73" w:history="1">
        <w:r w:rsidRPr="009D55E8">
          <w:rPr>
            <w:rStyle w:val="Hyperlink"/>
          </w:rPr>
          <w:t>Energy ratings, construction codes and standards</w:t>
        </w:r>
      </w:hyperlink>
    </w:p>
    <w:p w14:paraId="66931829" w14:textId="77777777" w:rsidR="00176A52" w:rsidRDefault="00176A52" w:rsidP="00176A52">
      <w:pPr>
        <w:spacing w:afterLines="80" w:after="192"/>
      </w:pPr>
      <w:r>
        <w:lastRenderedPageBreak/>
        <w:t>Sustainability Victoria. (2019).</w:t>
      </w:r>
      <w:r w:rsidRPr="00001D37">
        <w:t xml:space="preserve"> </w:t>
      </w:r>
      <w:hyperlink r:id="rId74" w:history="1">
        <w:r w:rsidRPr="00001D37">
          <w:rPr>
            <w:rStyle w:val="Hyperlink"/>
          </w:rPr>
          <w:t>Victorian Healthy Homes Program</w:t>
        </w:r>
      </w:hyperlink>
    </w:p>
    <w:p w14:paraId="3412CB91" w14:textId="77777777" w:rsidR="00176A52" w:rsidRPr="001C2CAC" w:rsidRDefault="00176A52" w:rsidP="00176A52">
      <w:pPr>
        <w:pStyle w:val="FootnoteText"/>
        <w:spacing w:afterLines="80" w:after="192"/>
        <w:rPr>
          <w:sz w:val="18"/>
          <w:szCs w:val="18"/>
        </w:rPr>
      </w:pPr>
      <w:r w:rsidRPr="001C2CAC">
        <w:rPr>
          <w:sz w:val="18"/>
          <w:szCs w:val="18"/>
        </w:rPr>
        <w:t xml:space="preserve">Victorian Building Association. (n.d.). </w:t>
      </w:r>
      <w:hyperlink r:id="rId75" w:history="1">
        <w:r w:rsidRPr="001C2CAC">
          <w:rPr>
            <w:rStyle w:val="Hyperlink"/>
            <w:sz w:val="18"/>
            <w:szCs w:val="18"/>
          </w:rPr>
          <w:t>Negative air pressure and carbon monoxide spillage training video</w:t>
        </w:r>
      </w:hyperlink>
    </w:p>
    <w:p w14:paraId="50183804" w14:textId="77777777" w:rsidR="00176A52" w:rsidRPr="001C2CAC" w:rsidRDefault="00176A52" w:rsidP="00176A52">
      <w:pPr>
        <w:spacing w:afterLines="80" w:after="192"/>
      </w:pPr>
      <w:r w:rsidRPr="00E66890">
        <w:t xml:space="preserve">Victoria State Government. (2018). </w:t>
      </w:r>
      <w:hyperlink r:id="rId76" w:history="1">
        <w:r w:rsidRPr="00E66890">
          <w:rPr>
            <w:rStyle w:val="Hyperlink"/>
          </w:rPr>
          <w:t>Victorian Government response to the coronial inquest into the death of Sonia Sofianopoulos.</w:t>
        </w:r>
      </w:hyperlink>
    </w:p>
    <w:p w14:paraId="583C12FE" w14:textId="77777777" w:rsidR="00176A52" w:rsidRPr="00D0445E" w:rsidRDefault="00176A52" w:rsidP="00CC4A0B"/>
    <w:p w14:paraId="771FA536" w14:textId="5F010D15" w:rsidR="0014299C" w:rsidRDefault="0014299C">
      <w:pPr>
        <w:pStyle w:val="Heading1un-numbered"/>
      </w:pPr>
      <w:bookmarkStart w:id="261" w:name="_Toc18960200"/>
      <w:bookmarkStart w:id="262" w:name="_Toc59612293"/>
      <w:bookmarkEnd w:id="205"/>
      <w:r>
        <w:lastRenderedPageBreak/>
        <w:t xml:space="preserve">Appendix </w:t>
      </w:r>
      <w:r w:rsidR="0056586C">
        <w:t>A</w:t>
      </w:r>
      <w:r>
        <w:t xml:space="preserve"> - </w:t>
      </w:r>
      <w:r w:rsidRPr="00C30915">
        <w:t>Stakeholder consultation</w:t>
      </w:r>
      <w:bookmarkEnd w:id="261"/>
      <w:bookmarkEnd w:id="262"/>
    </w:p>
    <w:p w14:paraId="56AEFE95" w14:textId="77777777" w:rsidR="00A43F77" w:rsidRPr="00A43F77" w:rsidRDefault="00A43F77" w:rsidP="00FF5BFF">
      <w:pPr>
        <w:keepNext/>
        <w:keepLines/>
        <w:spacing w:before="240" w:after="0"/>
        <w:outlineLvl w:val="1"/>
        <w:rPr>
          <w:rFonts w:eastAsiaTheme="majorEastAsia" w:cstheme="majorBidi"/>
          <w:b/>
          <w:bCs/>
          <w:color w:val="62B5E5" w:themeColor="accent3"/>
          <w:szCs w:val="26"/>
        </w:rPr>
      </w:pPr>
      <w:bookmarkStart w:id="263" w:name="_Toc19092425"/>
      <w:r w:rsidRPr="00A43F77">
        <w:rPr>
          <w:rFonts w:eastAsiaTheme="majorEastAsia" w:cstheme="majorBidi"/>
          <w:b/>
          <w:bCs/>
          <w:color w:val="62B5E5" w:themeColor="accent3"/>
          <w:szCs w:val="26"/>
        </w:rPr>
        <w:t>Who was consulted?</w:t>
      </w:r>
    </w:p>
    <w:p w14:paraId="12698967" w14:textId="251E5C23" w:rsidR="00A43F77" w:rsidRPr="00A43F77" w:rsidRDefault="00A43F77" w:rsidP="00A43F77">
      <w:r w:rsidRPr="00A43F77">
        <w:t>Consult</w:t>
      </w:r>
      <w:r w:rsidR="00465389">
        <w:t>ation</w:t>
      </w:r>
      <w:r w:rsidRPr="00A43F77">
        <w:t xml:space="preserve"> was undertaken with:</w:t>
      </w:r>
    </w:p>
    <w:p w14:paraId="75C8DDC7" w14:textId="2ED85090" w:rsidR="00A43F77" w:rsidRPr="00A43F77" w:rsidRDefault="00A43F77" w:rsidP="00A43F77">
      <w:pPr>
        <w:numPr>
          <w:ilvl w:val="0"/>
          <w:numId w:val="57"/>
        </w:numPr>
        <w:contextualSpacing/>
      </w:pPr>
      <w:r w:rsidRPr="00A43F77">
        <w:t>Department of Jobs</w:t>
      </w:r>
      <w:r w:rsidR="00F071DB">
        <w:t>,</w:t>
      </w:r>
      <w:r w:rsidRPr="00A43F77">
        <w:t xml:space="preserve"> Precincts and Regions</w:t>
      </w:r>
    </w:p>
    <w:p w14:paraId="35F0FF53" w14:textId="529911C6" w:rsidR="00A43F77" w:rsidRPr="00A43F77" w:rsidRDefault="00A43F77" w:rsidP="00A43F77">
      <w:pPr>
        <w:numPr>
          <w:ilvl w:val="0"/>
          <w:numId w:val="57"/>
        </w:numPr>
        <w:contextualSpacing/>
      </w:pPr>
      <w:r w:rsidRPr="00A43F77">
        <w:t>Department of Health and Human Services Victoria</w:t>
      </w:r>
    </w:p>
    <w:p w14:paraId="554BCD98" w14:textId="47619E93" w:rsidR="0040010C" w:rsidRPr="00A43F77" w:rsidRDefault="0040010C" w:rsidP="00A43F77">
      <w:pPr>
        <w:numPr>
          <w:ilvl w:val="0"/>
          <w:numId w:val="57"/>
        </w:numPr>
        <w:contextualSpacing/>
      </w:pPr>
      <w:r>
        <w:t>Depar</w:t>
      </w:r>
      <w:r w:rsidR="00DC695B">
        <w:t xml:space="preserve">tment of </w:t>
      </w:r>
      <w:r w:rsidR="00A117F0">
        <w:t>Justice and Community S</w:t>
      </w:r>
      <w:r w:rsidR="002C766C">
        <w:t>af</w:t>
      </w:r>
      <w:r w:rsidR="00B21885">
        <w:t>ety</w:t>
      </w:r>
    </w:p>
    <w:p w14:paraId="070D3B8E" w14:textId="39D9C569" w:rsidR="00C8037F" w:rsidRPr="00A43F77" w:rsidRDefault="0087407F" w:rsidP="00A43F77">
      <w:pPr>
        <w:numPr>
          <w:ilvl w:val="0"/>
          <w:numId w:val="57"/>
        </w:numPr>
        <w:contextualSpacing/>
      </w:pPr>
      <w:r>
        <w:t xml:space="preserve">Department of </w:t>
      </w:r>
      <w:r w:rsidR="00F255AB">
        <w:t>Treasury</w:t>
      </w:r>
      <w:r>
        <w:t xml:space="preserve"> and Finance</w:t>
      </w:r>
    </w:p>
    <w:p w14:paraId="605E23C9" w14:textId="57335602" w:rsidR="0087407F" w:rsidRPr="00A43F77" w:rsidRDefault="004245CE" w:rsidP="00A43F77">
      <w:pPr>
        <w:numPr>
          <w:ilvl w:val="0"/>
          <w:numId w:val="57"/>
        </w:numPr>
        <w:contextualSpacing/>
      </w:pPr>
      <w:r>
        <w:t>Department of Premier and Cabinet</w:t>
      </w:r>
    </w:p>
    <w:p w14:paraId="67776490" w14:textId="455E2714" w:rsidR="00F255AB" w:rsidRPr="00A43F77" w:rsidRDefault="00F255AB" w:rsidP="00A43F77">
      <w:pPr>
        <w:numPr>
          <w:ilvl w:val="0"/>
          <w:numId w:val="57"/>
        </w:numPr>
        <w:contextualSpacing/>
      </w:pPr>
      <w:r>
        <w:t>Department of Education and Training</w:t>
      </w:r>
    </w:p>
    <w:p w14:paraId="797FD982" w14:textId="77777777" w:rsidR="00A43F77" w:rsidRPr="00A43F77" w:rsidRDefault="00A43F77" w:rsidP="00A43F77">
      <w:pPr>
        <w:numPr>
          <w:ilvl w:val="0"/>
          <w:numId w:val="57"/>
        </w:numPr>
        <w:contextualSpacing/>
      </w:pPr>
      <w:r w:rsidRPr="00A43F77">
        <w:t>Eight manufacturing businesses: Climate Technologies, Fireplace Products Australia, Glen Dimplex Australia, Illusion Australia, Jetmaster Australia, Seeley International - group consult</w:t>
      </w:r>
    </w:p>
    <w:p w14:paraId="38C83F92" w14:textId="77777777" w:rsidR="00A43F77" w:rsidRPr="00A43F77" w:rsidRDefault="00A43F77" w:rsidP="00A43F77">
      <w:pPr>
        <w:numPr>
          <w:ilvl w:val="0"/>
          <w:numId w:val="57"/>
        </w:numPr>
        <w:contextualSpacing/>
      </w:pPr>
      <w:r w:rsidRPr="00A43F77">
        <w:t>GAMAA – one-on-one consult plus group consult</w:t>
      </w:r>
    </w:p>
    <w:p w14:paraId="753B9AE1" w14:textId="77777777" w:rsidR="00A43F77" w:rsidRPr="00A43F77" w:rsidRDefault="00A43F77" w:rsidP="00A43F77">
      <w:pPr>
        <w:numPr>
          <w:ilvl w:val="0"/>
          <w:numId w:val="57"/>
        </w:numPr>
        <w:contextualSpacing/>
      </w:pPr>
      <w:r w:rsidRPr="00A43F77">
        <w:t>Australian Gas Association – group consult</w:t>
      </w:r>
    </w:p>
    <w:p w14:paraId="0AB19796" w14:textId="77777777" w:rsidR="00A43F77" w:rsidRPr="00A43F77" w:rsidRDefault="00A43F77" w:rsidP="00A43F77">
      <w:pPr>
        <w:numPr>
          <w:ilvl w:val="0"/>
          <w:numId w:val="57"/>
        </w:numPr>
        <w:contextualSpacing/>
      </w:pPr>
      <w:r w:rsidRPr="00A43F77">
        <w:t>International Association of Plumbing and Mechanical Officials – group consult</w:t>
      </w:r>
    </w:p>
    <w:p w14:paraId="5A11140E" w14:textId="77777777" w:rsidR="00A43F77" w:rsidRPr="00A43F77" w:rsidRDefault="00A43F77" w:rsidP="00A43F77">
      <w:pPr>
        <w:numPr>
          <w:ilvl w:val="0"/>
          <w:numId w:val="57"/>
        </w:numPr>
        <w:contextualSpacing/>
      </w:pPr>
      <w:r w:rsidRPr="00A43F77">
        <w:t>British Standards Institution – group consult</w:t>
      </w:r>
    </w:p>
    <w:p w14:paraId="5C3B50A0" w14:textId="77777777" w:rsidR="00A43F77" w:rsidRPr="00A43F77" w:rsidRDefault="00A43F77" w:rsidP="00A43F77">
      <w:pPr>
        <w:numPr>
          <w:ilvl w:val="0"/>
          <w:numId w:val="57"/>
        </w:numPr>
        <w:contextualSpacing/>
      </w:pPr>
      <w:r w:rsidRPr="00A43F77">
        <w:t>SAI Global – group consult</w:t>
      </w:r>
    </w:p>
    <w:p w14:paraId="6A90E769" w14:textId="77777777" w:rsidR="00A43F77" w:rsidRPr="00A43F77" w:rsidRDefault="00A43F77" w:rsidP="00A43F77">
      <w:pPr>
        <w:numPr>
          <w:ilvl w:val="0"/>
          <w:numId w:val="57"/>
        </w:numPr>
        <w:contextualSpacing/>
      </w:pPr>
      <w:r w:rsidRPr="00A43F77">
        <w:t>Global Mark – group consult</w:t>
      </w:r>
    </w:p>
    <w:p w14:paraId="540A8674" w14:textId="77777777" w:rsidR="00A43F77" w:rsidRPr="00A43F77" w:rsidRDefault="00A43F77" w:rsidP="00A43F77">
      <w:pPr>
        <w:numPr>
          <w:ilvl w:val="0"/>
          <w:numId w:val="57"/>
        </w:numPr>
        <w:contextualSpacing/>
      </w:pPr>
      <w:r w:rsidRPr="00A43F77">
        <w:t>Joint Accreditation System of Australia and New Zealand – group consult</w:t>
      </w:r>
    </w:p>
    <w:p w14:paraId="32D4EBC7" w14:textId="77777777" w:rsidR="00A43F77" w:rsidRPr="00A43F77" w:rsidRDefault="00A43F77" w:rsidP="00A43F77">
      <w:pPr>
        <w:numPr>
          <w:ilvl w:val="0"/>
          <w:numId w:val="57"/>
        </w:numPr>
        <w:contextualSpacing/>
      </w:pPr>
      <w:r w:rsidRPr="00A43F77">
        <w:t>Community Housing Industry Association of Victoria – group consult</w:t>
      </w:r>
    </w:p>
    <w:p w14:paraId="2D6610C1" w14:textId="77777777" w:rsidR="00A43F77" w:rsidRPr="00A43F77" w:rsidRDefault="00A43F77" w:rsidP="00A43F77">
      <w:pPr>
        <w:numPr>
          <w:ilvl w:val="0"/>
          <w:numId w:val="57"/>
        </w:numPr>
        <w:contextualSpacing/>
      </w:pPr>
      <w:r w:rsidRPr="00A43F77">
        <w:t>Victorian Council of Social Service – group consult</w:t>
      </w:r>
    </w:p>
    <w:p w14:paraId="3F9D7F53" w14:textId="77777777" w:rsidR="00A43F77" w:rsidRPr="00A43F77" w:rsidRDefault="00A43F77" w:rsidP="00A43F77">
      <w:pPr>
        <w:numPr>
          <w:ilvl w:val="0"/>
          <w:numId w:val="57"/>
        </w:numPr>
        <w:contextualSpacing/>
      </w:pPr>
      <w:r w:rsidRPr="00A43F77">
        <w:t xml:space="preserve">Brotherhood of Saint Laurence – group consult </w:t>
      </w:r>
    </w:p>
    <w:p w14:paraId="5E142D86" w14:textId="4F6BB654" w:rsidR="008B384D" w:rsidRPr="00A43F77" w:rsidRDefault="00A43F77" w:rsidP="00A43F77">
      <w:pPr>
        <w:numPr>
          <w:ilvl w:val="0"/>
          <w:numId w:val="57"/>
        </w:numPr>
        <w:contextualSpacing/>
      </w:pPr>
      <w:r w:rsidRPr="00A43F77">
        <w:t>Victoria’s Public Tenants Association – group consult</w:t>
      </w:r>
    </w:p>
    <w:p w14:paraId="30536819" w14:textId="77777777" w:rsidR="0041658A" w:rsidRDefault="0041658A" w:rsidP="000276F0">
      <w:pPr>
        <w:ind w:left="720"/>
        <w:contextualSpacing/>
      </w:pPr>
    </w:p>
    <w:p w14:paraId="2E3F8279" w14:textId="723E9FCF" w:rsidR="00A43F77" w:rsidRPr="00A43F77" w:rsidRDefault="00A43F77" w:rsidP="00A43F77">
      <w:r w:rsidRPr="00A43F77">
        <w:t xml:space="preserve">In addition, ESV and the VBA were engaged with by DELWP to supply ongoing technical advice in relation to the options, and information on the industry. </w:t>
      </w:r>
    </w:p>
    <w:p w14:paraId="557D2C21" w14:textId="6C934028" w:rsidR="00A43F77" w:rsidRPr="00F453FF" w:rsidRDefault="00A43F77" w:rsidP="00A43F77">
      <w:r w:rsidRPr="00A43F77">
        <w:t xml:space="preserve">In addition to direct stakeholder engagement, DELWP and Deloitte also prepared a Discussion Paper, which was posted on the EngageVic </w:t>
      </w:r>
      <w:hyperlink r:id="rId77" w:history="1">
        <w:r w:rsidRPr="00F453FF">
          <w:rPr>
            <w:u w:val="single"/>
          </w:rPr>
          <w:t>website</w:t>
        </w:r>
      </w:hyperlink>
      <w:r w:rsidRPr="00A43F77">
        <w:t xml:space="preserve"> on 4 December 2019 and emailed to key stakeholders that had expressed their interest in the RIS. </w:t>
      </w:r>
      <w:r w:rsidRPr="00F453FF">
        <w:t>Additionally, an Addendum to the Discussion Paper was posted on the EngageVic website on 23 December 2019 and emailed to key stakeholders. Responses to the Discussion Paper and Addendum closed on 31 January 2020. DELWP received a total of 44 responses to the Discussion Paper and Addendum, which have contributed to options development.</w:t>
      </w:r>
    </w:p>
    <w:p w14:paraId="67D31F6C" w14:textId="77777777" w:rsidR="009E578A" w:rsidRPr="009E578A" w:rsidRDefault="009E578A">
      <w:pPr>
        <w:pStyle w:val="Heading2"/>
      </w:pPr>
      <w:r w:rsidRPr="009E578A">
        <w:t>How were they consulted?</w:t>
      </w:r>
    </w:p>
    <w:p w14:paraId="29696B3F" w14:textId="77777777" w:rsidR="009E578A" w:rsidRPr="009E578A" w:rsidRDefault="009E578A" w:rsidP="009E578A">
      <w:pPr>
        <w:rPr>
          <w:rFonts w:eastAsiaTheme="minorEastAsia" w:cs="Segoe UI Light"/>
          <w:lang w:eastAsia="en-AU"/>
        </w:rPr>
      </w:pPr>
      <w:r w:rsidRPr="009E578A">
        <w:rPr>
          <w:rFonts w:eastAsiaTheme="minorEastAsia" w:cs="Segoe UI Light"/>
          <w:lang w:eastAsia="en-AU"/>
        </w:rPr>
        <w:t xml:space="preserve">Stakeholders were consulted in one of three ways: </w:t>
      </w:r>
    </w:p>
    <w:p w14:paraId="4C4410C6" w14:textId="77777777" w:rsidR="009E578A" w:rsidRPr="009E578A" w:rsidRDefault="009E578A" w:rsidP="009E578A">
      <w:pPr>
        <w:numPr>
          <w:ilvl w:val="0"/>
          <w:numId w:val="12"/>
        </w:numPr>
        <w:contextualSpacing/>
        <w:rPr>
          <w:szCs w:val="17"/>
          <w:lang w:eastAsia="en-AU"/>
        </w:rPr>
      </w:pPr>
      <w:r w:rsidRPr="009E578A">
        <w:rPr>
          <w:szCs w:val="17"/>
          <w:lang w:eastAsia="en-AU"/>
        </w:rPr>
        <w:t>Discussion paper</w:t>
      </w:r>
    </w:p>
    <w:p w14:paraId="6A44614E" w14:textId="77777777" w:rsidR="009E578A" w:rsidRPr="009E578A" w:rsidRDefault="009E578A" w:rsidP="009E578A">
      <w:pPr>
        <w:numPr>
          <w:ilvl w:val="0"/>
          <w:numId w:val="12"/>
        </w:numPr>
        <w:contextualSpacing/>
        <w:rPr>
          <w:szCs w:val="17"/>
          <w:lang w:eastAsia="en-AU"/>
        </w:rPr>
      </w:pPr>
      <w:r w:rsidRPr="009E578A">
        <w:rPr>
          <w:szCs w:val="17"/>
          <w:lang w:eastAsia="en-AU"/>
        </w:rPr>
        <w:t>Semi-structured one-on-one interviews</w:t>
      </w:r>
    </w:p>
    <w:p w14:paraId="5C55E452" w14:textId="77777777" w:rsidR="009E578A" w:rsidRPr="009E578A" w:rsidRDefault="009E578A" w:rsidP="009E578A">
      <w:pPr>
        <w:numPr>
          <w:ilvl w:val="0"/>
          <w:numId w:val="12"/>
        </w:numPr>
        <w:contextualSpacing/>
        <w:rPr>
          <w:szCs w:val="17"/>
          <w:lang w:eastAsia="en-AU"/>
        </w:rPr>
      </w:pPr>
      <w:r w:rsidRPr="009E578A">
        <w:rPr>
          <w:szCs w:val="17"/>
          <w:lang w:eastAsia="en-AU"/>
        </w:rPr>
        <w:t>Semi-structured group interviews.</w:t>
      </w:r>
    </w:p>
    <w:p w14:paraId="662508B6" w14:textId="77777777" w:rsidR="009E578A" w:rsidRPr="00417E05" w:rsidRDefault="009E578A">
      <w:pPr>
        <w:pStyle w:val="Heading2"/>
      </w:pPr>
      <w:r w:rsidRPr="009E578A">
        <w:t>What information was collected?</w:t>
      </w:r>
    </w:p>
    <w:p w14:paraId="35CC0FAD" w14:textId="77777777" w:rsidR="009E578A" w:rsidRPr="009E578A" w:rsidRDefault="009E578A" w:rsidP="009E578A">
      <w:r w:rsidRPr="009E578A">
        <w:t>Stakeholders were asked about the underlying problem of CO poisoning and OFGSHs, potential options to address the problem, costs and feasibility of potential options, and benefits of different options.</w:t>
      </w:r>
    </w:p>
    <w:p w14:paraId="7082265A" w14:textId="77777777" w:rsidR="009E578A" w:rsidRPr="00417E05" w:rsidRDefault="009E578A">
      <w:pPr>
        <w:pStyle w:val="Heading2"/>
      </w:pPr>
      <w:r w:rsidRPr="009E578A">
        <w:t>How information collected has been incorporated into the RIS?</w:t>
      </w:r>
    </w:p>
    <w:p w14:paraId="4C0647FA" w14:textId="6151443D" w:rsidR="00417E05" w:rsidRDefault="009E578A" w:rsidP="009E578A">
      <w:pPr>
        <w:rPr>
          <w:color w:val="000000" w:themeColor="text1"/>
        </w:rPr>
      </w:pPr>
      <w:r w:rsidRPr="009E578A">
        <w:rPr>
          <w:color w:val="000000" w:themeColor="text1"/>
        </w:rPr>
        <w:t xml:space="preserve">The information collected has been incorporated into the RIS primarily to inform the analysis of the costs and benefits associated with each of the options. </w:t>
      </w:r>
    </w:p>
    <w:p w14:paraId="05B3BA78" w14:textId="77777777" w:rsidR="00417E05" w:rsidRDefault="00417E05">
      <w:pPr>
        <w:spacing w:after="0"/>
        <w:rPr>
          <w:color w:val="000000" w:themeColor="text1"/>
        </w:rPr>
      </w:pPr>
      <w:r>
        <w:rPr>
          <w:color w:val="000000" w:themeColor="text1"/>
        </w:rPr>
        <w:br w:type="page"/>
      </w:r>
    </w:p>
    <w:p w14:paraId="28041046" w14:textId="77777777" w:rsidR="009E578A" w:rsidRPr="00417E05" w:rsidRDefault="009E578A">
      <w:pPr>
        <w:pStyle w:val="Heading2"/>
      </w:pPr>
      <w:r w:rsidRPr="009E578A">
        <w:lastRenderedPageBreak/>
        <w:t>Key themes by topic</w:t>
      </w:r>
    </w:p>
    <w:p w14:paraId="3EF107B9" w14:textId="57958CCC" w:rsidR="009E578A" w:rsidRPr="009E578A" w:rsidRDefault="009E578A" w:rsidP="009E578A">
      <w:pPr>
        <w:rPr>
          <w:rFonts w:cs="Segoe UI Light"/>
        </w:rPr>
      </w:pPr>
      <w:r w:rsidRPr="009E578A">
        <w:rPr>
          <w:rFonts w:cs="Segoe UI Light"/>
        </w:rPr>
        <w:t>A number of key themes emerged from the stakeholder consultations</w:t>
      </w:r>
      <w:r w:rsidR="00435E98">
        <w:rPr>
          <w:rFonts w:cs="Segoe UI Light"/>
        </w:rPr>
        <w:t xml:space="preserve"> as set out in the following table.</w:t>
      </w:r>
    </w:p>
    <w:p w14:paraId="3FC22A2F" w14:textId="3C9F4E27" w:rsidR="009E578A" w:rsidRPr="009E578A" w:rsidRDefault="009E578A" w:rsidP="009E578A">
      <w:pPr>
        <w:rPr>
          <w:iCs/>
          <w:color w:val="75787B" w:themeColor="accent6"/>
        </w:rPr>
      </w:pPr>
      <w:r w:rsidRPr="009E578A">
        <w:rPr>
          <w:iCs/>
          <w:color w:val="75787B" w:themeColor="accent6"/>
        </w:rPr>
        <w:t>Consultation themes</w:t>
      </w:r>
    </w:p>
    <w:tbl>
      <w:tblPr>
        <w:tblStyle w:val="Deloittetable124"/>
        <w:tblW w:w="0" w:type="auto"/>
        <w:tblLook w:val="04A0" w:firstRow="1" w:lastRow="0" w:firstColumn="1" w:lastColumn="0" w:noHBand="0" w:noVBand="1"/>
      </w:tblPr>
      <w:tblGrid>
        <w:gridCol w:w="1377"/>
        <w:gridCol w:w="7649"/>
      </w:tblGrid>
      <w:tr w:rsidR="009E578A" w:rsidRPr="009E578A" w14:paraId="269FF2AF" w14:textId="77777777" w:rsidTr="00DA7D7D">
        <w:trPr>
          <w:cnfStyle w:val="100000000000" w:firstRow="1" w:lastRow="0" w:firstColumn="0" w:lastColumn="0" w:oddVBand="0" w:evenVBand="0" w:oddHBand="0" w:evenHBand="0" w:firstRowFirstColumn="0" w:firstRowLastColumn="0" w:lastRowFirstColumn="0" w:lastRowLastColumn="0"/>
          <w:cantSplit/>
          <w:tblHeader/>
        </w:trPr>
        <w:tc>
          <w:tcPr>
            <w:tcW w:w="0" w:type="dxa"/>
          </w:tcPr>
          <w:p w14:paraId="16D92F15" w14:textId="77777777" w:rsidR="009E578A" w:rsidRPr="009E578A" w:rsidRDefault="009E578A" w:rsidP="009E578A">
            <w:pPr>
              <w:rPr>
                <w:rFonts w:cs="Segoe UI Light"/>
                <w:b/>
              </w:rPr>
            </w:pPr>
            <w:r w:rsidRPr="009E578A">
              <w:rPr>
                <w:rFonts w:cs="Segoe UI Light"/>
                <w:b/>
              </w:rPr>
              <w:t xml:space="preserve">Theme </w:t>
            </w:r>
          </w:p>
        </w:tc>
        <w:tc>
          <w:tcPr>
            <w:tcW w:w="7655" w:type="dxa"/>
          </w:tcPr>
          <w:p w14:paraId="24F00296" w14:textId="0DE1D544" w:rsidR="009E578A" w:rsidRPr="009E578A" w:rsidRDefault="009E578A" w:rsidP="009E578A">
            <w:pPr>
              <w:rPr>
                <w:rFonts w:cs="Segoe UI Light"/>
                <w:b/>
              </w:rPr>
            </w:pPr>
            <w:r w:rsidRPr="009E578A">
              <w:rPr>
                <w:rFonts w:cs="Segoe UI Light"/>
                <w:b/>
              </w:rPr>
              <w:t>Key discussion points</w:t>
            </w:r>
          </w:p>
        </w:tc>
      </w:tr>
      <w:tr w:rsidR="009E578A" w:rsidRPr="009E578A" w14:paraId="7F68349F" w14:textId="77777777" w:rsidTr="00DA7D7D">
        <w:trPr>
          <w:cantSplit/>
        </w:trPr>
        <w:tc>
          <w:tcPr>
            <w:tcW w:w="0" w:type="dxa"/>
          </w:tcPr>
          <w:p w14:paraId="612DF445" w14:textId="77777777" w:rsidR="009E578A" w:rsidRPr="009E578A" w:rsidRDefault="009E578A" w:rsidP="009E578A">
            <w:pPr>
              <w:ind w:right="147"/>
              <w:rPr>
                <w:rFonts w:cs="Segoe UI Light"/>
              </w:rPr>
            </w:pPr>
            <w:r w:rsidRPr="009E578A">
              <w:rPr>
                <w:rFonts w:cs="Segoe UI Light"/>
              </w:rPr>
              <w:t>Risk/problem</w:t>
            </w:r>
          </w:p>
        </w:tc>
        <w:tc>
          <w:tcPr>
            <w:tcW w:w="7655" w:type="dxa"/>
          </w:tcPr>
          <w:p w14:paraId="3B00ECF5" w14:textId="77777777" w:rsidR="009E578A" w:rsidRPr="009E578A" w:rsidRDefault="009E578A" w:rsidP="009E578A">
            <w:pPr>
              <w:rPr>
                <w:rFonts w:cs="Segoe UI Light"/>
              </w:rPr>
            </w:pPr>
            <w:r w:rsidRPr="009E578A">
              <w:rPr>
                <w:rFonts w:cs="Segoe UI Light"/>
              </w:rPr>
              <w:t>Broadly there is consensus that there is a problem that needs addressing.</w:t>
            </w:r>
          </w:p>
          <w:p w14:paraId="2D8F5071" w14:textId="77777777" w:rsidR="009E578A" w:rsidRPr="009E578A" w:rsidRDefault="009E578A" w:rsidP="009E578A">
            <w:pPr>
              <w:rPr>
                <w:rFonts w:cs="Segoe UI Light"/>
              </w:rPr>
            </w:pPr>
            <w:r w:rsidRPr="009E578A">
              <w:rPr>
                <w:rFonts w:cs="Segoe UI Light"/>
              </w:rPr>
              <w:t>Some manufacturers indicated there has been improvement in the situation, with an increase in servicing requests.</w:t>
            </w:r>
          </w:p>
          <w:p w14:paraId="6E0DC5EE" w14:textId="77777777" w:rsidR="009E578A" w:rsidRPr="009E578A" w:rsidRDefault="009E578A" w:rsidP="009E578A">
            <w:pPr>
              <w:rPr>
                <w:rFonts w:cs="Segoe UI Light"/>
              </w:rPr>
            </w:pPr>
            <w:r w:rsidRPr="009E578A">
              <w:rPr>
                <w:rFonts w:cs="Segoe UI Light"/>
              </w:rPr>
              <w:t>Manufactures noted that the conversations between retailers and customers have changed. Customers now ask about the appropriateness of OFGSHs for their homes and discuss ventilation. But in many cases the retailers initiate the conversation because of nervousness about selling OFGSHs.</w:t>
            </w:r>
          </w:p>
          <w:p w14:paraId="216F3539" w14:textId="66872AA7" w:rsidR="009E578A" w:rsidRPr="009E578A" w:rsidRDefault="009E578A" w:rsidP="009E578A">
            <w:pPr>
              <w:rPr>
                <w:rFonts w:cs="Segoe UI Light"/>
              </w:rPr>
            </w:pPr>
            <w:r w:rsidRPr="009E578A">
              <w:rPr>
                <w:rFonts w:cs="Segoe UI Light"/>
              </w:rPr>
              <w:t xml:space="preserve">Manufacturers noted that there has already been a major impact on their turnover through a dramatic shift away from flued appliances. Service calls have increased, but sales of flued devices have fallen significantly. This is due not just to safety concerns, but the trend towards reverse-cycle </w:t>
            </w:r>
            <w:r w:rsidR="00454291" w:rsidRPr="009E578A">
              <w:rPr>
                <w:rFonts w:cs="Segoe UI Light"/>
              </w:rPr>
              <w:t>air conditioning</w:t>
            </w:r>
            <w:r w:rsidRPr="009E578A">
              <w:rPr>
                <w:rFonts w:cs="Segoe UI Light"/>
              </w:rPr>
              <w:t>.</w:t>
            </w:r>
          </w:p>
          <w:p w14:paraId="425985A0" w14:textId="77777777" w:rsidR="009E578A" w:rsidRPr="009E578A" w:rsidRDefault="009E578A" w:rsidP="009E578A">
            <w:pPr>
              <w:rPr>
                <w:rFonts w:cs="Segoe UI Light"/>
              </w:rPr>
            </w:pPr>
            <w:r w:rsidRPr="009E578A">
              <w:rPr>
                <w:rFonts w:cs="Segoe UI Light"/>
              </w:rPr>
              <w:t>Manufacturers observed that another death is unlikely given the positive changes that have already taken place, but that in any case the real risk is from the 350,000 heaters that are already installed, not from those being installed while the RIS is being prepared.</w:t>
            </w:r>
          </w:p>
        </w:tc>
      </w:tr>
      <w:tr w:rsidR="009E578A" w:rsidRPr="009E578A" w14:paraId="25301B5D" w14:textId="77777777" w:rsidTr="00DA7D7D">
        <w:trPr>
          <w:cantSplit/>
        </w:trPr>
        <w:tc>
          <w:tcPr>
            <w:tcW w:w="0" w:type="dxa"/>
          </w:tcPr>
          <w:p w14:paraId="5BB7AE5F" w14:textId="77777777" w:rsidR="009E578A" w:rsidRPr="009E578A" w:rsidDel="00714EED" w:rsidRDefault="009E578A" w:rsidP="009E578A">
            <w:pPr>
              <w:ind w:right="147"/>
              <w:rPr>
                <w:rFonts w:cs="Segoe UI Light"/>
              </w:rPr>
            </w:pPr>
            <w:r w:rsidRPr="009E578A">
              <w:rPr>
                <w:rFonts w:cs="Segoe UI Light"/>
              </w:rPr>
              <w:t>Risk from environmental factors</w:t>
            </w:r>
          </w:p>
        </w:tc>
        <w:tc>
          <w:tcPr>
            <w:tcW w:w="7655" w:type="dxa"/>
          </w:tcPr>
          <w:p w14:paraId="30A96108" w14:textId="77777777" w:rsidR="009E578A" w:rsidRPr="009E578A" w:rsidRDefault="009E578A" w:rsidP="009E578A">
            <w:pPr>
              <w:rPr>
                <w:rFonts w:cs="Segoe UI Light"/>
              </w:rPr>
            </w:pPr>
            <w:r w:rsidRPr="009E578A">
              <w:rPr>
                <w:rFonts w:cs="Segoe UI Light"/>
              </w:rPr>
              <w:t>Manufacturers questioned whether too much emphasis is being placed on OFGSHs as the source of the risk rather than acknowledging the part played by modern house design and construction technologies. Manufacturers discussed the balance of responsibility between malfunctioning heaters and lack of ventilation.</w:t>
            </w:r>
          </w:p>
          <w:p w14:paraId="6CFC46AC" w14:textId="77777777" w:rsidR="009E578A" w:rsidRPr="009E578A" w:rsidRDefault="009E578A" w:rsidP="009E578A">
            <w:pPr>
              <w:rPr>
                <w:rFonts w:cs="Segoe UI Light"/>
              </w:rPr>
            </w:pPr>
            <w:r w:rsidRPr="009E578A">
              <w:rPr>
                <w:rFonts w:cs="Segoe UI Light"/>
              </w:rPr>
              <w:t>Concern was expressed by manufacturers that there is no trigger for builders renovating or otherwise modifying a home to consider the presence of a flued appliance and how its safety might be compromised. There was also concern about the trend towards building sealed homes and the failure to recognise the full safety implications of doing so.</w:t>
            </w:r>
          </w:p>
        </w:tc>
      </w:tr>
      <w:tr w:rsidR="009E578A" w:rsidRPr="009E578A" w14:paraId="79DC4864" w14:textId="77777777" w:rsidTr="00DA7D7D">
        <w:trPr>
          <w:cantSplit/>
        </w:trPr>
        <w:tc>
          <w:tcPr>
            <w:tcW w:w="0" w:type="dxa"/>
          </w:tcPr>
          <w:p w14:paraId="41968166" w14:textId="77777777" w:rsidR="009E578A" w:rsidRPr="009E578A" w:rsidRDefault="009E578A" w:rsidP="009E578A">
            <w:pPr>
              <w:ind w:right="147"/>
              <w:rPr>
                <w:rFonts w:cs="Segoe UI Light"/>
              </w:rPr>
            </w:pPr>
            <w:r w:rsidRPr="009E578A">
              <w:rPr>
                <w:rFonts w:cs="Segoe UI Light"/>
              </w:rPr>
              <w:t>Broader gas industry impacts of a ban</w:t>
            </w:r>
          </w:p>
        </w:tc>
        <w:tc>
          <w:tcPr>
            <w:tcW w:w="7655" w:type="dxa"/>
          </w:tcPr>
          <w:p w14:paraId="45EEEBE3" w14:textId="77777777" w:rsidR="009E578A" w:rsidRPr="009E578A" w:rsidRDefault="009E578A" w:rsidP="009E578A">
            <w:pPr>
              <w:rPr>
                <w:rFonts w:cs="Segoe UI Light"/>
              </w:rPr>
            </w:pPr>
            <w:r w:rsidRPr="009E578A">
              <w:rPr>
                <w:rFonts w:cs="Segoe UI Light"/>
              </w:rPr>
              <w:t>GAMAA and manufacturers expressed concerns around the potential ‘contagion effect’ that could cause damage to the reputation of the broader gas industry. A ban could have unintended consequences for the whole gas industry e.g. if the message was over-simplified in media reports and there is a perception in the community that all gas heaters are banned.</w:t>
            </w:r>
          </w:p>
        </w:tc>
      </w:tr>
      <w:tr w:rsidR="009E578A" w:rsidRPr="009E578A" w14:paraId="5ECD7BDF" w14:textId="77777777" w:rsidTr="00DA7D7D">
        <w:trPr>
          <w:cantSplit/>
        </w:trPr>
        <w:tc>
          <w:tcPr>
            <w:tcW w:w="0" w:type="dxa"/>
          </w:tcPr>
          <w:p w14:paraId="12D217DF" w14:textId="77777777" w:rsidR="009E578A" w:rsidRPr="009E578A" w:rsidRDefault="009E578A" w:rsidP="009E578A">
            <w:pPr>
              <w:ind w:right="147"/>
              <w:rPr>
                <w:rFonts w:cs="Segoe UI Light"/>
              </w:rPr>
            </w:pPr>
            <w:r w:rsidRPr="009E578A">
              <w:rPr>
                <w:rFonts w:cs="Segoe UI Light"/>
              </w:rPr>
              <w:t>Effectiveness of CO alarms</w:t>
            </w:r>
          </w:p>
        </w:tc>
        <w:tc>
          <w:tcPr>
            <w:tcW w:w="7655" w:type="dxa"/>
          </w:tcPr>
          <w:p w14:paraId="20EA7D16" w14:textId="7252EBB6" w:rsidR="009E578A" w:rsidRPr="009E578A" w:rsidRDefault="009E578A" w:rsidP="009E578A">
            <w:pPr>
              <w:rPr>
                <w:rFonts w:cs="Segoe UI Light"/>
              </w:rPr>
            </w:pPr>
            <w:r w:rsidRPr="009E578A">
              <w:rPr>
                <w:rFonts w:cs="Segoe UI Light"/>
              </w:rPr>
              <w:t xml:space="preserve">Stakeholders noted issues and risks associated with CO alarms, such as lack of effectiveness </w:t>
            </w:r>
            <w:r w:rsidR="002F3CEA">
              <w:rPr>
                <w:rFonts w:cs="Segoe UI Light"/>
              </w:rPr>
              <w:t>i</w:t>
            </w:r>
            <w:r w:rsidRPr="009E578A">
              <w:rPr>
                <w:rFonts w:cs="Segoe UI Light"/>
              </w:rPr>
              <w:t xml:space="preserve">f they are not located correctly or maintained properly, the type of CO alarm that should be mandated/recommended, and that there is a potential risk if households become too reliant on CO alarms at the expense of servicing. </w:t>
            </w:r>
            <w:r w:rsidRPr="009E578A" w:rsidDel="00965DAE">
              <w:rPr>
                <w:rFonts w:cs="Segoe UI Light"/>
              </w:rPr>
              <w:t>However</w:t>
            </w:r>
            <w:r w:rsidR="00965DAE" w:rsidRPr="009E578A">
              <w:rPr>
                <w:rFonts w:cs="Segoe UI Light"/>
              </w:rPr>
              <w:t>,</w:t>
            </w:r>
            <w:r w:rsidRPr="009E578A">
              <w:rPr>
                <w:rFonts w:cs="Segoe UI Light"/>
              </w:rPr>
              <w:t xml:space="preserve"> some stakeholders also noted it is better to have CO alarms than not.</w:t>
            </w:r>
          </w:p>
        </w:tc>
      </w:tr>
      <w:tr w:rsidR="009E578A" w:rsidRPr="009E578A" w14:paraId="6AC8C53C" w14:textId="77777777" w:rsidTr="00DA7D7D">
        <w:trPr>
          <w:cantSplit/>
        </w:trPr>
        <w:tc>
          <w:tcPr>
            <w:tcW w:w="0" w:type="dxa"/>
          </w:tcPr>
          <w:p w14:paraId="0C1613C6" w14:textId="77777777" w:rsidR="009E578A" w:rsidRPr="009E578A" w:rsidRDefault="009E578A" w:rsidP="009E578A">
            <w:pPr>
              <w:ind w:right="147"/>
              <w:rPr>
                <w:rFonts w:cs="Segoe UI Light"/>
              </w:rPr>
            </w:pPr>
            <w:r w:rsidRPr="009E578A">
              <w:rPr>
                <w:rFonts w:cs="Segoe UI Light"/>
              </w:rPr>
              <w:t>Servicing</w:t>
            </w:r>
          </w:p>
        </w:tc>
        <w:tc>
          <w:tcPr>
            <w:tcW w:w="7655" w:type="dxa"/>
          </w:tcPr>
          <w:p w14:paraId="46014CC6" w14:textId="77777777" w:rsidR="009E578A" w:rsidRPr="009E578A" w:rsidRDefault="009E578A" w:rsidP="009E578A">
            <w:pPr>
              <w:rPr>
                <w:rFonts w:cs="Segoe UI Light"/>
              </w:rPr>
            </w:pPr>
            <w:r w:rsidRPr="009E578A">
              <w:rPr>
                <w:rFonts w:cs="Segoe UI Light"/>
              </w:rPr>
              <w:t>Servicing is generally seen by stakeholders as more effective than CO alarms.</w:t>
            </w:r>
          </w:p>
          <w:p w14:paraId="3AEB2A76" w14:textId="38C015D4" w:rsidR="009E578A" w:rsidRPr="009E578A" w:rsidRDefault="009E578A" w:rsidP="009E578A">
            <w:pPr>
              <w:rPr>
                <w:rFonts w:cs="Segoe UI Light"/>
              </w:rPr>
            </w:pPr>
            <w:r w:rsidRPr="009E578A">
              <w:rPr>
                <w:rFonts w:cs="Segoe UI Light"/>
              </w:rPr>
              <w:t>It was noted by stakeholders that there had been a debate about the possibility of mandating servicing every two years for private homeowners. The conclusion was that you couldn’t tell people what to do in their own homes, but that it</w:t>
            </w:r>
            <w:r w:rsidRPr="009E578A" w:rsidDel="00627F9A">
              <w:rPr>
                <w:rFonts w:cs="Segoe UI Light"/>
              </w:rPr>
              <w:t xml:space="preserve"> </w:t>
            </w:r>
            <w:r w:rsidRPr="009E578A">
              <w:rPr>
                <w:rFonts w:cs="Segoe UI Light"/>
              </w:rPr>
              <w:t>could potentially be mandated for landlords as part of their duty of care to the tenant. Some manufacturers indicated there has been increase in service requests, reflecting how effective the promotion of regular servicing has been.</w:t>
            </w:r>
          </w:p>
        </w:tc>
      </w:tr>
      <w:tr w:rsidR="009E578A" w:rsidRPr="009E578A" w14:paraId="68E59A34" w14:textId="77777777" w:rsidTr="00DA7D7D">
        <w:trPr>
          <w:cantSplit/>
        </w:trPr>
        <w:tc>
          <w:tcPr>
            <w:tcW w:w="0" w:type="dxa"/>
          </w:tcPr>
          <w:p w14:paraId="33437CDE" w14:textId="77777777" w:rsidR="009E578A" w:rsidRPr="009E578A" w:rsidRDefault="009E578A" w:rsidP="009E578A">
            <w:pPr>
              <w:rPr>
                <w:rFonts w:cs="Segoe UI Light"/>
              </w:rPr>
            </w:pPr>
            <w:r w:rsidRPr="009E578A">
              <w:rPr>
                <w:rFonts w:cs="Segoe UI Light"/>
              </w:rPr>
              <w:lastRenderedPageBreak/>
              <w:t>Standards approach to phasing out OFGSHs</w:t>
            </w:r>
          </w:p>
        </w:tc>
        <w:tc>
          <w:tcPr>
            <w:tcW w:w="7655" w:type="dxa"/>
          </w:tcPr>
          <w:p w14:paraId="0D42C1AE" w14:textId="7ECB7A94" w:rsidR="009E578A" w:rsidRDefault="009E578A" w:rsidP="009E578A">
            <w:pPr>
              <w:rPr>
                <w:rFonts w:cs="Segoe UI Light"/>
              </w:rPr>
            </w:pPr>
            <w:r w:rsidRPr="009E578A">
              <w:rPr>
                <w:rFonts w:cs="Segoe UI Light"/>
              </w:rPr>
              <w:t xml:space="preserve">GAMAA and manufacturers advocated a </w:t>
            </w:r>
            <w:r w:rsidR="00DC26CE">
              <w:rPr>
                <w:rFonts w:cs="Segoe UI Light"/>
              </w:rPr>
              <w:t>standards</w:t>
            </w:r>
            <w:r w:rsidR="00F756EB">
              <w:rPr>
                <w:rFonts w:cs="Segoe UI Light"/>
              </w:rPr>
              <w:t>-</w:t>
            </w:r>
            <w:r w:rsidR="00DC26CE">
              <w:rPr>
                <w:rFonts w:cs="Segoe UI Light"/>
              </w:rPr>
              <w:t>based approach</w:t>
            </w:r>
            <w:r w:rsidRPr="009E578A">
              <w:rPr>
                <w:rFonts w:cs="Segoe UI Light"/>
              </w:rPr>
              <w:t xml:space="preserve"> to phasing out OFGSHs to avoid negative perceptions about the gas industry as a whole. This approach is seen as helping differentiate OFGSHs from other gas heaters and allowing the industry to keep promoting their strengths as a heating solution in well-ventilated homes.</w:t>
            </w:r>
          </w:p>
          <w:p w14:paraId="3F1A240B" w14:textId="54DCEA47" w:rsidR="009E578A" w:rsidRPr="009E578A" w:rsidRDefault="00AA7315" w:rsidP="009E578A">
            <w:pPr>
              <w:rPr>
                <w:rFonts w:cs="Segoe UI Light"/>
              </w:rPr>
            </w:pPr>
            <w:r>
              <w:rPr>
                <w:rFonts w:cs="Segoe UI Light"/>
              </w:rPr>
              <w:t xml:space="preserve">Some stakeholders also preferred </w:t>
            </w:r>
            <w:r w:rsidR="00F04D35">
              <w:rPr>
                <w:rFonts w:cs="Segoe UI Light"/>
              </w:rPr>
              <w:t xml:space="preserve">a </w:t>
            </w:r>
            <w:r w:rsidR="00DC26CE">
              <w:rPr>
                <w:rFonts w:cs="Segoe UI Light"/>
              </w:rPr>
              <w:t>s</w:t>
            </w:r>
            <w:r w:rsidR="00F04D35">
              <w:rPr>
                <w:rFonts w:cs="Segoe UI Light"/>
              </w:rPr>
              <w:t>tandards</w:t>
            </w:r>
            <w:r w:rsidR="00F756EB">
              <w:rPr>
                <w:rFonts w:cs="Segoe UI Light"/>
              </w:rPr>
              <w:t>-</w:t>
            </w:r>
            <w:r w:rsidR="00DC26CE">
              <w:rPr>
                <w:rFonts w:cs="Segoe UI Light"/>
              </w:rPr>
              <w:t xml:space="preserve">based </w:t>
            </w:r>
            <w:r>
              <w:rPr>
                <w:rFonts w:cs="Segoe UI Light"/>
              </w:rPr>
              <w:t>approach</w:t>
            </w:r>
            <w:r w:rsidR="000F7605">
              <w:rPr>
                <w:rFonts w:cs="Segoe UI Light"/>
              </w:rPr>
              <w:t xml:space="preserve"> </w:t>
            </w:r>
            <w:r w:rsidR="00BE2CDF">
              <w:rPr>
                <w:rFonts w:cs="Segoe UI Light"/>
              </w:rPr>
              <w:t xml:space="preserve">to ensure </w:t>
            </w:r>
            <w:r w:rsidR="00F04D35">
              <w:rPr>
                <w:rFonts w:cs="Segoe UI Light"/>
              </w:rPr>
              <w:t xml:space="preserve">consistency </w:t>
            </w:r>
            <w:r w:rsidR="001C46D6">
              <w:rPr>
                <w:rFonts w:cs="Segoe UI Light"/>
              </w:rPr>
              <w:t>at</w:t>
            </w:r>
            <w:r w:rsidR="00BE2CDF">
              <w:rPr>
                <w:rFonts w:cs="Segoe UI Light"/>
              </w:rPr>
              <w:t xml:space="preserve"> a </w:t>
            </w:r>
            <w:r w:rsidR="001C46D6">
              <w:rPr>
                <w:rFonts w:cs="Segoe UI Light"/>
              </w:rPr>
              <w:t>national level.</w:t>
            </w:r>
            <w:r w:rsidR="00BE2CDF">
              <w:rPr>
                <w:rFonts w:cs="Segoe UI Light"/>
              </w:rPr>
              <w:t xml:space="preserve"> </w:t>
            </w:r>
          </w:p>
        </w:tc>
      </w:tr>
    </w:tbl>
    <w:p w14:paraId="794DBCC0" w14:textId="7DE5CFBD" w:rsidR="00D6039D" w:rsidRDefault="00D6039D" w:rsidP="00BC5571">
      <w:pPr>
        <w:pStyle w:val="Heading1un-numbered"/>
      </w:pPr>
      <w:bookmarkStart w:id="264" w:name="_Toc59612294"/>
      <w:bookmarkEnd w:id="263"/>
      <w:r>
        <w:lastRenderedPageBreak/>
        <w:t>Appendix B: Existing Regulations</w:t>
      </w:r>
      <w:bookmarkEnd w:id="264"/>
    </w:p>
    <w:p w14:paraId="745F7CF1" w14:textId="58108CEE" w:rsidR="007F23EF" w:rsidRDefault="007F23EF" w:rsidP="00FF5BFF">
      <w:pPr>
        <w:pStyle w:val="Heading2un-numbered"/>
      </w:pPr>
      <w:r>
        <w:t>Regulatory bodies</w:t>
      </w:r>
    </w:p>
    <w:p w14:paraId="0DFB6E77" w14:textId="1A9C6683" w:rsidR="007F23EF" w:rsidRDefault="00F23B08">
      <w:r>
        <w:t xml:space="preserve">The following tables illustrates the role of </w:t>
      </w:r>
      <w:r w:rsidR="004F35F6">
        <w:t xml:space="preserve">ESV and </w:t>
      </w:r>
      <w:r w:rsidR="006330D2">
        <w:t xml:space="preserve">the </w:t>
      </w:r>
      <w:r w:rsidR="004F35F6">
        <w:t>VBA</w:t>
      </w:r>
      <w:r w:rsidRPr="00F23B08">
        <w:t xml:space="preserve"> </w:t>
      </w:r>
      <w:r>
        <w:t>in</w:t>
      </w:r>
      <w:r w:rsidRPr="00F23B08">
        <w:t xml:space="preserve"> the regu</w:t>
      </w:r>
      <w:r>
        <w:t xml:space="preserve">lation of </w:t>
      </w:r>
      <w:r w:rsidR="002A13CC">
        <w:t>OFGSHs</w:t>
      </w:r>
      <w:r>
        <w:t>.</w:t>
      </w:r>
    </w:p>
    <w:tbl>
      <w:tblPr>
        <w:tblStyle w:val="Deloittetable"/>
        <w:tblW w:w="5000" w:type="pct"/>
        <w:tblLook w:val="04A0" w:firstRow="1" w:lastRow="0" w:firstColumn="1" w:lastColumn="0" w:noHBand="0" w:noVBand="1"/>
      </w:tblPr>
      <w:tblGrid>
        <w:gridCol w:w="1240"/>
        <w:gridCol w:w="5625"/>
        <w:gridCol w:w="2161"/>
      </w:tblGrid>
      <w:tr w:rsidR="00F23B08" w14:paraId="7BE6C578" w14:textId="77777777" w:rsidTr="005C13B5">
        <w:trPr>
          <w:cnfStyle w:val="100000000000" w:firstRow="1" w:lastRow="0" w:firstColumn="0" w:lastColumn="0" w:oddVBand="0" w:evenVBand="0" w:oddHBand="0" w:evenHBand="0" w:firstRowFirstColumn="0" w:firstRowLastColumn="0" w:lastRowFirstColumn="0" w:lastRowLastColumn="0"/>
        </w:trPr>
        <w:tc>
          <w:tcPr>
            <w:tcW w:w="687" w:type="pct"/>
          </w:tcPr>
          <w:p w14:paraId="795BDC8F" w14:textId="0C62BDD5" w:rsidR="00F23B08" w:rsidRPr="004963EF" w:rsidRDefault="00F23B08" w:rsidP="0074293D">
            <w:pPr>
              <w:rPr>
                <w:b/>
              </w:rPr>
            </w:pPr>
            <w:r>
              <w:rPr>
                <w:b/>
              </w:rPr>
              <w:t>Agency</w:t>
            </w:r>
          </w:p>
        </w:tc>
        <w:tc>
          <w:tcPr>
            <w:tcW w:w="3116" w:type="pct"/>
          </w:tcPr>
          <w:p w14:paraId="54295AAD" w14:textId="324586C2" w:rsidR="00F23B08" w:rsidRPr="004963EF" w:rsidRDefault="00F23B08">
            <w:pPr>
              <w:rPr>
                <w:b/>
              </w:rPr>
            </w:pPr>
            <w:r>
              <w:rPr>
                <w:b/>
              </w:rPr>
              <w:t>Description of their function/role</w:t>
            </w:r>
          </w:p>
        </w:tc>
        <w:tc>
          <w:tcPr>
            <w:tcW w:w="1197" w:type="pct"/>
          </w:tcPr>
          <w:p w14:paraId="51887B15" w14:textId="77777777" w:rsidR="00F23B08" w:rsidRPr="004963EF" w:rsidRDefault="00F23B08" w:rsidP="0074293D">
            <w:pPr>
              <w:rPr>
                <w:b/>
              </w:rPr>
            </w:pPr>
            <w:r>
              <w:rPr>
                <w:b/>
              </w:rPr>
              <w:t>Comments</w:t>
            </w:r>
          </w:p>
        </w:tc>
      </w:tr>
      <w:tr w:rsidR="00F23B08" w14:paraId="51BC2A07" w14:textId="77777777" w:rsidTr="005C13B5">
        <w:tc>
          <w:tcPr>
            <w:tcW w:w="687" w:type="pct"/>
          </w:tcPr>
          <w:p w14:paraId="56ED297A" w14:textId="4B6604B6" w:rsidR="00F23B08" w:rsidRPr="00BC5571" w:rsidRDefault="00F23B08" w:rsidP="0074293D">
            <w:r w:rsidRPr="00BC5571">
              <w:t>Energy Safe Victoria</w:t>
            </w:r>
          </w:p>
        </w:tc>
        <w:tc>
          <w:tcPr>
            <w:tcW w:w="3116" w:type="pct"/>
          </w:tcPr>
          <w:p w14:paraId="4B10D2FB" w14:textId="77777777" w:rsidR="00F23B08" w:rsidRDefault="00F23B08" w:rsidP="0074293D">
            <w:r>
              <w:t xml:space="preserve">The functions of Energy Safe Victoria under this Act are— </w:t>
            </w:r>
          </w:p>
          <w:p w14:paraId="08CE5E02" w14:textId="77777777" w:rsidR="00F23B08" w:rsidRDefault="00F23B08" w:rsidP="00E50BB2">
            <w:pPr>
              <w:spacing w:after="0"/>
            </w:pPr>
            <w:r>
              <w:t xml:space="preserve">(a) to issue guidelines specifying minimum safety standards for appliances, gas equipment, gas components, gas installations, gas related services and the conveyance, sale, supply, measurement, control and use of gas; </w:t>
            </w:r>
          </w:p>
          <w:p w14:paraId="2DA8E728" w14:textId="77777777" w:rsidR="00F23B08" w:rsidRDefault="00F23B08" w:rsidP="00E50BB2">
            <w:pPr>
              <w:spacing w:after="0"/>
            </w:pPr>
            <w:r>
              <w:t xml:space="preserve">(b) to issue guidelines in relation to the preparation of safety cases; </w:t>
            </w:r>
          </w:p>
          <w:p w14:paraId="4F60AB74" w14:textId="77777777" w:rsidR="00F23B08" w:rsidRDefault="00F23B08" w:rsidP="00E50BB2">
            <w:pPr>
              <w:spacing w:after="0"/>
            </w:pPr>
            <w:r>
              <w:t xml:space="preserve">(c) to monitor compliance of appliances, gas equipment, gas components, gas installations, gas related services and the conveyance, sale, supply, measurement, control and use of gas with the specified safety standards; </w:t>
            </w:r>
          </w:p>
          <w:p w14:paraId="6DF7D5A6" w14:textId="77777777" w:rsidR="00F23B08" w:rsidRDefault="00F23B08" w:rsidP="00E50BB2">
            <w:pPr>
              <w:spacing w:after="0"/>
            </w:pPr>
            <w:r>
              <w:t xml:space="preserve">(d) to monitor compliance of gas companies with accepted safety cases; </w:t>
            </w:r>
          </w:p>
          <w:p w14:paraId="67825648" w14:textId="77777777" w:rsidR="00F23B08" w:rsidRDefault="00F23B08" w:rsidP="00E50BB2">
            <w:pPr>
              <w:spacing w:after="0"/>
            </w:pPr>
            <w:r>
              <w:t xml:space="preserve">(e) to audit accepted safety cases to determine the adequacy and effectiveness of those safety cases; </w:t>
            </w:r>
          </w:p>
          <w:p w14:paraId="1BC187D0" w14:textId="77777777" w:rsidR="00F23B08" w:rsidRDefault="00F23B08" w:rsidP="00E50BB2">
            <w:pPr>
              <w:spacing w:after="0"/>
            </w:pPr>
            <w:r>
              <w:t xml:space="preserve">(f) to administer the prescribed minimum standards for energy efficiency of gas installations, appliances and components; </w:t>
            </w:r>
          </w:p>
          <w:p w14:paraId="5AA4082C" w14:textId="77777777" w:rsidR="00F23B08" w:rsidRDefault="00F23B08" w:rsidP="00E50BB2">
            <w:pPr>
              <w:spacing w:after="0"/>
            </w:pPr>
            <w:r>
              <w:t xml:space="preserve">(g) to inspect and test gas installations, appliances and components for compliance with the specified minimum standards for energy efficiency; </w:t>
            </w:r>
          </w:p>
          <w:p w14:paraId="547C90DD" w14:textId="77777777" w:rsidR="00F23B08" w:rsidRDefault="00F23B08" w:rsidP="00E50BB2">
            <w:pPr>
              <w:spacing w:after="0"/>
            </w:pPr>
            <w:r>
              <w:t xml:space="preserve">(h) to investigate events or incidents which have implications for gas safety; </w:t>
            </w:r>
          </w:p>
          <w:p w14:paraId="58ABF0E2" w14:textId="77777777" w:rsidR="00F23B08" w:rsidRDefault="00F23B08" w:rsidP="00E50BB2">
            <w:pPr>
              <w:spacing w:after="0"/>
            </w:pPr>
            <w:r>
              <w:t>(i) to provide advisory and consultative services in relation to gas safety;</w:t>
            </w:r>
          </w:p>
          <w:p w14:paraId="3D4B2721" w14:textId="77777777" w:rsidR="00F23B08" w:rsidRDefault="00F23B08" w:rsidP="00E50BB2">
            <w:pPr>
              <w:spacing w:after="0"/>
            </w:pPr>
            <w:r>
              <w:t xml:space="preserve">(j) to consult with and advise industry and the community in relation to gas safety; </w:t>
            </w:r>
          </w:p>
          <w:p w14:paraId="635D1851" w14:textId="2C7B581D" w:rsidR="00F23B08" w:rsidRPr="004963EF" w:rsidRDefault="00F23B08" w:rsidP="00E50BB2">
            <w:pPr>
              <w:spacing w:after="0"/>
              <w:rPr>
                <w:b/>
              </w:rPr>
            </w:pPr>
            <w:r>
              <w:t>(k) such other functions as are conferred on Energy Safe Victoria by or under this Act or the regulations under this Act.</w:t>
            </w:r>
            <w:r w:rsidR="004F35F6">
              <w:rPr>
                <w:rStyle w:val="FootnoteReference"/>
              </w:rPr>
              <w:footnoteReference w:id="142"/>
            </w:r>
          </w:p>
        </w:tc>
        <w:tc>
          <w:tcPr>
            <w:tcW w:w="1197" w:type="pct"/>
          </w:tcPr>
          <w:p w14:paraId="057AC3F4" w14:textId="6785CC98" w:rsidR="00F23B08" w:rsidRPr="00BC5571" w:rsidRDefault="00F23B08">
            <w:r w:rsidRPr="00BC5571">
              <w:t xml:space="preserve">Functions of Energy Safe Victoria as described in </w:t>
            </w:r>
            <w:r w:rsidR="00930706">
              <w:t>GS Act</w:t>
            </w:r>
            <w:r w:rsidRPr="00BC5571">
              <w:t xml:space="preserve">, section 10 </w:t>
            </w:r>
          </w:p>
        </w:tc>
      </w:tr>
      <w:tr w:rsidR="00F23B08" w14:paraId="55BA1A55" w14:textId="77777777" w:rsidTr="005C13B5">
        <w:tc>
          <w:tcPr>
            <w:tcW w:w="687" w:type="pct"/>
          </w:tcPr>
          <w:p w14:paraId="4F7D0D44" w14:textId="4245D735" w:rsidR="00F23B08" w:rsidRPr="00BC5571" w:rsidRDefault="00DD61C8" w:rsidP="0074293D">
            <w:r w:rsidRPr="00BC5571">
              <w:t>Victorian Building Authority</w:t>
            </w:r>
          </w:p>
        </w:tc>
        <w:tc>
          <w:tcPr>
            <w:tcW w:w="3116" w:type="pct"/>
          </w:tcPr>
          <w:p w14:paraId="63EBD9E8" w14:textId="7404E417" w:rsidR="00966C44" w:rsidRDefault="00966C44" w:rsidP="00AD6AFC">
            <w:r w:rsidRPr="00BC5571">
              <w:t xml:space="preserve">The </w:t>
            </w:r>
            <w:r>
              <w:t xml:space="preserve">VBA regulates Victoria’s plumbers and plumbing work </w:t>
            </w:r>
            <w:r w:rsidR="00E175E8">
              <w:t>through:</w:t>
            </w:r>
          </w:p>
          <w:p w14:paraId="5A1A5B7A" w14:textId="5BA79171" w:rsidR="00966C44" w:rsidRDefault="005B796A" w:rsidP="00E74AA1">
            <w:pPr>
              <w:pStyle w:val="ListParagraph"/>
              <w:numPr>
                <w:ilvl w:val="0"/>
                <w:numId w:val="28"/>
              </w:numPr>
            </w:pPr>
            <w:r>
              <w:rPr>
                <w:b/>
              </w:rPr>
              <w:t xml:space="preserve">The </w:t>
            </w:r>
            <w:r w:rsidR="00966C44" w:rsidRPr="00BC5571">
              <w:rPr>
                <w:b/>
              </w:rPr>
              <w:t>Building Act–</w:t>
            </w:r>
            <w:r w:rsidR="00966C44">
              <w:t xml:space="preserve"> </w:t>
            </w:r>
            <w:r w:rsidR="00966C44" w:rsidRPr="00966C44">
              <w:t xml:space="preserve">Part 12A of the </w:t>
            </w:r>
            <w:r>
              <w:t xml:space="preserve">Building </w:t>
            </w:r>
            <w:r w:rsidR="00966C44" w:rsidRPr="00966C44">
              <w:t>Act sets out the legal framework for the regulation of plumbing work and plumb</w:t>
            </w:r>
            <w:r w:rsidR="009F155A">
              <w:t>ing practitioners</w:t>
            </w:r>
            <w:r w:rsidR="00966C44" w:rsidRPr="00966C44">
              <w:t>.</w:t>
            </w:r>
            <w:r w:rsidR="00966C44">
              <w:t xml:space="preserve"> This includes </w:t>
            </w:r>
            <w:r w:rsidR="00AD6510">
              <w:t>setting out</w:t>
            </w:r>
            <w:r w:rsidR="006436CA">
              <w:t xml:space="preserve"> </w:t>
            </w:r>
            <w:r w:rsidR="00AA5A22">
              <w:t xml:space="preserve">the requirements for the </w:t>
            </w:r>
            <w:r w:rsidR="00966C44">
              <w:t>licen</w:t>
            </w:r>
            <w:r w:rsidR="00F15897">
              <w:t>s</w:t>
            </w:r>
            <w:r w:rsidR="00966C44">
              <w:t xml:space="preserve">ing </w:t>
            </w:r>
            <w:r w:rsidR="00F15897">
              <w:t>and regist</w:t>
            </w:r>
            <w:r w:rsidR="00AA5A22">
              <w:t xml:space="preserve">ration of </w:t>
            </w:r>
            <w:r w:rsidR="00966C44">
              <w:t>plumb</w:t>
            </w:r>
            <w:r w:rsidR="00AD6510">
              <w:t>ing practitioners (including gasfitters, establishing</w:t>
            </w:r>
            <w:r w:rsidR="00966C44">
              <w:t xml:space="preserve"> </w:t>
            </w:r>
            <w:r w:rsidR="00844E43">
              <w:t xml:space="preserve">the </w:t>
            </w:r>
            <w:r w:rsidR="00966C44">
              <w:t>compliance certificate</w:t>
            </w:r>
            <w:r w:rsidR="009F155A">
              <w:t xml:space="preserve"> </w:t>
            </w:r>
            <w:r w:rsidR="006436CA">
              <w:t>schem</w:t>
            </w:r>
            <w:r w:rsidR="00AD6510">
              <w:t>e</w:t>
            </w:r>
            <w:r w:rsidR="009B66CB" w:rsidDel="009F155A">
              <w:t xml:space="preserve"> </w:t>
            </w:r>
          </w:p>
          <w:p w14:paraId="0FA0BFFC" w14:textId="4E917F2B" w:rsidR="000979DD" w:rsidRDefault="00966C44" w:rsidP="00E74AA1">
            <w:pPr>
              <w:pStyle w:val="ListParagraph"/>
              <w:numPr>
                <w:ilvl w:val="0"/>
                <w:numId w:val="28"/>
              </w:numPr>
            </w:pPr>
            <w:r w:rsidRPr="00BC5571">
              <w:rPr>
                <w:b/>
              </w:rPr>
              <w:t>Plumbing Regulations 2018</w:t>
            </w:r>
            <w:r>
              <w:t xml:space="preserve"> – the regulations define </w:t>
            </w:r>
            <w:r w:rsidR="009B66CB">
              <w:t>eligibility</w:t>
            </w:r>
            <w:r>
              <w:t xml:space="preserve"> criteria to become a licen</w:t>
            </w:r>
            <w:r w:rsidR="002D5E3A">
              <w:t>s</w:t>
            </w:r>
            <w:r>
              <w:t xml:space="preserve">ed </w:t>
            </w:r>
            <w:r w:rsidR="00071708">
              <w:t xml:space="preserve">or registered </w:t>
            </w:r>
            <w:r>
              <w:lastRenderedPageBreak/>
              <w:t xml:space="preserve">plumber, </w:t>
            </w:r>
            <w:r w:rsidR="004F35F6">
              <w:t>define the scope</w:t>
            </w:r>
            <w:r w:rsidR="002D5E3A">
              <w:t>s</w:t>
            </w:r>
            <w:r w:rsidR="004F35F6">
              <w:t xml:space="preserve"> of work for </w:t>
            </w:r>
            <w:r w:rsidR="001A2594">
              <w:t xml:space="preserve">the </w:t>
            </w:r>
            <w:r w:rsidR="004F35F6">
              <w:t xml:space="preserve">classes of plumbing work </w:t>
            </w:r>
            <w:r w:rsidR="001A2594">
              <w:t>in Victoria.</w:t>
            </w:r>
          </w:p>
          <w:p w14:paraId="6AEDCA8E" w14:textId="634536B9" w:rsidR="001A2594" w:rsidRPr="005B796A" w:rsidRDefault="001A2594" w:rsidP="000276F0">
            <w:pPr>
              <w:spacing w:after="150" w:line="240" w:lineRule="auto"/>
              <w:ind w:left="784"/>
            </w:pPr>
            <w:r w:rsidRPr="001A2594">
              <w:t>The two (main) classes of gasfitting provided for in the Plumbing Regulations 2018 are</w:t>
            </w:r>
            <w:r>
              <w:t>:</w:t>
            </w:r>
            <w:r w:rsidRPr="001A2594">
              <w:t xml:space="preserve"> Gasfitting work and Type B gasfitting work. The three specialised class</w:t>
            </w:r>
            <w:r>
              <w:t>es</w:t>
            </w:r>
            <w:r w:rsidRPr="001A2594">
              <w:t xml:space="preserve"> (which require registration in </w:t>
            </w:r>
            <w:r w:rsidR="00DA750A">
              <w:t>the</w:t>
            </w:r>
            <w:r w:rsidRPr="001A2594">
              <w:t xml:space="preserve"> main class of gasfitting) are Type A appliance conversion work, Type A appliance servicing work and</w:t>
            </w:r>
            <w:r>
              <w:t xml:space="preserve"> </w:t>
            </w:r>
            <w:r w:rsidRPr="001A2594">
              <w:t>Type B gasfitting advanced work.</w:t>
            </w:r>
          </w:p>
          <w:p w14:paraId="3FDCD1FC" w14:textId="7B2E2205" w:rsidR="00F23B08" w:rsidRPr="005B796A" w:rsidRDefault="00966C44" w:rsidP="005B796A">
            <w:pPr>
              <w:pStyle w:val="ListParagraph"/>
              <w:numPr>
                <w:ilvl w:val="0"/>
                <w:numId w:val="28"/>
              </w:numPr>
            </w:pPr>
            <w:r w:rsidRPr="00BC5571">
              <w:rPr>
                <w:b/>
              </w:rPr>
              <w:t>National Construction Code</w:t>
            </w:r>
            <w:r w:rsidR="00FA2E3B" w:rsidRPr="000276F0">
              <w:rPr>
                <w:b/>
              </w:rPr>
              <w:t xml:space="preserve"> </w:t>
            </w:r>
            <w:r w:rsidR="00AC5AF4">
              <w:rPr>
                <w:b/>
              </w:rPr>
              <w:t>(</w:t>
            </w:r>
            <w:r w:rsidR="00FA2E3B">
              <w:rPr>
                <w:b/>
              </w:rPr>
              <w:t>Volume 3 – Plumbing Code of Australia).</w:t>
            </w:r>
            <w:r>
              <w:t xml:space="preserve"> </w:t>
            </w:r>
            <w:r w:rsidR="004F35F6">
              <w:t>–</w:t>
            </w:r>
            <w:r>
              <w:t xml:space="preserve"> </w:t>
            </w:r>
            <w:r w:rsidR="00FA2E3B">
              <w:t xml:space="preserve">Gasfitting work is not provided for in the Plumbing Code of Australia.  </w:t>
            </w:r>
            <w:r w:rsidR="00AC5AF4">
              <w:t xml:space="preserve">It </w:t>
            </w:r>
            <w:r w:rsidR="00577655">
              <w:t>i</w:t>
            </w:r>
            <w:r w:rsidR="00DB2FE5">
              <w:t>s regulated by the states and territories.</w:t>
            </w:r>
          </w:p>
          <w:p w14:paraId="0B72DAA0" w14:textId="59B99457" w:rsidR="002D5E3A" w:rsidRPr="00DB715F" w:rsidRDefault="00AC5AF4" w:rsidP="00DB715F">
            <w:pPr>
              <w:pStyle w:val="ListParagraph"/>
              <w:numPr>
                <w:ilvl w:val="0"/>
                <w:numId w:val="28"/>
              </w:numPr>
              <w:rPr>
                <w:bCs/>
              </w:rPr>
            </w:pPr>
            <w:r>
              <w:rPr>
                <w:b/>
              </w:rPr>
              <w:t xml:space="preserve">Gas Safety Act 1997 </w:t>
            </w:r>
            <w:r w:rsidR="002D5E3A">
              <w:rPr>
                <w:b/>
              </w:rPr>
              <w:t>–</w:t>
            </w:r>
            <w:r w:rsidR="00AD08C9">
              <w:rPr>
                <w:b/>
              </w:rPr>
              <w:t xml:space="preserve"> </w:t>
            </w:r>
            <w:r w:rsidR="00AD08C9" w:rsidRPr="001A2594">
              <w:rPr>
                <w:bCs/>
              </w:rPr>
              <w:t xml:space="preserve">the </w:t>
            </w:r>
            <w:r w:rsidR="00930706">
              <w:t>GS Act</w:t>
            </w:r>
            <w:r w:rsidR="00930706" w:rsidRPr="001A2594" w:rsidDel="00930706">
              <w:rPr>
                <w:bCs/>
              </w:rPr>
              <w:t xml:space="preserve"> </w:t>
            </w:r>
            <w:r w:rsidR="005C596D" w:rsidRPr="001A2594">
              <w:rPr>
                <w:bCs/>
              </w:rPr>
              <w:t xml:space="preserve">is adopted into the Building Act </w:t>
            </w:r>
            <w:r w:rsidR="005B796A">
              <w:rPr>
                <w:bCs/>
              </w:rPr>
              <w:t>a</w:t>
            </w:r>
            <w:r w:rsidR="00DB715F">
              <w:rPr>
                <w:bCs/>
              </w:rPr>
              <w:t>s part of the “plumbing laws”</w:t>
            </w:r>
            <w:r w:rsidR="005C596D" w:rsidRPr="009D3A22">
              <w:rPr>
                <w:bCs/>
              </w:rPr>
              <w:t xml:space="preserve"> </w:t>
            </w:r>
            <w:r w:rsidR="00B74C0E" w:rsidRPr="009D3A22">
              <w:rPr>
                <w:bCs/>
              </w:rPr>
              <w:t xml:space="preserve">insofar as it </w:t>
            </w:r>
            <w:r w:rsidR="0029465F">
              <w:rPr>
                <w:bCs/>
              </w:rPr>
              <w:t>provides</w:t>
            </w:r>
            <w:r w:rsidR="00B74C0E" w:rsidRPr="009D3A22">
              <w:rPr>
                <w:bCs/>
              </w:rPr>
              <w:t xml:space="preserve"> the carrying out of plumbing </w:t>
            </w:r>
            <w:r w:rsidR="0029465F">
              <w:rPr>
                <w:bCs/>
              </w:rPr>
              <w:t>(</w:t>
            </w:r>
            <w:r w:rsidR="009D3A22">
              <w:rPr>
                <w:bCs/>
              </w:rPr>
              <w:t>gasfitting</w:t>
            </w:r>
            <w:r w:rsidR="0029465F">
              <w:rPr>
                <w:bCs/>
              </w:rPr>
              <w:t>)</w:t>
            </w:r>
            <w:r w:rsidR="009D3A22">
              <w:rPr>
                <w:bCs/>
              </w:rPr>
              <w:t xml:space="preserve"> work on standard </w:t>
            </w:r>
            <w:r w:rsidR="0029465F">
              <w:rPr>
                <w:bCs/>
              </w:rPr>
              <w:t xml:space="preserve">gas </w:t>
            </w:r>
            <w:r w:rsidR="009D3A22">
              <w:rPr>
                <w:bCs/>
              </w:rPr>
              <w:t>installations</w:t>
            </w:r>
            <w:r w:rsidR="00B74C0E" w:rsidRPr="009D3A22">
              <w:rPr>
                <w:bCs/>
              </w:rPr>
              <w:t>.</w:t>
            </w:r>
            <w:r w:rsidR="007E3527">
              <w:rPr>
                <w:bCs/>
              </w:rPr>
              <w:t xml:space="preserve"> </w:t>
            </w:r>
            <w:r w:rsidR="00B74C0E" w:rsidRPr="00DB715F">
              <w:rPr>
                <w:bCs/>
                <w:lang w:val="en-US" w:eastAsia="en-AU"/>
              </w:rPr>
              <w:t xml:space="preserve">Section 72 of the </w:t>
            </w:r>
            <w:r w:rsidR="00930706">
              <w:t>GS Act</w:t>
            </w:r>
            <w:r w:rsidR="00B74C0E" w:rsidRPr="00DB715F">
              <w:rPr>
                <w:bCs/>
                <w:lang w:val="en-US" w:eastAsia="en-AU"/>
              </w:rPr>
              <w:t xml:space="preserve"> (via the </w:t>
            </w:r>
            <w:r w:rsidR="00DB715F">
              <w:rPr>
                <w:i/>
                <w:iCs/>
              </w:rPr>
              <w:t>Gas Safety (Gas Installation) Regulations 2018</w:t>
            </w:r>
            <w:r w:rsidR="00B74C0E" w:rsidRPr="00DB715F">
              <w:rPr>
                <w:bCs/>
                <w:lang w:val="en-US" w:eastAsia="en-AU"/>
              </w:rPr>
              <w:t>) currently prescribe AS/NZS 5601.1 and AS/NZS 5601.2 as</w:t>
            </w:r>
            <w:r w:rsidR="00DB715F" w:rsidRPr="00DB715F">
              <w:rPr>
                <w:bCs/>
                <w:lang w:val="en-US" w:eastAsia="en-AU"/>
              </w:rPr>
              <w:t xml:space="preserve"> standards</w:t>
            </w:r>
            <w:r w:rsidR="00B74C0E" w:rsidRPr="00DB715F">
              <w:rPr>
                <w:bCs/>
                <w:lang w:val="en-US" w:eastAsia="en-AU"/>
              </w:rPr>
              <w:t xml:space="preserve"> </w:t>
            </w:r>
            <w:r w:rsidR="00DB715F">
              <w:rPr>
                <w:bCs/>
                <w:lang w:val="en-US" w:eastAsia="en-AU"/>
              </w:rPr>
              <w:t xml:space="preserve">for </w:t>
            </w:r>
            <w:r w:rsidR="00B74C0E" w:rsidRPr="00DB715F">
              <w:rPr>
                <w:bCs/>
                <w:lang w:val="en-US" w:eastAsia="en-AU"/>
              </w:rPr>
              <w:t>carrying out gasfitting work.</w:t>
            </w:r>
          </w:p>
        </w:tc>
        <w:tc>
          <w:tcPr>
            <w:tcW w:w="1197" w:type="pct"/>
          </w:tcPr>
          <w:p w14:paraId="52F6CEE5" w14:textId="0405BC34" w:rsidR="004F35F6" w:rsidRDefault="004F35F6" w:rsidP="00613239">
            <w:r>
              <w:lastRenderedPageBreak/>
              <w:t>The VBA</w:t>
            </w:r>
            <w:r w:rsidR="00E01151">
              <w:t xml:space="preserve"> </w:t>
            </w:r>
            <w:r w:rsidR="00A2343D">
              <w:t xml:space="preserve">registers and licenses </w:t>
            </w:r>
            <w:r w:rsidR="00071708">
              <w:t xml:space="preserve">all </w:t>
            </w:r>
            <w:r>
              <w:t>plumb</w:t>
            </w:r>
            <w:r w:rsidR="00071708">
              <w:t>ing pract</w:t>
            </w:r>
            <w:r w:rsidR="00BB1BF7">
              <w:t>i</w:t>
            </w:r>
            <w:r w:rsidR="00071708">
              <w:t xml:space="preserve">tioners </w:t>
            </w:r>
            <w:r w:rsidR="00A2343D">
              <w:t xml:space="preserve">in Victoria, including gasfitters.  </w:t>
            </w:r>
            <w:r>
              <w:t xml:space="preserve"> </w:t>
            </w:r>
          </w:p>
          <w:p w14:paraId="5039D556" w14:textId="6B11CCFD" w:rsidR="00F23B08" w:rsidRPr="00BC5571" w:rsidRDefault="00F23B08" w:rsidP="0074293D"/>
        </w:tc>
      </w:tr>
    </w:tbl>
    <w:p w14:paraId="2FF5F809" w14:textId="77777777" w:rsidR="001738E2" w:rsidRPr="00F22E1D" w:rsidRDefault="001738E2" w:rsidP="00FF5BFF"/>
    <w:p w14:paraId="0882C0B0" w14:textId="4CE354B4" w:rsidR="007F23EF" w:rsidRDefault="006C6B1B" w:rsidP="00FF5BFF">
      <w:pPr>
        <w:pStyle w:val="Heading2un-numbered"/>
      </w:pPr>
      <w:r>
        <w:t xml:space="preserve">Legislation and </w:t>
      </w:r>
      <w:r w:rsidR="007F23EF">
        <w:t xml:space="preserve">Regulations pertaining to </w:t>
      </w:r>
      <w:r w:rsidR="002A13CC">
        <w:t>OFGSHs</w:t>
      </w:r>
    </w:p>
    <w:p w14:paraId="064F10C5" w14:textId="46E797B4" w:rsidR="007F23EF" w:rsidRPr="007F23EF" w:rsidRDefault="007F23EF">
      <w:r>
        <w:t xml:space="preserve">The following table summarises the main regulations pertaining to </w:t>
      </w:r>
      <w:r w:rsidR="002A13CC">
        <w:t>OFGSHs</w:t>
      </w:r>
      <w:r>
        <w:t xml:space="preserve"> in Victoria.</w:t>
      </w:r>
    </w:p>
    <w:tbl>
      <w:tblPr>
        <w:tblStyle w:val="Deloittetable"/>
        <w:tblW w:w="5000" w:type="pct"/>
        <w:tblLook w:val="04A0" w:firstRow="1" w:lastRow="0" w:firstColumn="1" w:lastColumn="0" w:noHBand="0" w:noVBand="1"/>
      </w:tblPr>
      <w:tblGrid>
        <w:gridCol w:w="1240"/>
        <w:gridCol w:w="5625"/>
        <w:gridCol w:w="2161"/>
      </w:tblGrid>
      <w:tr w:rsidR="00D6039D" w14:paraId="0FB4CCEF" w14:textId="58012DCF" w:rsidTr="005C13B5">
        <w:trPr>
          <w:cnfStyle w:val="100000000000" w:firstRow="1" w:lastRow="0" w:firstColumn="0" w:lastColumn="0" w:oddVBand="0" w:evenVBand="0" w:oddHBand="0" w:evenHBand="0" w:firstRowFirstColumn="0" w:firstRowLastColumn="0" w:lastRowFirstColumn="0" w:lastRowLastColumn="0"/>
        </w:trPr>
        <w:tc>
          <w:tcPr>
            <w:tcW w:w="687" w:type="pct"/>
          </w:tcPr>
          <w:p w14:paraId="0A59F7D0" w14:textId="0AC86CAF" w:rsidR="00D6039D" w:rsidRPr="00BC5571" w:rsidRDefault="00D6039D" w:rsidP="00D6039D">
            <w:pPr>
              <w:rPr>
                <w:b/>
              </w:rPr>
            </w:pPr>
            <w:r w:rsidRPr="00BC5571">
              <w:rPr>
                <w:b/>
              </w:rPr>
              <w:t>Regulation</w:t>
            </w:r>
          </w:p>
        </w:tc>
        <w:tc>
          <w:tcPr>
            <w:tcW w:w="3116" w:type="pct"/>
          </w:tcPr>
          <w:p w14:paraId="38849E03" w14:textId="4B9F1DCF" w:rsidR="00D6039D" w:rsidRPr="00BC5571" w:rsidRDefault="00D6039D" w:rsidP="00D6039D">
            <w:pPr>
              <w:rPr>
                <w:b/>
              </w:rPr>
            </w:pPr>
            <w:r w:rsidRPr="00BC5571">
              <w:rPr>
                <w:b/>
              </w:rPr>
              <w:t>Description</w:t>
            </w:r>
          </w:p>
        </w:tc>
        <w:tc>
          <w:tcPr>
            <w:tcW w:w="1197" w:type="pct"/>
          </w:tcPr>
          <w:p w14:paraId="404747A0" w14:textId="49E29D09" w:rsidR="00D6039D" w:rsidRPr="00D6039D" w:rsidRDefault="00D6039D" w:rsidP="00D6039D">
            <w:pPr>
              <w:rPr>
                <w:b/>
              </w:rPr>
            </w:pPr>
            <w:r>
              <w:rPr>
                <w:b/>
              </w:rPr>
              <w:t>Comments</w:t>
            </w:r>
          </w:p>
        </w:tc>
      </w:tr>
      <w:tr w:rsidR="00D6039D" w14:paraId="01AF5662" w14:textId="1336DF79" w:rsidTr="005C13B5">
        <w:tc>
          <w:tcPr>
            <w:tcW w:w="687" w:type="pct"/>
          </w:tcPr>
          <w:p w14:paraId="09464A9D" w14:textId="534A333F" w:rsidR="00D6039D" w:rsidRDefault="00930706">
            <w:r>
              <w:t>GS Act</w:t>
            </w:r>
            <w:r w:rsidDel="00930706">
              <w:t xml:space="preserve"> </w:t>
            </w:r>
            <w:r w:rsidR="008E3167">
              <w:t>section 3</w:t>
            </w:r>
          </w:p>
        </w:tc>
        <w:tc>
          <w:tcPr>
            <w:tcW w:w="3116" w:type="pct"/>
          </w:tcPr>
          <w:p w14:paraId="68A92E91" w14:textId="5F0C43E1" w:rsidR="00D6039D" w:rsidRDefault="008E3167" w:rsidP="00E50BB2">
            <w:pPr>
              <w:ind w:right="349"/>
            </w:pPr>
            <w:r>
              <w:t>"Type A appliance" means— (a) an appliance (including a second-hand appliance) for which an acceptance scheme has been authorised by Energy Safe Victoria in accordance with section 68; or (b) an appliance which has been accepted under section 69;</w:t>
            </w:r>
          </w:p>
        </w:tc>
        <w:tc>
          <w:tcPr>
            <w:tcW w:w="1197" w:type="pct"/>
          </w:tcPr>
          <w:p w14:paraId="3B27E4CC" w14:textId="632A1753" w:rsidR="00D6039D" w:rsidRDefault="008E3167" w:rsidP="00D6039D">
            <w:r>
              <w:t xml:space="preserve">An </w:t>
            </w:r>
            <w:r w:rsidR="000932DA">
              <w:t xml:space="preserve">OFGSHs </w:t>
            </w:r>
            <w:r>
              <w:t>is classified as a Type A appliance</w:t>
            </w:r>
          </w:p>
        </w:tc>
      </w:tr>
      <w:tr w:rsidR="00AD6AFC" w14:paraId="2FD3025C" w14:textId="77777777" w:rsidTr="005C13B5">
        <w:tc>
          <w:tcPr>
            <w:tcW w:w="687" w:type="pct"/>
          </w:tcPr>
          <w:p w14:paraId="316FE776" w14:textId="56BCD4E6" w:rsidR="00AD6AFC" w:rsidRDefault="00930706" w:rsidP="00D6039D">
            <w:r>
              <w:t>GS Act</w:t>
            </w:r>
            <w:r w:rsidDel="00930706">
              <w:t xml:space="preserve"> </w:t>
            </w:r>
            <w:r w:rsidR="00AD6AFC">
              <w:t>section 36</w:t>
            </w:r>
          </w:p>
        </w:tc>
        <w:tc>
          <w:tcPr>
            <w:tcW w:w="3116" w:type="pct"/>
          </w:tcPr>
          <w:p w14:paraId="42FE8695" w14:textId="3F4734BB" w:rsidR="00AD6AFC" w:rsidRDefault="00AD6AFC" w:rsidP="00E50BB2">
            <w:pPr>
              <w:ind w:right="349"/>
            </w:pPr>
            <w:r>
              <w:t xml:space="preserve">(2) A gas company must report to Energy Safe Victoria in accordance with the regulations any gas incident of which it is </w:t>
            </w:r>
            <w:r w:rsidR="005D7684">
              <w:t>aware,</w:t>
            </w:r>
            <w:r>
              <w:t xml:space="preserve"> and which occurs in relation to a gas installation to which it supplies or sells gas. Penalty: In the case of a natural person, 2 penalty units; In the case of a body corporate, 10 penalty units. </w:t>
            </w:r>
          </w:p>
          <w:p w14:paraId="2D0F6BEA" w14:textId="685E4D1A" w:rsidR="00AD6AFC" w:rsidRDefault="00AD6AFC" w:rsidP="00E50BB2">
            <w:pPr>
              <w:ind w:right="349"/>
            </w:pPr>
            <w:r>
              <w:t xml:space="preserve">(3) The </w:t>
            </w:r>
            <w:r w:rsidR="005F6705">
              <w:t>Fire Rescue Commissioner of Fire Rescu</w:t>
            </w:r>
            <w:r w:rsidR="00241831">
              <w:t>e</w:t>
            </w:r>
            <w:r w:rsidR="005F6705">
              <w:t xml:space="preserve"> Victoria </w:t>
            </w:r>
            <w:r w:rsidR="00241831">
              <w:t xml:space="preserve">and the </w:t>
            </w:r>
            <w:r w:rsidR="00241831" w:rsidRPr="00241831">
              <w:t>Chief Officer under the Country Fire Authority Act 1958 must report to </w:t>
            </w:r>
            <w:hyperlink r:id="rId78" w:anchor="energy_safe_victoria" w:history="1">
              <w:r w:rsidR="00241831" w:rsidRPr="00241831">
                <w:t>Energy</w:t>
              </w:r>
            </w:hyperlink>
            <w:r w:rsidR="00241831" w:rsidRPr="00241831">
              <w:t> </w:t>
            </w:r>
            <w:hyperlink r:id="rId79" w:anchor="energy_safe_victoria" w:history="1">
              <w:r w:rsidR="00241831" w:rsidRPr="00241831">
                <w:t>Safe Victoria</w:t>
              </w:r>
            </w:hyperlink>
            <w:r w:rsidR="00241831" w:rsidRPr="00241831">
              <w:t> any fire or explosion in which he or she suspects gas was a cause or contributing factor.</w:t>
            </w:r>
            <w:r w:rsidR="00241831">
              <w:t xml:space="preserve"> </w:t>
            </w:r>
            <w:r>
              <w:t>.</w:t>
            </w:r>
          </w:p>
        </w:tc>
        <w:tc>
          <w:tcPr>
            <w:tcW w:w="1197" w:type="pct"/>
          </w:tcPr>
          <w:p w14:paraId="43ABC5E0" w14:textId="3CA86B43" w:rsidR="00AD6AFC" w:rsidRDefault="00AD6AFC" w:rsidP="00D6039D">
            <w:r>
              <w:t>Mandatory reporting of gas incidents</w:t>
            </w:r>
          </w:p>
        </w:tc>
      </w:tr>
      <w:tr w:rsidR="00AD6AFC" w14:paraId="37A40BA9" w14:textId="77777777" w:rsidTr="005C13B5">
        <w:tc>
          <w:tcPr>
            <w:tcW w:w="687" w:type="pct"/>
          </w:tcPr>
          <w:p w14:paraId="6C97F99D" w14:textId="7E1BA4AB" w:rsidR="00AD6AFC" w:rsidRDefault="00930706" w:rsidP="00AD6AFC">
            <w:r>
              <w:t>GS Act</w:t>
            </w:r>
            <w:r w:rsidDel="00930706">
              <w:t xml:space="preserve"> </w:t>
            </w:r>
            <w:r w:rsidR="00AD6AFC">
              <w:t>section 69</w:t>
            </w:r>
          </w:p>
        </w:tc>
        <w:tc>
          <w:tcPr>
            <w:tcW w:w="3116" w:type="pct"/>
          </w:tcPr>
          <w:p w14:paraId="1D4FFC51" w14:textId="6C4A8617" w:rsidR="00AD6AFC" w:rsidRDefault="00AD6AFC" w:rsidP="00E50BB2">
            <w:pPr>
              <w:ind w:right="349"/>
            </w:pPr>
            <w:r>
              <w:t>(1) Energy Safe Victoria, on the application of any person, may accept an appliance or class of appliances for the purposes of this Act.</w:t>
            </w:r>
          </w:p>
        </w:tc>
        <w:tc>
          <w:tcPr>
            <w:tcW w:w="1197" w:type="pct"/>
          </w:tcPr>
          <w:p w14:paraId="208F61B4" w14:textId="053C34F1" w:rsidR="00AD6AFC" w:rsidRDefault="00AD6AFC" w:rsidP="00613239">
            <w:r>
              <w:t xml:space="preserve">ESV must </w:t>
            </w:r>
            <w:r w:rsidR="003C5834">
              <w:t>accept</w:t>
            </w:r>
            <w:r>
              <w:t xml:space="preserve"> </w:t>
            </w:r>
            <w:r w:rsidR="003C5834">
              <w:t>an appliance before it can legally be sold (section 70)</w:t>
            </w:r>
          </w:p>
        </w:tc>
      </w:tr>
      <w:tr w:rsidR="008E3167" w14:paraId="52B0F36B" w14:textId="77777777" w:rsidTr="005C13B5">
        <w:tc>
          <w:tcPr>
            <w:tcW w:w="687" w:type="pct"/>
          </w:tcPr>
          <w:p w14:paraId="62EAF7EA" w14:textId="4E1D0E9E" w:rsidR="008E3167" w:rsidRDefault="00930706">
            <w:r>
              <w:t>GS Act</w:t>
            </w:r>
            <w:r w:rsidDel="00930706">
              <w:t xml:space="preserve"> </w:t>
            </w:r>
            <w:r w:rsidR="008E3167">
              <w:t>section 70</w:t>
            </w:r>
          </w:p>
        </w:tc>
        <w:tc>
          <w:tcPr>
            <w:tcW w:w="3116" w:type="pct"/>
          </w:tcPr>
          <w:p w14:paraId="11A83844" w14:textId="4FE83E72" w:rsidR="008E3167" w:rsidRDefault="008E3167" w:rsidP="00E50BB2">
            <w:pPr>
              <w:ind w:right="349"/>
            </w:pPr>
            <w:r w:rsidRPr="00802D5D">
              <w:t>(</w:t>
            </w:r>
            <w:r w:rsidR="005D42CD" w:rsidRPr="00802D5D">
              <w:t xml:space="preserve">1) A person must not knowingly install a Type A appliance unless the appliance has — (a) been accepted under an acceptance scheme authorised under this Division or </w:t>
            </w:r>
            <w:r w:rsidR="005D42CD" w:rsidRPr="00802D5D">
              <w:lastRenderedPageBreak/>
              <w:t>accepted by Energy Safe Victoria under this Division; and (b) an ESV approved label affixed to it.</w:t>
            </w:r>
          </w:p>
          <w:p w14:paraId="6B35C131" w14:textId="35F943C7" w:rsidR="008E3167" w:rsidRDefault="008E3167" w:rsidP="00E50BB2">
            <w:pPr>
              <w:ind w:right="349"/>
            </w:pPr>
            <w:r>
              <w:t xml:space="preserve">Penalty: In the case of a natural person, 40 penalty units; In the case of a body corporate, 200 penalty units. </w:t>
            </w:r>
          </w:p>
        </w:tc>
        <w:tc>
          <w:tcPr>
            <w:tcW w:w="1197" w:type="pct"/>
          </w:tcPr>
          <w:p w14:paraId="0841784E" w14:textId="191D08F3" w:rsidR="008E3167" w:rsidRDefault="008E3167">
            <w:r>
              <w:lastRenderedPageBreak/>
              <w:t>It is an offence to install certain Type A appliances</w:t>
            </w:r>
          </w:p>
        </w:tc>
      </w:tr>
      <w:tr w:rsidR="008E3167" w14:paraId="08E5B6C4" w14:textId="77777777" w:rsidTr="005C13B5">
        <w:tc>
          <w:tcPr>
            <w:tcW w:w="687" w:type="pct"/>
          </w:tcPr>
          <w:p w14:paraId="19214105" w14:textId="0D9B57CE" w:rsidR="008E3167" w:rsidRDefault="00930706" w:rsidP="008E3167">
            <w:r>
              <w:t>GS Act</w:t>
            </w:r>
            <w:r w:rsidDel="00930706">
              <w:t xml:space="preserve"> </w:t>
            </w:r>
            <w:r w:rsidR="008E3167">
              <w:t>section 71</w:t>
            </w:r>
          </w:p>
        </w:tc>
        <w:tc>
          <w:tcPr>
            <w:tcW w:w="3116" w:type="pct"/>
          </w:tcPr>
          <w:p w14:paraId="7E5100CB" w14:textId="5CEDEBC3" w:rsidR="007F23EF" w:rsidRDefault="008E3167" w:rsidP="00E50BB2">
            <w:pPr>
              <w:ind w:right="349"/>
            </w:pPr>
            <w:r w:rsidRPr="00802D5D" w:rsidDel="00925457">
              <w:t>(</w:t>
            </w:r>
            <w:r w:rsidR="00925457" w:rsidRPr="00802D5D">
              <w:t xml:space="preserve">1) A person must not supply or offer to supply or sell or offer to sell a Type A appliance unless the appliance has — (a) </w:t>
            </w:r>
            <w:r w:rsidR="003B1AC2">
              <w:t xml:space="preserve">been </w:t>
            </w:r>
            <w:r w:rsidR="00925457" w:rsidRPr="00802D5D">
              <w:t>accepted under an acceptance scheme authorised under this Division or accepted by Energy Safe Victoria under this Division; and (b) an ESV approved label affixed to it.</w:t>
            </w:r>
          </w:p>
          <w:p w14:paraId="2BC8104B" w14:textId="7ADCA91F" w:rsidR="008E3167" w:rsidRDefault="008E3167" w:rsidP="00E50BB2">
            <w:pPr>
              <w:ind w:right="349"/>
            </w:pPr>
            <w:r>
              <w:t>Penalty: In the case of a natural person, 40 penalty units; In the case of a body corporate, 200 penalty units.</w:t>
            </w:r>
          </w:p>
        </w:tc>
        <w:tc>
          <w:tcPr>
            <w:tcW w:w="1197" w:type="pct"/>
          </w:tcPr>
          <w:p w14:paraId="3525DEEB" w14:textId="65FF3220" w:rsidR="008E3167" w:rsidRDefault="008E3167">
            <w:r>
              <w:t xml:space="preserve">It is an offence to supply or sell unaccepted </w:t>
            </w:r>
            <w:r w:rsidR="007F23EF">
              <w:t xml:space="preserve">Type A </w:t>
            </w:r>
            <w:r>
              <w:t>appliances</w:t>
            </w:r>
          </w:p>
        </w:tc>
      </w:tr>
      <w:tr w:rsidR="008E3167" w14:paraId="5BC8EB81" w14:textId="77777777" w:rsidTr="005C13B5">
        <w:tc>
          <w:tcPr>
            <w:tcW w:w="687" w:type="pct"/>
          </w:tcPr>
          <w:p w14:paraId="1D9B5255" w14:textId="04074AB8" w:rsidR="008E3167" w:rsidRDefault="00930706" w:rsidP="008E3167">
            <w:r>
              <w:t>GS Act</w:t>
            </w:r>
            <w:r w:rsidDel="00930706">
              <w:t xml:space="preserve"> </w:t>
            </w:r>
            <w:r w:rsidR="008E3167">
              <w:t>section 71B</w:t>
            </w:r>
          </w:p>
        </w:tc>
        <w:tc>
          <w:tcPr>
            <w:tcW w:w="3116" w:type="pct"/>
          </w:tcPr>
          <w:p w14:paraId="210F262A" w14:textId="77777777" w:rsidR="007F23EF" w:rsidRDefault="008E3167" w:rsidP="00E50BB2">
            <w:pPr>
              <w:ind w:right="349"/>
            </w:pPr>
            <w:r>
              <w:t xml:space="preserve">A person must not, in connection with the supply or possible supply or sale of a Type A appliance, affix or cause to be affixed a label or compliance plate to the appliance that falsely represents that the appliance has been, and continues to be— (a) accepted under an acceptance scheme authorised under this Division; or (b) accepted by Energy Safe Victoria under this Division. </w:t>
            </w:r>
          </w:p>
          <w:p w14:paraId="6AB25028" w14:textId="59515AA4" w:rsidR="008E3167" w:rsidRDefault="008E3167" w:rsidP="00E50BB2">
            <w:pPr>
              <w:ind w:right="349"/>
            </w:pPr>
            <w:r>
              <w:t>Penalty: In the case of a natural person, 40 penalty units; In the case of a body corporate 200 penalty units.</w:t>
            </w:r>
          </w:p>
        </w:tc>
        <w:tc>
          <w:tcPr>
            <w:tcW w:w="1197" w:type="pct"/>
          </w:tcPr>
          <w:p w14:paraId="55BA0118" w14:textId="41130CFA" w:rsidR="008E3167" w:rsidRDefault="007F23EF">
            <w:r>
              <w:t>A person must not f</w:t>
            </w:r>
            <w:r w:rsidR="008E3167">
              <w:t>alse</w:t>
            </w:r>
            <w:r>
              <w:t xml:space="preserve">ly label </w:t>
            </w:r>
            <w:r w:rsidR="008E3167">
              <w:t>Type A appliances</w:t>
            </w:r>
          </w:p>
        </w:tc>
      </w:tr>
      <w:tr w:rsidR="008E3167" w14:paraId="352B564D" w14:textId="77777777" w:rsidTr="005C13B5">
        <w:tc>
          <w:tcPr>
            <w:tcW w:w="687" w:type="pct"/>
          </w:tcPr>
          <w:p w14:paraId="395F6D57" w14:textId="61B91946" w:rsidR="008E3167" w:rsidRDefault="00930706" w:rsidP="008E3167">
            <w:r>
              <w:t>GS Act</w:t>
            </w:r>
            <w:r w:rsidDel="00930706">
              <w:t xml:space="preserve"> </w:t>
            </w:r>
            <w:r w:rsidR="008E3167">
              <w:t>section 71C</w:t>
            </w:r>
          </w:p>
        </w:tc>
        <w:tc>
          <w:tcPr>
            <w:tcW w:w="3116" w:type="pct"/>
          </w:tcPr>
          <w:p w14:paraId="1CF27448" w14:textId="01B91B6E" w:rsidR="008E3167" w:rsidRDefault="008E3167" w:rsidP="00E50BB2">
            <w:pPr>
              <w:ind w:right="349"/>
            </w:pPr>
            <w:r>
              <w:t>(1) A person must not knowingly, recklessly or negligently make a modification to a Type A appliance that would make the appliance unsafe to use if the appliance were used for its intended purpose. Penalty: In the case of a natural person, 40 penalty units; In the case of a body corporate, 200 penalty units.</w:t>
            </w:r>
          </w:p>
        </w:tc>
        <w:tc>
          <w:tcPr>
            <w:tcW w:w="1197" w:type="pct"/>
          </w:tcPr>
          <w:p w14:paraId="1C63A12F" w14:textId="0D2CB1C5" w:rsidR="008E3167" w:rsidRDefault="007F23EF">
            <w:r>
              <w:t>A person must not make u</w:t>
            </w:r>
            <w:r w:rsidR="008E3167">
              <w:t>nsafe modifications to Type A appliances</w:t>
            </w:r>
          </w:p>
        </w:tc>
      </w:tr>
      <w:tr w:rsidR="001A2594" w14:paraId="3A2618D4" w14:textId="77777777" w:rsidTr="009D0C28">
        <w:tc>
          <w:tcPr>
            <w:tcW w:w="687" w:type="pct"/>
          </w:tcPr>
          <w:p w14:paraId="01B04C03" w14:textId="3D06A985" w:rsidR="001A2594" w:rsidRDefault="00930706" w:rsidP="009D0C28">
            <w:r>
              <w:t>GS Act</w:t>
            </w:r>
            <w:r w:rsidDel="00930706">
              <w:t xml:space="preserve"> </w:t>
            </w:r>
            <w:r w:rsidR="001A2594">
              <w:t>Section 72</w:t>
            </w:r>
          </w:p>
        </w:tc>
        <w:tc>
          <w:tcPr>
            <w:tcW w:w="3116" w:type="pct"/>
          </w:tcPr>
          <w:p w14:paraId="3A19936A" w14:textId="77777777" w:rsidR="007B5030" w:rsidRPr="00F603B1" w:rsidRDefault="007B5030" w:rsidP="007B5030">
            <w:pPr>
              <w:autoSpaceDE w:val="0"/>
              <w:autoSpaceDN w:val="0"/>
              <w:adjustRightInd w:val="0"/>
              <w:spacing w:after="0" w:line="240" w:lineRule="auto"/>
              <w:rPr>
                <w:szCs w:val="17"/>
              </w:rPr>
            </w:pPr>
            <w:r w:rsidRPr="00F603B1">
              <w:rPr>
                <w:szCs w:val="17"/>
              </w:rPr>
              <w:t xml:space="preserve">(1) A person carrying out gasfitting work must ensure that that work complies with— </w:t>
            </w:r>
          </w:p>
          <w:p w14:paraId="02390D19" w14:textId="77777777" w:rsidR="007B5030" w:rsidRPr="00F603B1" w:rsidRDefault="007B5030" w:rsidP="007B5030">
            <w:pPr>
              <w:autoSpaceDE w:val="0"/>
              <w:autoSpaceDN w:val="0"/>
              <w:adjustRightInd w:val="0"/>
              <w:spacing w:after="0" w:line="240" w:lineRule="auto"/>
              <w:rPr>
                <w:szCs w:val="17"/>
              </w:rPr>
            </w:pPr>
            <w:r w:rsidRPr="00F603B1">
              <w:rPr>
                <w:szCs w:val="17"/>
              </w:rPr>
              <w:t xml:space="preserve">(a) the prescribed standards and requirements in relation to that work; or </w:t>
            </w:r>
          </w:p>
          <w:p w14:paraId="6360B8E6" w14:textId="61B82569" w:rsidR="001A2594" w:rsidRPr="00F603B1" w:rsidRDefault="007B5030" w:rsidP="007B5030">
            <w:pPr>
              <w:ind w:right="349"/>
              <w:rPr>
                <w:szCs w:val="17"/>
              </w:rPr>
            </w:pPr>
            <w:r w:rsidRPr="00F603B1">
              <w:rPr>
                <w:szCs w:val="17"/>
              </w:rPr>
              <w:t>(b) the standards determined by Energy Safe Victoria under the regulations in relation to that work.</w:t>
            </w:r>
          </w:p>
        </w:tc>
        <w:tc>
          <w:tcPr>
            <w:tcW w:w="1197" w:type="pct"/>
          </w:tcPr>
          <w:p w14:paraId="10A23709" w14:textId="0D95300B" w:rsidR="001A2594" w:rsidRDefault="001A2594" w:rsidP="009D0C28">
            <w:r>
              <w:t xml:space="preserve">A person </w:t>
            </w:r>
            <w:r w:rsidR="00785CDE">
              <w:t>carrying out gasfitting work must comply with prescribed standards relating to</w:t>
            </w:r>
            <w:r w:rsidR="00A568F7">
              <w:t xml:space="preserve"> that work.</w:t>
            </w:r>
          </w:p>
        </w:tc>
      </w:tr>
      <w:tr w:rsidR="008E3167" w14:paraId="618B9EB5" w14:textId="048136A9" w:rsidTr="005C13B5">
        <w:tc>
          <w:tcPr>
            <w:tcW w:w="687" w:type="pct"/>
          </w:tcPr>
          <w:p w14:paraId="3E91A307" w14:textId="43A22DFB" w:rsidR="008E3167" w:rsidRDefault="00930706" w:rsidP="008E3167">
            <w:r>
              <w:t>GS Act</w:t>
            </w:r>
            <w:r w:rsidR="008E3167">
              <w:t>, section 3</w:t>
            </w:r>
          </w:p>
        </w:tc>
        <w:tc>
          <w:tcPr>
            <w:tcW w:w="3116" w:type="pct"/>
          </w:tcPr>
          <w:p w14:paraId="08AC3007" w14:textId="77777777" w:rsidR="008E3167" w:rsidRDefault="008E3167" w:rsidP="00E50BB2">
            <w:pPr>
              <w:ind w:right="349"/>
            </w:pPr>
            <w:r>
              <w:t xml:space="preserve">"standard gas installation" means— </w:t>
            </w:r>
          </w:p>
          <w:p w14:paraId="74280A93" w14:textId="5A896841" w:rsidR="008E3167" w:rsidRDefault="008E3167" w:rsidP="00E50BB2">
            <w:pPr>
              <w:ind w:right="349"/>
            </w:pPr>
            <w:r>
              <w:t>(a) a gas installation— (i) which contains only Type A appliances; and (ii) which is located in residential premises of a prescribed class or on land as</w:t>
            </w:r>
            <w:r w:rsidR="007F23EF">
              <w:t>sociated with such premises</w:t>
            </w:r>
          </w:p>
        </w:tc>
        <w:tc>
          <w:tcPr>
            <w:tcW w:w="1197" w:type="pct"/>
          </w:tcPr>
          <w:p w14:paraId="6C1AAEFC" w14:textId="68055182" w:rsidR="008E3167" w:rsidRDefault="002A13CC" w:rsidP="008E3167">
            <w:r>
              <w:t>OFGSHs</w:t>
            </w:r>
            <w:r w:rsidR="007F23EF">
              <w:t xml:space="preserve"> are subject to any regulations surrounding standard gas installations</w:t>
            </w:r>
          </w:p>
        </w:tc>
      </w:tr>
      <w:tr w:rsidR="00D44E43" w14:paraId="098F6693" w14:textId="77777777" w:rsidTr="005C13B5">
        <w:tc>
          <w:tcPr>
            <w:tcW w:w="687" w:type="pct"/>
          </w:tcPr>
          <w:p w14:paraId="3D6B03D5" w14:textId="6E667991" w:rsidR="00D44E43" w:rsidRDefault="00D44E43" w:rsidP="008E3167">
            <w:r>
              <w:t>Plumbing Regulations 2018</w:t>
            </w:r>
          </w:p>
          <w:p w14:paraId="4FA07D67" w14:textId="1B64CC03" w:rsidR="00D44E43" w:rsidRDefault="008D48BE" w:rsidP="008E3167">
            <w:r>
              <w:t xml:space="preserve">Regulation </w:t>
            </w:r>
            <w:r w:rsidR="00D44E43">
              <w:t>19</w:t>
            </w:r>
          </w:p>
        </w:tc>
        <w:tc>
          <w:tcPr>
            <w:tcW w:w="3116" w:type="pct"/>
          </w:tcPr>
          <w:p w14:paraId="5AF7B674" w14:textId="50CF320C" w:rsidR="00D44E43" w:rsidRDefault="00D44E43" w:rsidP="00E50BB2">
            <w:pPr>
              <w:ind w:right="349"/>
            </w:pPr>
            <w:r>
              <w:t xml:space="preserve">(1) Gasfitting work is the construction, installation, replacement, repair, alteration, maintenance, testing or commissioning of any pipe, appliance, flue, fitting, apparatus, control or other item that is involved with the supply or use of gas and that is fitted downstream of the gas supply point and includes— (a) any gas appliance in, or on, a caravan or a vessel; and (b) any roof sheeting and roof flashing that is necessary for the purpose of any work described in this subregulation; and (c) any design work that </w:t>
            </w:r>
            <w:r>
              <w:lastRenderedPageBreak/>
              <w:t>is incidental to, or associated with, any work described in this subregulation.</w:t>
            </w:r>
          </w:p>
        </w:tc>
        <w:tc>
          <w:tcPr>
            <w:tcW w:w="1197" w:type="pct"/>
          </w:tcPr>
          <w:p w14:paraId="6C1F5867" w14:textId="77777777" w:rsidR="00D44E43" w:rsidRDefault="00D44E43" w:rsidP="008E3167"/>
        </w:tc>
      </w:tr>
      <w:tr w:rsidR="00966C44" w14:paraId="7F8EE57A" w14:textId="77777777" w:rsidTr="005C13B5">
        <w:tc>
          <w:tcPr>
            <w:tcW w:w="687" w:type="pct"/>
          </w:tcPr>
          <w:p w14:paraId="2F2D4D54" w14:textId="77777777" w:rsidR="00966C44" w:rsidRDefault="00966C44" w:rsidP="00966C44">
            <w:r>
              <w:t>Plumbing Regulations 2018</w:t>
            </w:r>
          </w:p>
          <w:p w14:paraId="76511841" w14:textId="04F357A0" w:rsidR="00966C44" w:rsidRDefault="008D48BE" w:rsidP="00613239">
            <w:r>
              <w:t>R</w:t>
            </w:r>
            <w:r w:rsidR="00F10C28">
              <w:t xml:space="preserve">egulation </w:t>
            </w:r>
            <w:r w:rsidR="00966C44">
              <w:t>37</w:t>
            </w:r>
          </w:p>
        </w:tc>
        <w:tc>
          <w:tcPr>
            <w:tcW w:w="3116" w:type="pct"/>
          </w:tcPr>
          <w:p w14:paraId="201C6A81" w14:textId="1A730519" w:rsidR="00966C44" w:rsidRDefault="00966C44" w:rsidP="00E50BB2">
            <w:pPr>
              <w:ind w:right="349"/>
            </w:pPr>
            <w:r>
              <w:t>Type A appliance servicing work is the internal cleaning, maintenance and adjusting of a Type A appliance and includes the adjustment, repair or replacement of a component of the Type A appliance.</w:t>
            </w:r>
          </w:p>
        </w:tc>
        <w:tc>
          <w:tcPr>
            <w:tcW w:w="1197" w:type="pct"/>
          </w:tcPr>
          <w:p w14:paraId="7D2E981F" w14:textId="03E264C5" w:rsidR="00966C44" w:rsidRDefault="00966C44" w:rsidP="008E3167">
            <w:r w:rsidRPr="00F22E1D">
              <w:t>De</w:t>
            </w:r>
            <w:r w:rsidR="00156BC7" w:rsidRPr="00F22E1D">
              <w:t>fines the scope of work of Type A appliance servicing work</w:t>
            </w:r>
          </w:p>
        </w:tc>
      </w:tr>
      <w:tr w:rsidR="00966C44" w14:paraId="7619F2E4" w14:textId="77777777" w:rsidTr="005C13B5">
        <w:tc>
          <w:tcPr>
            <w:tcW w:w="687" w:type="pct"/>
          </w:tcPr>
          <w:p w14:paraId="41E854BC" w14:textId="7929EC9B" w:rsidR="00966C44" w:rsidRDefault="00966C44" w:rsidP="00966C44">
            <w:r>
              <w:t xml:space="preserve">Plumbing </w:t>
            </w:r>
            <w:r w:rsidR="00B351F9">
              <w:t>R</w:t>
            </w:r>
            <w:r>
              <w:t>egulations, Division 3</w:t>
            </w:r>
          </w:p>
          <w:p w14:paraId="1A19DDCD" w14:textId="1F4081F5" w:rsidR="000934BC" w:rsidRPr="00802D5D" w:rsidRDefault="000934BC" w:rsidP="005C13B5">
            <w:pPr>
              <w:spacing w:after="0"/>
            </w:pPr>
            <w:r w:rsidRPr="00802D5D">
              <w:t xml:space="preserve">Schedule 4, </w:t>
            </w:r>
          </w:p>
          <w:p w14:paraId="7AF7EFFC" w14:textId="08C643D0" w:rsidR="00966C44" w:rsidRDefault="000934BC" w:rsidP="00613239">
            <w:r w:rsidRPr="00802D5D">
              <w:t>Cl 1</w:t>
            </w:r>
          </w:p>
        </w:tc>
        <w:tc>
          <w:tcPr>
            <w:tcW w:w="3116" w:type="pct"/>
          </w:tcPr>
          <w:p w14:paraId="35A3AA1A" w14:textId="6D4A46A6" w:rsidR="00966C44" w:rsidRDefault="00966C44" w:rsidP="00E50BB2">
            <w:pPr>
              <w:ind w:right="349"/>
            </w:pPr>
            <w:r>
              <w:t xml:space="preserve">(1) The qualifications required to be able to be licensed to carry out gasfitting work under section 221M(1)(b)(i) of the Act are the successful completion of— (a) the approved competency units for gasfitting work; and (b) the Authority's examination of licensing competencies for gasfitting work. </w:t>
            </w:r>
          </w:p>
          <w:p w14:paraId="14BEA237" w14:textId="648991A6" w:rsidR="00966C44" w:rsidRDefault="00966C44" w:rsidP="00E50BB2">
            <w:pPr>
              <w:ind w:right="349"/>
            </w:pPr>
            <w:r>
              <w:t>(2) The experience required to be able to be licensed to carry out gasfitting work under section 221M(1)(b)(i) of the Act is— (a) at least 2 years of practical experience in gasfitting work and the successful completion of an apprenticeship under the supervision of a plumber who is licensed in gasfitting work; or (b) at least 6 years of pra</w:t>
            </w:r>
            <w:r w:rsidR="004F35F6">
              <w:t>ctical experience in gasfitting work.</w:t>
            </w:r>
          </w:p>
        </w:tc>
        <w:tc>
          <w:tcPr>
            <w:tcW w:w="1197" w:type="pct"/>
          </w:tcPr>
          <w:p w14:paraId="7061E1A2" w14:textId="4A336B3A" w:rsidR="00966C44" w:rsidRDefault="00966C44" w:rsidP="008E3167">
            <w:r>
              <w:t>Describes the qualifications and experience required to work on Type A gas appliances.</w:t>
            </w:r>
          </w:p>
        </w:tc>
      </w:tr>
    </w:tbl>
    <w:p w14:paraId="42F7DBEC" w14:textId="7F0E6D7D" w:rsidR="00EB1BAA" w:rsidRDefault="00EB1BAA" w:rsidP="00E50BB2">
      <w:pPr>
        <w:pStyle w:val="Heading1un-numbered"/>
      </w:pPr>
      <w:bookmarkStart w:id="265" w:name="_Toc59612295"/>
      <w:r w:rsidRPr="00CC4A0B">
        <w:lastRenderedPageBreak/>
        <w:t>Appendix C – Research on C</w:t>
      </w:r>
      <w:r>
        <w:t>O</w:t>
      </w:r>
      <w:r w:rsidRPr="00CC4A0B">
        <w:t xml:space="preserve"> alarms</w:t>
      </w:r>
      <w:bookmarkEnd w:id="265"/>
    </w:p>
    <w:p w14:paraId="33B79043" w14:textId="77777777" w:rsidR="00EB1BAA" w:rsidRDefault="00EB1BAA" w:rsidP="00E50BB2">
      <w:pPr>
        <w:pStyle w:val="Heading2un-numbered"/>
        <w:ind w:left="283" w:hanging="283"/>
      </w:pPr>
      <w:r>
        <w:t>Quantifying the benefits of CO alarms – supporting research</w:t>
      </w:r>
    </w:p>
    <w:p w14:paraId="242631B5" w14:textId="3FCAC7C8" w:rsidR="00EB1BAA" w:rsidRPr="00261D0B" w:rsidRDefault="00EB1BAA" w:rsidP="00E50BB2">
      <w:pPr>
        <w:numPr>
          <w:ilvl w:val="0"/>
          <w:numId w:val="50"/>
        </w:numPr>
        <w:ind w:left="283" w:hanging="283"/>
        <w:contextualSpacing/>
        <w:rPr>
          <w:rFonts w:eastAsia="Times New Roman" w:cs="Times New Roman"/>
          <w:sz w:val="17"/>
          <w:szCs w:val="17"/>
        </w:rPr>
      </w:pPr>
      <w:r w:rsidRPr="00261D0B">
        <w:rPr>
          <w:rFonts w:eastAsia="Times New Roman" w:cs="Times New Roman"/>
          <w:b/>
          <w:sz w:val="17"/>
          <w:szCs w:val="17"/>
        </w:rPr>
        <w:t>ESV</w:t>
      </w:r>
      <w:r w:rsidRPr="00261D0B">
        <w:rPr>
          <w:rFonts w:eastAsia="Times New Roman" w:cs="Times New Roman"/>
          <w:bCs/>
          <w:sz w:val="17"/>
          <w:szCs w:val="17"/>
        </w:rPr>
        <w:t xml:space="preserve"> </w:t>
      </w:r>
      <w:r>
        <w:rPr>
          <w:rFonts w:eastAsia="Times New Roman" w:cs="Times New Roman"/>
          <w:bCs/>
          <w:sz w:val="17"/>
          <w:szCs w:val="17"/>
        </w:rPr>
        <w:t>–</w:t>
      </w:r>
      <w:r w:rsidRPr="00261D0B">
        <w:rPr>
          <w:rFonts w:eastAsia="Times New Roman" w:cs="Times New Roman"/>
          <w:bCs/>
          <w:sz w:val="17"/>
          <w:szCs w:val="17"/>
        </w:rPr>
        <w:t xml:space="preserve"> </w:t>
      </w:r>
      <w:r>
        <w:rPr>
          <w:rFonts w:eastAsia="Times New Roman" w:cs="Times New Roman"/>
          <w:bCs/>
          <w:sz w:val="17"/>
          <w:szCs w:val="17"/>
        </w:rPr>
        <w:t xml:space="preserve"> ESV has</w:t>
      </w:r>
      <w:r w:rsidRPr="00261D0B">
        <w:rPr>
          <w:rFonts w:eastAsia="Times New Roman" w:cs="Times New Roman"/>
          <w:bCs/>
          <w:sz w:val="17"/>
          <w:szCs w:val="17"/>
        </w:rPr>
        <w:t xml:space="preserve"> advised the public</w:t>
      </w:r>
      <w:r w:rsidRPr="00261D0B">
        <w:rPr>
          <w:rFonts w:eastAsia="Times New Roman" w:cs="Times New Roman"/>
          <w:sz w:val="17"/>
          <w:szCs w:val="17"/>
        </w:rPr>
        <w:t xml:space="preserve"> that CO alarm performance can be affected by excessive spillage or reverse flueing of gas appliances caused by: (i) wind, including high gusts of wind (ii) heavy air in the flue (such as cold or humid air) (iii) negative pressure differentials within a room, resulting from the use of exhaust fans (iv) simultaneous operation of several gas appliances without also increasing the ventilation or (v) extended operation of flueless gas appliances.</w:t>
      </w:r>
      <w:r w:rsidRPr="00261D0B">
        <w:rPr>
          <w:rFonts w:eastAsia="Times New Roman" w:cs="Times New Roman"/>
          <w:sz w:val="17"/>
          <w:szCs w:val="17"/>
          <w:vertAlign w:val="superscript"/>
        </w:rPr>
        <w:footnoteReference w:id="143"/>
      </w:r>
    </w:p>
    <w:p w14:paraId="684DBEA6" w14:textId="615F1613" w:rsidR="00EB1BAA" w:rsidRPr="00261D0B" w:rsidRDefault="00EB1BAA" w:rsidP="00E50BB2">
      <w:pPr>
        <w:numPr>
          <w:ilvl w:val="0"/>
          <w:numId w:val="50"/>
        </w:numPr>
        <w:spacing w:after="0"/>
        <w:ind w:left="283" w:hanging="283"/>
        <w:contextualSpacing/>
        <w:rPr>
          <w:rFonts w:eastAsia="Times New Roman" w:cs="Times New Roman"/>
          <w:sz w:val="17"/>
          <w:szCs w:val="17"/>
        </w:rPr>
      </w:pPr>
      <w:r w:rsidRPr="00261D0B">
        <w:rPr>
          <w:rFonts w:eastAsia="Times New Roman" w:cs="Times New Roman"/>
          <w:b/>
          <w:bCs/>
          <w:sz w:val="17"/>
          <w:szCs w:val="17"/>
        </w:rPr>
        <w:t>ESV</w:t>
      </w:r>
      <w:r w:rsidRPr="00261D0B">
        <w:rPr>
          <w:rFonts w:eastAsia="Times New Roman" w:cs="Times New Roman"/>
          <w:sz w:val="17"/>
          <w:szCs w:val="17"/>
        </w:rPr>
        <w:t xml:space="preserve"> - There is no standard in Australia that covers the design, manufacture, installation or servicing of CO alarms for domestic premises. ESV suggests consumers choose a CO alarm </w:t>
      </w:r>
      <w:r w:rsidR="002B3A25">
        <w:rPr>
          <w:rFonts w:eastAsia="Times New Roman" w:cs="Times New Roman"/>
          <w:sz w:val="17"/>
          <w:szCs w:val="17"/>
        </w:rPr>
        <w:t>that complies with</w:t>
      </w:r>
      <w:r w:rsidRPr="00261D0B">
        <w:rPr>
          <w:rFonts w:eastAsia="Times New Roman" w:cs="Times New Roman"/>
          <w:sz w:val="17"/>
          <w:szCs w:val="17"/>
        </w:rPr>
        <w:t xml:space="preserve"> EN50291 (the European standard) or UL2034 (the US standard).</w:t>
      </w:r>
      <w:r w:rsidRPr="00261D0B">
        <w:rPr>
          <w:rFonts w:eastAsia="Times New Roman" w:cs="Times New Roman"/>
          <w:sz w:val="17"/>
          <w:szCs w:val="17"/>
          <w:vertAlign w:val="superscript"/>
        </w:rPr>
        <w:footnoteReference w:id="144"/>
      </w:r>
      <w:r w:rsidRPr="00261D0B">
        <w:rPr>
          <w:rFonts w:eastAsia="Times New Roman" w:cs="Times New Roman"/>
          <w:sz w:val="17"/>
          <w:szCs w:val="17"/>
        </w:rPr>
        <w:t xml:space="preserve"> </w:t>
      </w:r>
    </w:p>
    <w:p w14:paraId="0997D49A" w14:textId="3C4741F7" w:rsidR="00EB1BAA" w:rsidRPr="00261D0B" w:rsidRDefault="00EB1BAA" w:rsidP="00E50BB2">
      <w:pPr>
        <w:numPr>
          <w:ilvl w:val="0"/>
          <w:numId w:val="50"/>
        </w:numPr>
        <w:spacing w:after="120"/>
        <w:ind w:left="283" w:hanging="283"/>
        <w:contextualSpacing/>
        <w:rPr>
          <w:rFonts w:eastAsia="Times New Roman" w:cs="Times New Roman"/>
          <w:sz w:val="17"/>
          <w:szCs w:val="17"/>
        </w:rPr>
      </w:pPr>
      <w:r w:rsidRPr="00261D0B">
        <w:rPr>
          <w:rFonts w:eastAsia="Times New Roman" w:cs="Times New Roman"/>
          <w:b/>
          <w:sz w:val="17"/>
          <w:szCs w:val="17"/>
        </w:rPr>
        <w:t>Ryan, T and Arnold, K (2011) p.e15</w:t>
      </w:r>
      <w:r w:rsidRPr="00261D0B">
        <w:rPr>
          <w:rFonts w:eastAsia="Times New Roman" w:cs="Times New Roman"/>
          <w:sz w:val="17"/>
          <w:szCs w:val="17"/>
        </w:rPr>
        <w:t xml:space="preserve"> - Tested 30 </w:t>
      </w:r>
      <w:r w:rsidRPr="00261D0B">
        <w:rPr>
          <w:rFonts w:eastAsia="Times New Roman" w:cs="Times New Roman"/>
          <w:color w:val="000000"/>
          <w:sz w:val="17"/>
          <w:szCs w:val="17"/>
          <w:shd w:val="clear" w:color="auto" w:fill="FFFFFF"/>
        </w:rPr>
        <w:t xml:space="preserve">residential carbon monoxide detectors installed in the United States, finding </w:t>
      </w:r>
      <w:r w:rsidRPr="00261D0B">
        <w:rPr>
          <w:rFonts w:eastAsia="Times New Roman" w:cs="Times New Roman"/>
          <w:sz w:val="17"/>
          <w:szCs w:val="17"/>
        </w:rPr>
        <w:t>that more than half failed to function properly, alarming too early or too late. Forty per</w:t>
      </w:r>
      <w:r w:rsidR="0084572F">
        <w:rPr>
          <w:rFonts w:eastAsia="Times New Roman" w:cs="Times New Roman"/>
          <w:sz w:val="17"/>
          <w:szCs w:val="17"/>
        </w:rPr>
        <w:t xml:space="preserve"> </w:t>
      </w:r>
      <w:r w:rsidRPr="00261D0B">
        <w:rPr>
          <w:rFonts w:eastAsia="Times New Roman" w:cs="Times New Roman"/>
          <w:sz w:val="17"/>
          <w:szCs w:val="17"/>
        </w:rPr>
        <w:t>cent of detectors failed to alarm in hazardous concentrations, despite outward indications that they were operating as intended. The study d</w:t>
      </w:r>
      <w:r w:rsidRPr="00261D0B">
        <w:rPr>
          <w:rFonts w:eastAsia="Times New Roman" w:cstheme="minorHAnsi"/>
          <w:sz w:val="17"/>
          <w:szCs w:val="17"/>
        </w:rPr>
        <w:t>etermined a statistically significant unsafe failure rate of 40</w:t>
      </w:r>
      <w:r w:rsidR="00AB1ECD">
        <w:t xml:space="preserve"> per cent</w:t>
      </w:r>
      <w:r w:rsidR="00AB1ECD" w:rsidRPr="00261D0B">
        <w:rPr>
          <w:rFonts w:eastAsia="Times New Roman" w:cstheme="minorHAnsi"/>
          <w:sz w:val="17"/>
          <w:szCs w:val="17"/>
        </w:rPr>
        <w:t xml:space="preserve"> </w:t>
      </w:r>
      <w:r w:rsidRPr="00261D0B">
        <w:rPr>
          <w:rFonts w:eastAsia="Times New Roman" w:cstheme="minorHAnsi"/>
          <w:sz w:val="17"/>
          <w:szCs w:val="17"/>
        </w:rPr>
        <w:t>i.e. for every 5 homes sampled, 2 were in fact not protected by the installed CO detector.</w:t>
      </w:r>
    </w:p>
    <w:p w14:paraId="20C3D9CF" w14:textId="4FA6F41A" w:rsidR="00EB1BAA" w:rsidRPr="00261D0B" w:rsidRDefault="00EB1BAA" w:rsidP="00E50BB2">
      <w:pPr>
        <w:numPr>
          <w:ilvl w:val="0"/>
          <w:numId w:val="50"/>
        </w:numPr>
        <w:ind w:left="283" w:hanging="283"/>
        <w:contextualSpacing/>
        <w:rPr>
          <w:rFonts w:eastAsia="Times New Roman" w:cs="Times New Roman"/>
          <w:sz w:val="17"/>
          <w:szCs w:val="17"/>
        </w:rPr>
      </w:pPr>
      <w:r w:rsidRPr="00261D0B">
        <w:rPr>
          <w:rFonts w:eastAsia="Times New Roman" w:cs="Times New Roman"/>
          <w:b/>
          <w:sz w:val="17"/>
          <w:szCs w:val="17"/>
        </w:rPr>
        <w:t>Wheeler-Martin, K, et al. (2015) P1628</w:t>
      </w:r>
      <w:r w:rsidRPr="00261D0B">
        <w:rPr>
          <w:rFonts w:eastAsia="Times New Roman" w:cs="Times New Roman"/>
          <w:sz w:val="17"/>
          <w:szCs w:val="17"/>
        </w:rPr>
        <w:t xml:space="preserve"> - Observed compliance with the alarm law to be high in 2009 (83</w:t>
      </w:r>
      <w:r w:rsidR="00AB1ECD">
        <w:t xml:space="preserve"> per cent</w:t>
      </w:r>
      <w:r w:rsidRPr="00261D0B">
        <w:rPr>
          <w:rFonts w:eastAsia="Times New Roman" w:cs="Times New Roman"/>
          <w:sz w:val="17"/>
          <w:szCs w:val="17"/>
        </w:rPr>
        <w:t>), especially considering that a portion of New York residences were exempt from the law. However, the study also estimated that only half of the residents lived in households with CO alarms that had been tested or had their batteries replaced in the recommended 6-month time frame, which indicated that alarm maintenance is an area of needed improvement. Note: Deloitte has assumed a 100</w:t>
      </w:r>
      <w:r w:rsidR="00AB1ECD">
        <w:t xml:space="preserve"> per cent</w:t>
      </w:r>
      <w:r w:rsidRPr="00261D0B">
        <w:rPr>
          <w:rFonts w:eastAsia="Times New Roman" w:cs="Times New Roman"/>
          <w:sz w:val="17"/>
          <w:szCs w:val="17"/>
        </w:rPr>
        <w:t xml:space="preserve"> compliance rate, which is unlikely to occur with zero incremental monitoring and enforcement costs per annum.</w:t>
      </w:r>
    </w:p>
    <w:p w14:paraId="1487A714" w14:textId="77777777" w:rsidR="00EB1BAA" w:rsidRPr="00261D0B" w:rsidRDefault="00EB1BAA" w:rsidP="00E50BB2">
      <w:pPr>
        <w:numPr>
          <w:ilvl w:val="0"/>
          <w:numId w:val="50"/>
        </w:numPr>
        <w:ind w:left="283" w:hanging="283"/>
        <w:contextualSpacing/>
        <w:rPr>
          <w:rFonts w:eastAsia="Times New Roman" w:cs="Times New Roman"/>
          <w:sz w:val="17"/>
          <w:szCs w:val="17"/>
        </w:rPr>
      </w:pPr>
      <w:r w:rsidRPr="00261D0B">
        <w:rPr>
          <w:rFonts w:eastAsia="Times New Roman" w:cs="Times New Roman"/>
          <w:b/>
          <w:sz w:val="17"/>
          <w:szCs w:val="17"/>
        </w:rPr>
        <w:t>Wheeler-Martin, K, et al. (2015) P1628</w:t>
      </w:r>
      <w:r w:rsidRPr="00261D0B">
        <w:rPr>
          <w:rFonts w:eastAsia="Times New Roman" w:cs="Times New Roman"/>
          <w:sz w:val="17"/>
          <w:szCs w:val="17"/>
        </w:rPr>
        <w:t xml:space="preserve"> – Found that, despite their utility, the effectiveness of CO alarms, is limited by human awareness of the appropriate actions to take when an alarm sounds. A mortality review in New Mexico postulated that 58 of 136 unintentional, nonfire-related CO deaths might not have been prevented even if an audible CO alarm had been present because of mobility limitations, intoxication, or otherwise impaired judgment. Even without impairment, taking action when a CO alarm activates can seem counterintuitive when nothing appears to be out of the ordinary</w:t>
      </w:r>
      <w:r>
        <w:rPr>
          <w:rFonts w:eastAsia="Times New Roman" w:cs="Times New Roman"/>
          <w:sz w:val="17"/>
          <w:szCs w:val="17"/>
        </w:rPr>
        <w:t xml:space="preserve"> (</w:t>
      </w:r>
      <w:r w:rsidRPr="00F22E1D">
        <w:rPr>
          <w:rFonts w:eastAsia="Times New Roman" w:cs="Times New Roman"/>
          <w:sz w:val="17"/>
          <w:szCs w:val="17"/>
        </w:rPr>
        <w:t>unlike smoke alarms where the ability to see and smell smoke is a key difference)</w:t>
      </w:r>
      <w:r w:rsidRPr="00261D0B">
        <w:rPr>
          <w:rFonts w:eastAsia="Times New Roman" w:cs="Times New Roman"/>
          <w:sz w:val="17"/>
          <w:szCs w:val="17"/>
        </w:rPr>
        <w:t>, because of the odourless and colourless nature of CO.</w:t>
      </w:r>
    </w:p>
    <w:p w14:paraId="33216BAE" w14:textId="77777777" w:rsidR="00EB1BAA" w:rsidRPr="006436C1" w:rsidRDefault="00EB1BAA" w:rsidP="00E50BB2">
      <w:pPr>
        <w:numPr>
          <w:ilvl w:val="0"/>
          <w:numId w:val="50"/>
        </w:numPr>
        <w:ind w:left="283" w:hanging="283"/>
        <w:contextualSpacing/>
        <w:rPr>
          <w:rFonts w:eastAsia="Times New Roman" w:cs="Times New Roman"/>
          <w:sz w:val="17"/>
          <w:szCs w:val="17"/>
        </w:rPr>
      </w:pPr>
      <w:r w:rsidRPr="00261D0B">
        <w:rPr>
          <w:rFonts w:eastAsia="Times New Roman" w:cs="Times New Roman"/>
          <w:b/>
          <w:sz w:val="17"/>
          <w:szCs w:val="17"/>
        </w:rPr>
        <w:t>Ryan, T and Arnold, K (2011) p.e15</w:t>
      </w:r>
      <w:r w:rsidRPr="00261D0B">
        <w:rPr>
          <w:rFonts w:eastAsia="Times New Roman" w:cs="Times New Roman"/>
          <w:sz w:val="17"/>
          <w:szCs w:val="17"/>
        </w:rPr>
        <w:t xml:space="preserve"> – Found that the </w:t>
      </w:r>
      <w:r w:rsidRPr="00261D0B">
        <w:rPr>
          <w:rFonts w:eastAsia="Times New Roman" w:cs="Times New Roman"/>
          <w:sz w:val="17"/>
          <w:szCs w:val="17"/>
          <w:shd w:val="clear" w:color="auto" w:fill="FFFFFF"/>
        </w:rPr>
        <w:t>“push to test” buttons of various CO alarms only determine whether power is reaching the detector or whether the audible alarm operates and not whether the CO sensor is functioning as intended.</w:t>
      </w:r>
    </w:p>
    <w:p w14:paraId="5F4A5D26" w14:textId="242CBBA5" w:rsidR="00EB1BAA" w:rsidRDefault="00EB1BAA" w:rsidP="00E50BB2">
      <w:pPr>
        <w:spacing w:after="0"/>
        <w:ind w:left="283" w:hanging="283"/>
      </w:pPr>
    </w:p>
    <w:p w14:paraId="1896BADA" w14:textId="385F4C9D" w:rsidR="00EB1BAA" w:rsidRDefault="00EB1BAA" w:rsidP="00E50BB2">
      <w:pPr>
        <w:spacing w:after="0"/>
        <w:ind w:left="283" w:hanging="283"/>
      </w:pPr>
      <w:r>
        <w:br w:type="page"/>
      </w:r>
    </w:p>
    <w:p w14:paraId="3B0AF8E8" w14:textId="5866FBC1" w:rsidR="00EB1BAA" w:rsidRDefault="00EF5CEE" w:rsidP="00694517">
      <w:pPr>
        <w:pStyle w:val="Heading1un-numbered"/>
      </w:pPr>
      <w:bookmarkStart w:id="266" w:name="_Toc59612296"/>
      <w:r w:rsidRPr="00CC4A0B">
        <w:lastRenderedPageBreak/>
        <w:t xml:space="preserve">Appendix </w:t>
      </w:r>
      <w:r>
        <w:t>D</w:t>
      </w:r>
      <w:r w:rsidRPr="00CC4A0B">
        <w:t xml:space="preserve"> – </w:t>
      </w:r>
      <w:r>
        <w:t xml:space="preserve">Draft </w:t>
      </w:r>
      <w:r w:rsidR="00CC3D3A">
        <w:t>R</w:t>
      </w:r>
      <w:r>
        <w:t>egulations for a restriction on future installation of OFGSH</w:t>
      </w:r>
      <w:r w:rsidR="00577655">
        <w:t>s</w:t>
      </w:r>
      <w:bookmarkEnd w:id="266"/>
    </w:p>
    <w:p w14:paraId="6EC1B667" w14:textId="1EFA7809" w:rsidR="00EB1BAA" w:rsidRDefault="00694517" w:rsidP="00C05212">
      <w:pPr>
        <w:spacing w:after="0"/>
        <w:jc w:val="center"/>
      </w:pPr>
      <w:r>
        <w:rPr>
          <w:noProof/>
        </w:rPr>
        <w:drawing>
          <wp:inline distT="0" distB="0" distL="0" distR="0" wp14:anchorId="7AC1FCA0" wp14:editId="6EB4CC2B">
            <wp:extent cx="4034060" cy="6267448"/>
            <wp:effectExtent l="0" t="0" r="5080" b="0"/>
            <wp:docPr id="2" name="Picture 2" descr="Gas Safety (Gas Installation) Amendment Regulations Exposure Draft - Table of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0">
                      <a:extLst>
                        <a:ext uri="{28A0092B-C50C-407E-A947-70E740481C1C}">
                          <a14:useLocalDpi xmlns:a14="http://schemas.microsoft.com/office/drawing/2010/main" val="0"/>
                        </a:ext>
                      </a:extLst>
                    </a:blip>
                    <a:stretch>
                      <a:fillRect/>
                    </a:stretch>
                  </pic:blipFill>
                  <pic:spPr>
                    <a:xfrm>
                      <a:off x="0" y="0"/>
                      <a:ext cx="4034060" cy="6267448"/>
                    </a:xfrm>
                    <a:prstGeom prst="rect">
                      <a:avLst/>
                    </a:prstGeom>
                  </pic:spPr>
                </pic:pic>
              </a:graphicData>
            </a:graphic>
          </wp:inline>
        </w:drawing>
      </w:r>
    </w:p>
    <w:p w14:paraId="09DBB3E2" w14:textId="12E0133A" w:rsidR="00694517" w:rsidRDefault="006C07F0" w:rsidP="00C05212">
      <w:pPr>
        <w:spacing w:after="0"/>
        <w:jc w:val="center"/>
      </w:pPr>
      <w:r>
        <w:rPr>
          <w:noProof/>
        </w:rPr>
        <w:lastRenderedPageBreak/>
        <w:drawing>
          <wp:inline distT="0" distB="0" distL="0" distR="0" wp14:anchorId="394E58E2" wp14:editId="3FEFF371">
            <wp:extent cx="4330823" cy="6486525"/>
            <wp:effectExtent l="0" t="0" r="0" b="0"/>
            <wp:docPr id="9" name="Picture 9" descr="Gas Safety (Gas Installation) Amendment Regulations Exposure Draft,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1">
                      <a:extLst>
                        <a:ext uri="{28A0092B-C50C-407E-A947-70E740481C1C}">
                          <a14:useLocalDpi xmlns:a14="http://schemas.microsoft.com/office/drawing/2010/main" val="0"/>
                        </a:ext>
                      </a:extLst>
                    </a:blip>
                    <a:stretch>
                      <a:fillRect/>
                    </a:stretch>
                  </pic:blipFill>
                  <pic:spPr>
                    <a:xfrm>
                      <a:off x="0" y="0"/>
                      <a:ext cx="4330823" cy="6486525"/>
                    </a:xfrm>
                    <a:prstGeom prst="rect">
                      <a:avLst/>
                    </a:prstGeom>
                  </pic:spPr>
                </pic:pic>
              </a:graphicData>
            </a:graphic>
          </wp:inline>
        </w:drawing>
      </w:r>
    </w:p>
    <w:p w14:paraId="2BAF1E86" w14:textId="08F312A0" w:rsidR="00F6455C" w:rsidRDefault="00F6455C" w:rsidP="00084212">
      <w:pPr>
        <w:spacing w:after="0"/>
        <w:jc w:val="center"/>
      </w:pPr>
    </w:p>
    <w:p w14:paraId="5088AA11" w14:textId="77777777" w:rsidR="00F6455C" w:rsidRPr="000833A7" w:rsidRDefault="00F6455C" w:rsidP="00C05212"/>
    <w:p w14:paraId="686867BB" w14:textId="77777777" w:rsidR="00F6455C" w:rsidRDefault="00F6455C">
      <w:pPr>
        <w:spacing w:after="0"/>
      </w:pPr>
    </w:p>
    <w:p w14:paraId="75B62AD5" w14:textId="77777777" w:rsidR="00F6455C" w:rsidRDefault="00F6455C">
      <w:pPr>
        <w:spacing w:after="0"/>
      </w:pPr>
    </w:p>
    <w:p w14:paraId="15B9A014" w14:textId="01EF92E8" w:rsidR="00EB1BAA" w:rsidRDefault="00F6455C" w:rsidP="00C05212">
      <w:pPr>
        <w:tabs>
          <w:tab w:val="left" w:pos="2260"/>
        </w:tabs>
        <w:spacing w:after="0"/>
      </w:pPr>
      <w:r>
        <w:tab/>
      </w:r>
    </w:p>
    <w:p w14:paraId="3E330254" w14:textId="7608686F" w:rsidR="00AE49F6" w:rsidRDefault="00EB1BAA" w:rsidP="009B61C9">
      <w:pPr>
        <w:spacing w:after="0"/>
        <w:jc w:val="center"/>
      </w:pPr>
      <w:r>
        <w:br w:type="page"/>
      </w:r>
      <w:r w:rsidR="009B61C9">
        <w:rPr>
          <w:noProof/>
        </w:rPr>
        <w:lastRenderedPageBreak/>
        <w:drawing>
          <wp:inline distT="0" distB="0" distL="0" distR="0" wp14:anchorId="43CB2890" wp14:editId="447BAD57">
            <wp:extent cx="4610098" cy="7663148"/>
            <wp:effectExtent l="0" t="0" r="0" b="0"/>
            <wp:docPr id="10" name="Picture 10" descr="Gas Safety (Gas Installation) Amendment Regulations Exposure Draft,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82">
                      <a:extLst>
                        <a:ext uri="{28A0092B-C50C-407E-A947-70E740481C1C}">
                          <a14:useLocalDpi xmlns:a14="http://schemas.microsoft.com/office/drawing/2010/main" val="0"/>
                        </a:ext>
                      </a:extLst>
                    </a:blip>
                    <a:stretch>
                      <a:fillRect/>
                    </a:stretch>
                  </pic:blipFill>
                  <pic:spPr>
                    <a:xfrm>
                      <a:off x="0" y="0"/>
                      <a:ext cx="4610098" cy="7663148"/>
                    </a:xfrm>
                    <a:prstGeom prst="rect">
                      <a:avLst/>
                    </a:prstGeom>
                  </pic:spPr>
                </pic:pic>
              </a:graphicData>
            </a:graphic>
          </wp:inline>
        </w:drawing>
      </w:r>
    </w:p>
    <w:p w14:paraId="3B9B6B93" w14:textId="77777777" w:rsidR="009B61C9" w:rsidRPr="00AE49F6" w:rsidRDefault="009B61C9" w:rsidP="009B61C9">
      <w:pPr>
        <w:spacing w:after="0"/>
        <w:jc w:val="center"/>
      </w:pPr>
    </w:p>
    <w:p w14:paraId="20FDE48A" w14:textId="5EE38A39" w:rsidR="00F6455C" w:rsidRDefault="00F6455C">
      <w:pPr>
        <w:spacing w:after="0"/>
      </w:pPr>
    </w:p>
    <w:p w14:paraId="7FD778F0" w14:textId="5A3A9289" w:rsidR="00155205" w:rsidRDefault="00155205" w:rsidP="00C05212">
      <w:pPr>
        <w:spacing w:after="0"/>
        <w:jc w:val="center"/>
      </w:pPr>
    </w:p>
    <w:p w14:paraId="3DE72EF8" w14:textId="77777777" w:rsidR="00155205" w:rsidRDefault="00155205">
      <w:pPr>
        <w:spacing w:after="0"/>
      </w:pPr>
    </w:p>
    <w:p w14:paraId="03076ED6" w14:textId="77777777" w:rsidR="00155205" w:rsidRDefault="00155205">
      <w:pPr>
        <w:spacing w:after="0"/>
      </w:pPr>
    </w:p>
    <w:p w14:paraId="0D6E92DC" w14:textId="77777777" w:rsidR="00155205" w:rsidRDefault="00155205">
      <w:pPr>
        <w:spacing w:after="0"/>
      </w:pPr>
    </w:p>
    <w:p w14:paraId="5E28964B" w14:textId="77777777" w:rsidR="00155205" w:rsidRDefault="00155205">
      <w:pPr>
        <w:spacing w:after="0"/>
      </w:pPr>
    </w:p>
    <w:p w14:paraId="3A110373" w14:textId="14147CD8" w:rsidR="00155205" w:rsidRDefault="00155205" w:rsidP="00E8797E">
      <w:pPr>
        <w:spacing w:after="0"/>
      </w:pPr>
    </w:p>
    <w:p w14:paraId="4D8F146B" w14:textId="750FCBCC" w:rsidR="00155205" w:rsidRDefault="009C7F69" w:rsidP="009C7F69">
      <w:pPr>
        <w:spacing w:after="0"/>
        <w:jc w:val="center"/>
      </w:pPr>
      <w:r>
        <w:rPr>
          <w:noProof/>
        </w:rPr>
        <w:drawing>
          <wp:inline distT="0" distB="0" distL="0" distR="0" wp14:anchorId="36B5498F" wp14:editId="30F2D3EF">
            <wp:extent cx="4381500" cy="7425596"/>
            <wp:effectExtent l="0" t="0" r="0" b="4445"/>
            <wp:docPr id="11" name="Picture 11" descr="Gas Safety (Gas Installation) Amendment Regulations Exposure Draft,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83">
                      <a:extLst>
                        <a:ext uri="{28A0092B-C50C-407E-A947-70E740481C1C}">
                          <a14:useLocalDpi xmlns:a14="http://schemas.microsoft.com/office/drawing/2010/main" val="0"/>
                        </a:ext>
                      </a:extLst>
                    </a:blip>
                    <a:stretch>
                      <a:fillRect/>
                    </a:stretch>
                  </pic:blipFill>
                  <pic:spPr>
                    <a:xfrm>
                      <a:off x="0" y="0"/>
                      <a:ext cx="4381500" cy="7425596"/>
                    </a:xfrm>
                    <a:prstGeom prst="rect">
                      <a:avLst/>
                    </a:prstGeom>
                  </pic:spPr>
                </pic:pic>
              </a:graphicData>
            </a:graphic>
          </wp:inline>
        </w:drawing>
      </w:r>
    </w:p>
    <w:p w14:paraId="7A0A4372" w14:textId="76CA73CE" w:rsidR="009C7F69" w:rsidRDefault="009C7F69" w:rsidP="009C7F69">
      <w:pPr>
        <w:spacing w:after="0"/>
        <w:jc w:val="center"/>
      </w:pPr>
    </w:p>
    <w:p w14:paraId="4FC9AEBB" w14:textId="07411062" w:rsidR="009C7F69" w:rsidRDefault="009C7F69" w:rsidP="009C7F69">
      <w:pPr>
        <w:spacing w:after="0"/>
        <w:jc w:val="center"/>
      </w:pPr>
    </w:p>
    <w:p w14:paraId="661E27E9" w14:textId="2DEE0B35" w:rsidR="009C7F69" w:rsidRDefault="009C7F69" w:rsidP="009C7F69">
      <w:pPr>
        <w:spacing w:after="0"/>
        <w:jc w:val="center"/>
      </w:pPr>
    </w:p>
    <w:p w14:paraId="2030C9DF" w14:textId="77777777" w:rsidR="009C7F69" w:rsidRDefault="009C7F69" w:rsidP="009C7F69">
      <w:pPr>
        <w:spacing w:after="0"/>
        <w:jc w:val="center"/>
      </w:pPr>
    </w:p>
    <w:p w14:paraId="318C22F2" w14:textId="77777777" w:rsidR="00155205" w:rsidRDefault="00155205">
      <w:pPr>
        <w:spacing w:after="0"/>
      </w:pPr>
    </w:p>
    <w:p w14:paraId="2D6EA8E4" w14:textId="01838B18" w:rsidR="00EB1BAA" w:rsidRDefault="00FA3E2D">
      <w:pPr>
        <w:spacing w:after="0"/>
      </w:pPr>
      <w:r>
        <w:rPr>
          <w:noProof/>
        </w:rPr>
        <w:lastRenderedPageBreak/>
        <w:drawing>
          <wp:inline distT="0" distB="0" distL="0" distR="0" wp14:anchorId="50D8A87A" wp14:editId="10486962">
            <wp:extent cx="5248276" cy="7543187"/>
            <wp:effectExtent l="0" t="0" r="0" b="635"/>
            <wp:docPr id="12" name="Picture 12" descr="Gas Safety (Gas Installation) Amendment Regulations Exposure Draft,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84">
                      <a:extLst>
                        <a:ext uri="{28A0092B-C50C-407E-A947-70E740481C1C}">
                          <a14:useLocalDpi xmlns:a14="http://schemas.microsoft.com/office/drawing/2010/main" val="0"/>
                        </a:ext>
                      </a:extLst>
                    </a:blip>
                    <a:stretch>
                      <a:fillRect/>
                    </a:stretch>
                  </pic:blipFill>
                  <pic:spPr>
                    <a:xfrm>
                      <a:off x="0" y="0"/>
                      <a:ext cx="5248276" cy="7543187"/>
                    </a:xfrm>
                    <a:prstGeom prst="rect">
                      <a:avLst/>
                    </a:prstGeom>
                  </pic:spPr>
                </pic:pic>
              </a:graphicData>
            </a:graphic>
          </wp:inline>
        </w:drawing>
      </w:r>
    </w:p>
    <w:p w14:paraId="2E7BCB7F" w14:textId="5E3A8E51" w:rsidR="00FA3E2D" w:rsidRDefault="00FA3E2D">
      <w:pPr>
        <w:spacing w:after="0"/>
      </w:pPr>
    </w:p>
    <w:p w14:paraId="0772B433" w14:textId="302A21FE" w:rsidR="00FA3E2D" w:rsidRDefault="00FA3E2D">
      <w:pPr>
        <w:spacing w:after="0"/>
      </w:pPr>
    </w:p>
    <w:p w14:paraId="5B66CBFD" w14:textId="32BBFDC4" w:rsidR="00FA3E2D" w:rsidRDefault="00FA3E2D">
      <w:pPr>
        <w:spacing w:after="0"/>
      </w:pPr>
    </w:p>
    <w:p w14:paraId="71031CCB" w14:textId="2A088F9F" w:rsidR="00FA3E2D" w:rsidRDefault="00FA3E2D">
      <w:pPr>
        <w:spacing w:after="0"/>
      </w:pPr>
    </w:p>
    <w:p w14:paraId="257AA2DA" w14:textId="58EA14C4" w:rsidR="00FA3E2D" w:rsidRDefault="00FA3E2D">
      <w:pPr>
        <w:spacing w:after="0"/>
      </w:pPr>
    </w:p>
    <w:p w14:paraId="272B7F5E" w14:textId="0E05FB1B" w:rsidR="00FA3E2D" w:rsidRDefault="00FA3E2D">
      <w:pPr>
        <w:spacing w:after="0"/>
      </w:pPr>
    </w:p>
    <w:p w14:paraId="167EE61F" w14:textId="4D50077D" w:rsidR="00FA3E2D" w:rsidRDefault="008B100C" w:rsidP="008B100C">
      <w:pPr>
        <w:spacing w:after="0"/>
        <w:jc w:val="center"/>
      </w:pPr>
      <w:r>
        <w:rPr>
          <w:noProof/>
        </w:rPr>
        <w:lastRenderedPageBreak/>
        <w:drawing>
          <wp:inline distT="0" distB="0" distL="0" distR="0" wp14:anchorId="1E2CCE27" wp14:editId="2D91CEFA">
            <wp:extent cx="4533900" cy="7408331"/>
            <wp:effectExtent l="0" t="0" r="0" b="2540"/>
            <wp:docPr id="13" name="Picture 13" descr="Gas Safety (Gas Installation) Amendment Regulations Exposure Draft,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85">
                      <a:extLst>
                        <a:ext uri="{28A0092B-C50C-407E-A947-70E740481C1C}">
                          <a14:useLocalDpi xmlns:a14="http://schemas.microsoft.com/office/drawing/2010/main" val="0"/>
                        </a:ext>
                      </a:extLst>
                    </a:blip>
                    <a:stretch>
                      <a:fillRect/>
                    </a:stretch>
                  </pic:blipFill>
                  <pic:spPr>
                    <a:xfrm>
                      <a:off x="0" y="0"/>
                      <a:ext cx="4533900" cy="7408331"/>
                    </a:xfrm>
                    <a:prstGeom prst="rect">
                      <a:avLst/>
                    </a:prstGeom>
                  </pic:spPr>
                </pic:pic>
              </a:graphicData>
            </a:graphic>
          </wp:inline>
        </w:drawing>
      </w:r>
    </w:p>
    <w:p w14:paraId="123C1E61" w14:textId="6CD807C7" w:rsidR="008B100C" w:rsidRDefault="008B100C" w:rsidP="008B100C">
      <w:pPr>
        <w:spacing w:after="0"/>
        <w:jc w:val="center"/>
      </w:pPr>
    </w:p>
    <w:p w14:paraId="36AF5AB9" w14:textId="4ED7835C" w:rsidR="008B100C" w:rsidRDefault="008B100C" w:rsidP="008B100C">
      <w:pPr>
        <w:spacing w:after="0"/>
        <w:jc w:val="center"/>
      </w:pPr>
    </w:p>
    <w:p w14:paraId="3CD74A83" w14:textId="270AC12D" w:rsidR="008B100C" w:rsidRDefault="008B100C" w:rsidP="008B100C">
      <w:pPr>
        <w:spacing w:after="0"/>
        <w:jc w:val="center"/>
      </w:pPr>
    </w:p>
    <w:p w14:paraId="62A1AA78" w14:textId="57D278B1" w:rsidR="008B100C" w:rsidRDefault="008B100C" w:rsidP="008B100C">
      <w:pPr>
        <w:spacing w:after="0"/>
        <w:jc w:val="center"/>
      </w:pPr>
    </w:p>
    <w:p w14:paraId="406CFCDC" w14:textId="3F9DF114" w:rsidR="008B100C" w:rsidRDefault="008B100C" w:rsidP="008B100C">
      <w:pPr>
        <w:spacing w:after="0"/>
        <w:jc w:val="center"/>
      </w:pPr>
    </w:p>
    <w:p w14:paraId="334EFD37" w14:textId="667A9EC0" w:rsidR="008B100C" w:rsidRDefault="008B100C" w:rsidP="00E8797E">
      <w:pPr>
        <w:spacing w:after="0"/>
      </w:pPr>
    </w:p>
    <w:p w14:paraId="09291687" w14:textId="292C1D60" w:rsidR="008B100C" w:rsidRDefault="008B100C" w:rsidP="008B100C">
      <w:pPr>
        <w:spacing w:after="0"/>
        <w:jc w:val="center"/>
      </w:pPr>
    </w:p>
    <w:p w14:paraId="1C6FC15F" w14:textId="67522D38" w:rsidR="008B100C" w:rsidRDefault="00F6737A" w:rsidP="008B100C">
      <w:pPr>
        <w:spacing w:after="0"/>
        <w:jc w:val="center"/>
      </w:pPr>
      <w:r>
        <w:rPr>
          <w:noProof/>
        </w:rPr>
        <w:lastRenderedPageBreak/>
        <w:drawing>
          <wp:inline distT="0" distB="0" distL="0" distR="0" wp14:anchorId="569D9A7B" wp14:editId="525E9684">
            <wp:extent cx="4359375" cy="7381874"/>
            <wp:effectExtent l="0" t="0" r="3175" b="0"/>
            <wp:docPr id="15" name="Picture 15" descr="Gas Safety (Gas Installation) Amendment Regulations Exposure Draft, End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86">
                      <a:extLst>
                        <a:ext uri="{28A0092B-C50C-407E-A947-70E740481C1C}">
                          <a14:useLocalDpi xmlns:a14="http://schemas.microsoft.com/office/drawing/2010/main" val="0"/>
                        </a:ext>
                      </a:extLst>
                    </a:blip>
                    <a:stretch>
                      <a:fillRect/>
                    </a:stretch>
                  </pic:blipFill>
                  <pic:spPr>
                    <a:xfrm>
                      <a:off x="0" y="0"/>
                      <a:ext cx="4359375" cy="7381874"/>
                    </a:xfrm>
                    <a:prstGeom prst="rect">
                      <a:avLst/>
                    </a:prstGeom>
                  </pic:spPr>
                </pic:pic>
              </a:graphicData>
            </a:graphic>
          </wp:inline>
        </w:drawing>
      </w:r>
    </w:p>
    <w:p w14:paraId="75A35217" w14:textId="4A624A04" w:rsidR="00A515C5" w:rsidRDefault="00A515C5" w:rsidP="00A515C5">
      <w:pPr>
        <w:pStyle w:val="Heading1un-numbered"/>
      </w:pPr>
      <w:bookmarkStart w:id="267" w:name="_Toc59612297"/>
      <w:r w:rsidRPr="00CC4A0B">
        <w:lastRenderedPageBreak/>
        <w:t xml:space="preserve">Appendix </w:t>
      </w:r>
      <w:r>
        <w:t>E</w:t>
      </w:r>
      <w:r w:rsidRPr="00CC4A0B">
        <w:t xml:space="preserve"> – </w:t>
      </w:r>
      <w:r>
        <w:t>Sensitivity testing of options</w:t>
      </w:r>
      <w:bookmarkEnd w:id="267"/>
      <w:r>
        <w:t xml:space="preserve"> </w:t>
      </w:r>
    </w:p>
    <w:p w14:paraId="1591410E" w14:textId="77777777" w:rsidR="00A515C5" w:rsidRDefault="00A515C5" w:rsidP="00A515C5">
      <w:r>
        <w:t>S</w:t>
      </w:r>
      <w:r w:rsidRPr="00261D0B">
        <w:t xml:space="preserve">ensitivity testing of key assumptions </w:t>
      </w:r>
      <w:r>
        <w:t xml:space="preserve">for the preferred phase out option </w:t>
      </w:r>
      <w:r w:rsidRPr="00261D0B">
        <w:t>shows that the findings are robust. Large variations to key assumptions do not change the key findings of the analysis.</w:t>
      </w:r>
    </w:p>
    <w:p w14:paraId="5A75CDDA" w14:textId="7B258832" w:rsidR="00125559" w:rsidRDefault="00A515C5" w:rsidP="00A515C5">
      <w:r w:rsidRPr="004E4649">
        <w:t>The sensitivity analysis was undertaken for all op</w:t>
      </w:r>
      <w:r w:rsidRPr="00A7337D">
        <w:t>tions but only the results of the analysis for the preferred option are presented here. Benefits broke even with costs for all scenarios tested, for all options.</w:t>
      </w:r>
      <w:r w:rsidR="0006133F" w:rsidRPr="00A7337D">
        <w:t xml:space="preserve"> </w:t>
      </w:r>
      <w:r w:rsidR="0026513F" w:rsidRPr="00A7337D">
        <w:t>A summary</w:t>
      </w:r>
      <w:r w:rsidR="0006133F" w:rsidRPr="00A7337D">
        <w:t xml:space="preserve"> table of results is provided below</w:t>
      </w:r>
      <w:r w:rsidR="0026513F" w:rsidRPr="00A7337D">
        <w:t>.</w:t>
      </w:r>
    </w:p>
    <w:p w14:paraId="69BD09E4" w14:textId="737FA389" w:rsidR="00EF12C2" w:rsidRPr="00A7337D" w:rsidRDefault="00EF12C2" w:rsidP="000276F0">
      <w:pPr>
        <w:pStyle w:val="AppendixTableCaption"/>
      </w:pPr>
      <w:r w:rsidRPr="004E4649">
        <w:t>Sensi</w:t>
      </w:r>
      <w:r w:rsidRPr="00A7337D">
        <w:t xml:space="preserve">tivity analysis </w:t>
      </w:r>
      <w:r w:rsidR="00FE4ABD">
        <w:t xml:space="preserve">of Option 2 </w:t>
      </w:r>
      <w:r w:rsidRPr="00A7337D">
        <w:t>– summary results</w:t>
      </w:r>
    </w:p>
    <w:tbl>
      <w:tblPr>
        <w:tblStyle w:val="Deloittetable122"/>
        <w:tblW w:w="9128" w:type="dxa"/>
        <w:tblLook w:val="04A0" w:firstRow="1" w:lastRow="0" w:firstColumn="1" w:lastColumn="0" w:noHBand="0" w:noVBand="1"/>
      </w:tblPr>
      <w:tblGrid>
        <w:gridCol w:w="1984"/>
        <w:gridCol w:w="1871"/>
        <w:gridCol w:w="1871"/>
        <w:gridCol w:w="1701"/>
        <w:gridCol w:w="1701"/>
      </w:tblGrid>
      <w:tr w:rsidR="00435EF2" w:rsidRPr="001E584B" w14:paraId="0BECC727" w14:textId="782F8636" w:rsidTr="009F199E">
        <w:trPr>
          <w:cnfStyle w:val="100000000000" w:firstRow="1" w:lastRow="0" w:firstColumn="0" w:lastColumn="0" w:oddVBand="0" w:evenVBand="0" w:oddHBand="0" w:evenHBand="0" w:firstRowFirstColumn="0" w:firstRowLastColumn="0" w:lastRowFirstColumn="0" w:lastRowLastColumn="0"/>
        </w:trPr>
        <w:tc>
          <w:tcPr>
            <w:tcW w:w="1984" w:type="dxa"/>
            <w:vAlign w:val="center"/>
          </w:tcPr>
          <w:p w14:paraId="7990E073" w14:textId="4800ABAC" w:rsidR="00435EF2" w:rsidRPr="001E584B" w:rsidRDefault="00435EF2" w:rsidP="00170B11">
            <w:pPr>
              <w:spacing w:after="120"/>
              <w:rPr>
                <w:b/>
                <w:szCs w:val="17"/>
              </w:rPr>
            </w:pPr>
          </w:p>
        </w:tc>
        <w:tc>
          <w:tcPr>
            <w:tcW w:w="1871" w:type="dxa"/>
            <w:vAlign w:val="center"/>
          </w:tcPr>
          <w:p w14:paraId="45FF9B28" w14:textId="57A336D9" w:rsidR="00435EF2" w:rsidRPr="001E584B" w:rsidRDefault="00435EF2" w:rsidP="000276F0">
            <w:pPr>
              <w:spacing w:after="120"/>
              <w:jc w:val="center"/>
              <w:rPr>
                <w:b/>
                <w:szCs w:val="17"/>
              </w:rPr>
            </w:pPr>
            <w:r>
              <w:rPr>
                <w:b/>
                <w:szCs w:val="17"/>
              </w:rPr>
              <w:t xml:space="preserve">Standard </w:t>
            </w:r>
            <w:r w:rsidR="008D060E">
              <w:rPr>
                <w:b/>
                <w:szCs w:val="17"/>
              </w:rPr>
              <w:br/>
            </w:r>
            <w:r>
              <w:rPr>
                <w:b/>
                <w:szCs w:val="17"/>
              </w:rPr>
              <w:t>assumption</w:t>
            </w:r>
          </w:p>
        </w:tc>
        <w:tc>
          <w:tcPr>
            <w:tcW w:w="1871" w:type="dxa"/>
            <w:vAlign w:val="center"/>
          </w:tcPr>
          <w:p w14:paraId="79F01F46" w14:textId="47045C86" w:rsidR="00435EF2" w:rsidRPr="001E584B" w:rsidRDefault="00435EF2" w:rsidP="000276F0">
            <w:pPr>
              <w:spacing w:after="120"/>
              <w:jc w:val="center"/>
              <w:rPr>
                <w:b/>
                <w:szCs w:val="17"/>
              </w:rPr>
            </w:pPr>
            <w:r>
              <w:rPr>
                <w:b/>
                <w:szCs w:val="17"/>
              </w:rPr>
              <w:t xml:space="preserve">Sensitivity </w:t>
            </w:r>
            <w:r w:rsidR="005D2F96">
              <w:rPr>
                <w:b/>
                <w:szCs w:val="17"/>
              </w:rPr>
              <w:br/>
            </w:r>
            <w:r>
              <w:rPr>
                <w:b/>
                <w:szCs w:val="17"/>
              </w:rPr>
              <w:t>assumption</w:t>
            </w:r>
          </w:p>
        </w:tc>
        <w:tc>
          <w:tcPr>
            <w:tcW w:w="1701" w:type="dxa"/>
            <w:vAlign w:val="center"/>
          </w:tcPr>
          <w:p w14:paraId="40885024" w14:textId="05EE2501" w:rsidR="00435EF2" w:rsidRPr="001E584B" w:rsidRDefault="004117D2" w:rsidP="00435EF2">
            <w:pPr>
              <w:spacing w:after="120"/>
              <w:jc w:val="center"/>
              <w:rPr>
                <w:b/>
                <w:szCs w:val="17"/>
              </w:rPr>
            </w:pPr>
            <w:r>
              <w:rPr>
                <w:b/>
                <w:szCs w:val="17"/>
              </w:rPr>
              <w:t>Total e</w:t>
            </w:r>
            <w:r w:rsidR="00FE4ABD">
              <w:rPr>
                <w:b/>
                <w:szCs w:val="17"/>
              </w:rPr>
              <w:t>stimated</w:t>
            </w:r>
            <w:r w:rsidR="009F199E">
              <w:rPr>
                <w:b/>
                <w:szCs w:val="17"/>
              </w:rPr>
              <w:t xml:space="preserve"> costs</w:t>
            </w:r>
            <w:r w:rsidR="005D2F96">
              <w:rPr>
                <w:b/>
                <w:szCs w:val="17"/>
              </w:rPr>
              <w:t xml:space="preserve"> under sensitivity</w:t>
            </w:r>
          </w:p>
        </w:tc>
        <w:tc>
          <w:tcPr>
            <w:tcW w:w="1701" w:type="dxa"/>
            <w:vAlign w:val="center"/>
          </w:tcPr>
          <w:p w14:paraId="5316FA80" w14:textId="6DE8F3FB" w:rsidR="00602A9A" w:rsidRDefault="004117D2" w:rsidP="00435EF2">
            <w:pPr>
              <w:spacing w:after="120"/>
              <w:jc w:val="center"/>
              <w:rPr>
                <w:b/>
                <w:szCs w:val="17"/>
              </w:rPr>
            </w:pPr>
            <w:r>
              <w:rPr>
                <w:b/>
                <w:szCs w:val="17"/>
              </w:rPr>
              <w:t>Total e</w:t>
            </w:r>
            <w:r w:rsidR="00FE4ABD">
              <w:rPr>
                <w:b/>
                <w:szCs w:val="17"/>
              </w:rPr>
              <w:t>stimated</w:t>
            </w:r>
            <w:r w:rsidR="009F199E">
              <w:rPr>
                <w:b/>
                <w:szCs w:val="17"/>
              </w:rPr>
              <w:t xml:space="preserve"> benefits under sensitivity </w:t>
            </w:r>
          </w:p>
        </w:tc>
      </w:tr>
      <w:tr w:rsidR="00435EF2" w:rsidRPr="001E584B" w14:paraId="12C55654" w14:textId="5C949C53" w:rsidTr="00FE4ABD">
        <w:trPr>
          <w:trHeight w:val="794"/>
        </w:trPr>
        <w:tc>
          <w:tcPr>
            <w:tcW w:w="1984" w:type="dxa"/>
            <w:vAlign w:val="center"/>
          </w:tcPr>
          <w:p w14:paraId="15A0ED6D" w14:textId="5C82187B" w:rsidR="00435EF2" w:rsidRPr="00A7337D" w:rsidRDefault="00435EF2" w:rsidP="00170B11">
            <w:pPr>
              <w:ind w:right="142"/>
              <w:rPr>
                <w:b/>
                <w:szCs w:val="17"/>
              </w:rPr>
            </w:pPr>
            <w:r w:rsidRPr="004E4649">
              <w:rPr>
                <w:b/>
                <w:szCs w:val="17"/>
              </w:rPr>
              <w:t>Incr</w:t>
            </w:r>
            <w:r w:rsidRPr="00A7337D">
              <w:rPr>
                <w:b/>
                <w:szCs w:val="17"/>
              </w:rPr>
              <w:t>eased uptake of RS heating appliances</w:t>
            </w:r>
          </w:p>
        </w:tc>
        <w:tc>
          <w:tcPr>
            <w:tcW w:w="1871" w:type="dxa"/>
            <w:vAlign w:val="center"/>
          </w:tcPr>
          <w:p w14:paraId="0AE057FD" w14:textId="20DC738E" w:rsidR="00FC4FF1" w:rsidRDefault="00FC4FF1" w:rsidP="004E4649">
            <w:pPr>
              <w:jc w:val="center"/>
              <w:rPr>
                <w:szCs w:val="17"/>
              </w:rPr>
            </w:pPr>
            <w:r>
              <w:rPr>
                <w:szCs w:val="17"/>
              </w:rPr>
              <w:t>50% room</w:t>
            </w:r>
            <w:r w:rsidR="00EF12C2">
              <w:rPr>
                <w:szCs w:val="17"/>
              </w:rPr>
              <w:br/>
            </w:r>
            <w:r>
              <w:rPr>
                <w:szCs w:val="17"/>
              </w:rPr>
              <w:t>sealed</w:t>
            </w:r>
          </w:p>
          <w:p w14:paraId="59C1224C" w14:textId="6A6D55EC" w:rsidR="00435EF2" w:rsidRPr="001E584B" w:rsidRDefault="00FC4FF1" w:rsidP="000276F0">
            <w:pPr>
              <w:jc w:val="center"/>
              <w:rPr>
                <w:szCs w:val="17"/>
              </w:rPr>
            </w:pPr>
            <w:r>
              <w:rPr>
                <w:szCs w:val="17"/>
              </w:rPr>
              <w:t xml:space="preserve">50% reverse </w:t>
            </w:r>
            <w:r w:rsidR="00EF12C2">
              <w:rPr>
                <w:szCs w:val="17"/>
              </w:rPr>
              <w:br/>
            </w:r>
            <w:r>
              <w:rPr>
                <w:szCs w:val="17"/>
              </w:rPr>
              <w:t>cycle</w:t>
            </w:r>
          </w:p>
        </w:tc>
        <w:tc>
          <w:tcPr>
            <w:tcW w:w="1871" w:type="dxa"/>
            <w:vAlign w:val="center"/>
          </w:tcPr>
          <w:p w14:paraId="0E56C2C0" w14:textId="7F863DA9" w:rsidR="00FC4FF1" w:rsidRDefault="00FC4FF1" w:rsidP="004E4649">
            <w:pPr>
              <w:jc w:val="center"/>
              <w:rPr>
                <w:szCs w:val="17"/>
              </w:rPr>
            </w:pPr>
            <w:r>
              <w:rPr>
                <w:szCs w:val="17"/>
              </w:rPr>
              <w:t xml:space="preserve">75% room </w:t>
            </w:r>
            <w:r w:rsidR="00EF12C2">
              <w:rPr>
                <w:szCs w:val="17"/>
              </w:rPr>
              <w:br/>
            </w:r>
            <w:r>
              <w:rPr>
                <w:szCs w:val="17"/>
              </w:rPr>
              <w:t>sealed</w:t>
            </w:r>
          </w:p>
          <w:p w14:paraId="1F4E1D43" w14:textId="5BF8710E" w:rsidR="00435EF2" w:rsidRPr="0008722A" w:rsidRDefault="00FC4FF1" w:rsidP="000276F0">
            <w:pPr>
              <w:spacing w:after="0" w:line="240" w:lineRule="auto"/>
              <w:jc w:val="center"/>
              <w:rPr>
                <w:rFonts w:asciiTheme="majorHAnsi" w:hAnsiTheme="majorHAnsi" w:cs="Times New Roman"/>
                <w:szCs w:val="17"/>
                <w:lang w:eastAsia="en-AU"/>
              </w:rPr>
            </w:pPr>
            <w:r>
              <w:rPr>
                <w:szCs w:val="17"/>
              </w:rPr>
              <w:t xml:space="preserve">25% reverse </w:t>
            </w:r>
            <w:r w:rsidR="00EF12C2">
              <w:rPr>
                <w:szCs w:val="17"/>
              </w:rPr>
              <w:br/>
            </w:r>
            <w:r>
              <w:rPr>
                <w:szCs w:val="17"/>
              </w:rPr>
              <w:t>cycle</w:t>
            </w:r>
            <w:r>
              <w:rPr>
                <w:szCs w:val="17"/>
              </w:rPr>
              <w:br/>
            </w:r>
          </w:p>
        </w:tc>
        <w:tc>
          <w:tcPr>
            <w:tcW w:w="1701" w:type="dxa"/>
            <w:vAlign w:val="center"/>
          </w:tcPr>
          <w:p w14:paraId="0FDA8ADD" w14:textId="59BE3715" w:rsidR="00435EF2" w:rsidRPr="0008722A" w:rsidRDefault="00FE4ABD" w:rsidP="00861045">
            <w:pPr>
              <w:spacing w:after="0" w:line="240" w:lineRule="auto"/>
              <w:jc w:val="center"/>
              <w:rPr>
                <w:rFonts w:asciiTheme="majorHAnsi" w:hAnsiTheme="majorHAnsi" w:cs="Times New Roman"/>
                <w:szCs w:val="17"/>
                <w:lang w:eastAsia="en-AU"/>
              </w:rPr>
            </w:pPr>
            <w:r w:rsidRPr="00040B76">
              <w:rPr>
                <w:rFonts w:asciiTheme="majorHAnsi" w:hAnsiTheme="majorHAnsi" w:cs="Times New Roman"/>
                <w:szCs w:val="17"/>
                <w:lang w:eastAsia="en-AU"/>
              </w:rPr>
              <w:t>$</w:t>
            </w:r>
            <w:r w:rsidR="007E2D4E">
              <w:rPr>
                <w:rFonts w:asciiTheme="majorHAnsi" w:hAnsiTheme="majorHAnsi" w:cs="Times New Roman"/>
                <w:szCs w:val="17"/>
                <w:lang w:eastAsia="en-AU"/>
              </w:rPr>
              <w:t>5,614,219</w:t>
            </w:r>
          </w:p>
        </w:tc>
        <w:tc>
          <w:tcPr>
            <w:tcW w:w="1701" w:type="dxa"/>
            <w:vAlign w:val="center"/>
          </w:tcPr>
          <w:p w14:paraId="6E2982C4" w14:textId="5BE044FF" w:rsidR="00602A9A" w:rsidRDefault="00FE4ABD" w:rsidP="00861045">
            <w:pPr>
              <w:spacing w:after="0" w:line="240" w:lineRule="auto"/>
              <w:jc w:val="center"/>
              <w:rPr>
                <w:rFonts w:asciiTheme="majorHAnsi" w:hAnsiTheme="majorHAnsi" w:cs="Times New Roman"/>
                <w:szCs w:val="17"/>
                <w:lang w:eastAsia="en-AU"/>
              </w:rPr>
            </w:pPr>
            <w:r w:rsidRPr="00040B76">
              <w:rPr>
                <w:rFonts w:asciiTheme="majorHAnsi" w:hAnsiTheme="majorHAnsi" w:cs="Times New Roman"/>
                <w:szCs w:val="17"/>
                <w:lang w:eastAsia="en-AU"/>
              </w:rPr>
              <w:t>$</w:t>
            </w:r>
            <w:r w:rsidR="007E2D4E">
              <w:rPr>
                <w:rFonts w:asciiTheme="majorHAnsi" w:hAnsiTheme="majorHAnsi" w:cs="Times New Roman"/>
                <w:szCs w:val="17"/>
                <w:lang w:eastAsia="en-AU"/>
              </w:rPr>
              <w:t>6,497,021</w:t>
            </w:r>
          </w:p>
        </w:tc>
      </w:tr>
      <w:tr w:rsidR="00435EF2" w:rsidRPr="001E584B" w14:paraId="098F5BB6" w14:textId="761C4446" w:rsidTr="00FE4ABD">
        <w:trPr>
          <w:trHeight w:val="964"/>
        </w:trPr>
        <w:tc>
          <w:tcPr>
            <w:tcW w:w="1984" w:type="dxa"/>
            <w:vAlign w:val="center"/>
          </w:tcPr>
          <w:p w14:paraId="378D96D4" w14:textId="77585B5D" w:rsidR="00435EF2" w:rsidRPr="004E4649" w:rsidRDefault="00E85B22" w:rsidP="000276F0">
            <w:pPr>
              <w:rPr>
                <w:b/>
              </w:rPr>
            </w:pPr>
            <w:r w:rsidRPr="000276F0">
              <w:rPr>
                <w:b/>
              </w:rPr>
              <w:t>Size of rooms heating appliances are installed in</w:t>
            </w:r>
          </w:p>
        </w:tc>
        <w:tc>
          <w:tcPr>
            <w:tcW w:w="1871" w:type="dxa"/>
            <w:vAlign w:val="center"/>
          </w:tcPr>
          <w:p w14:paraId="4DE01357" w14:textId="218D12C1" w:rsidR="00435EF2" w:rsidRPr="004E4649" w:rsidRDefault="00E52299" w:rsidP="000276F0">
            <w:pPr>
              <w:jc w:val="center"/>
              <w:rPr>
                <w:szCs w:val="17"/>
              </w:rPr>
            </w:pPr>
            <w:r>
              <w:rPr>
                <w:szCs w:val="17"/>
              </w:rPr>
              <w:t>M</w:t>
            </w:r>
            <w:r w:rsidR="00EF12C2">
              <w:rPr>
                <w:szCs w:val="17"/>
              </w:rPr>
              <w:t>edium room</w:t>
            </w:r>
            <w:r>
              <w:rPr>
                <w:szCs w:val="17"/>
              </w:rPr>
              <w:t>s</w:t>
            </w:r>
            <w:r w:rsidR="005C152F">
              <w:rPr>
                <w:szCs w:val="17"/>
              </w:rPr>
              <w:t xml:space="preserve"> </w:t>
            </w:r>
            <w:r w:rsidR="005C152F">
              <w:rPr>
                <w:szCs w:val="17"/>
              </w:rPr>
              <w:br/>
              <w:t>(approx. 30</w:t>
            </w:r>
            <w:r>
              <w:rPr>
                <w:szCs w:val="17"/>
              </w:rPr>
              <w:t xml:space="preserve"> </w:t>
            </w:r>
            <w:r w:rsidR="005C152F">
              <w:rPr>
                <w:szCs w:val="17"/>
              </w:rPr>
              <w:t>m</w:t>
            </w:r>
            <w:r w:rsidR="005C152F">
              <w:rPr>
                <w:szCs w:val="17"/>
                <w:vertAlign w:val="superscript"/>
              </w:rPr>
              <w:t>2</w:t>
            </w:r>
            <w:r>
              <w:rPr>
                <w:szCs w:val="17"/>
              </w:rPr>
              <w:t>)</w:t>
            </w:r>
          </w:p>
        </w:tc>
        <w:tc>
          <w:tcPr>
            <w:tcW w:w="1871" w:type="dxa"/>
            <w:vAlign w:val="center"/>
          </w:tcPr>
          <w:p w14:paraId="2852BFA8" w14:textId="3C154C0E" w:rsidR="00435EF2" w:rsidRPr="0008722A" w:rsidRDefault="00E52299" w:rsidP="000276F0">
            <w:pPr>
              <w:spacing w:after="0" w:line="240" w:lineRule="auto"/>
              <w:jc w:val="center"/>
              <w:rPr>
                <w:szCs w:val="17"/>
              </w:rPr>
            </w:pPr>
            <w:r>
              <w:rPr>
                <w:szCs w:val="17"/>
              </w:rPr>
              <w:t>Small rooms</w:t>
            </w:r>
            <w:r>
              <w:rPr>
                <w:szCs w:val="17"/>
              </w:rPr>
              <w:br/>
              <w:t>(approx. 12 m</w:t>
            </w:r>
            <w:r>
              <w:rPr>
                <w:szCs w:val="17"/>
                <w:vertAlign w:val="superscript"/>
              </w:rPr>
              <w:t>2</w:t>
            </w:r>
            <w:r>
              <w:rPr>
                <w:szCs w:val="17"/>
              </w:rPr>
              <w:t>)</w:t>
            </w:r>
            <w:r>
              <w:rPr>
                <w:szCs w:val="17"/>
              </w:rPr>
              <w:br/>
            </w:r>
          </w:p>
        </w:tc>
        <w:tc>
          <w:tcPr>
            <w:tcW w:w="1701" w:type="dxa"/>
            <w:vAlign w:val="center"/>
          </w:tcPr>
          <w:p w14:paraId="32BE57F9" w14:textId="26B8D236" w:rsidR="00435EF2" w:rsidRPr="0008722A" w:rsidRDefault="00FE4ABD" w:rsidP="00861045">
            <w:pPr>
              <w:spacing w:after="0" w:line="240" w:lineRule="auto"/>
              <w:jc w:val="center"/>
              <w:rPr>
                <w:szCs w:val="17"/>
              </w:rPr>
            </w:pPr>
            <w:r w:rsidRPr="00040B76">
              <w:rPr>
                <w:rFonts w:asciiTheme="majorHAnsi" w:hAnsiTheme="majorHAnsi" w:cs="Times New Roman"/>
                <w:szCs w:val="17"/>
                <w:lang w:eastAsia="en-AU"/>
              </w:rPr>
              <w:t>$</w:t>
            </w:r>
            <w:r w:rsidR="00982043">
              <w:rPr>
                <w:rFonts w:asciiTheme="majorHAnsi" w:hAnsiTheme="majorHAnsi" w:cs="Times New Roman"/>
                <w:szCs w:val="17"/>
                <w:lang w:eastAsia="en-AU"/>
              </w:rPr>
              <w:t>4,917,344</w:t>
            </w:r>
          </w:p>
        </w:tc>
        <w:tc>
          <w:tcPr>
            <w:tcW w:w="1701" w:type="dxa"/>
            <w:vAlign w:val="center"/>
          </w:tcPr>
          <w:p w14:paraId="414F283D" w14:textId="78DA188D" w:rsidR="00602A9A" w:rsidRDefault="00982043" w:rsidP="00861045">
            <w:pPr>
              <w:spacing w:after="0" w:line="240" w:lineRule="auto"/>
              <w:jc w:val="center"/>
              <w:rPr>
                <w:szCs w:val="17"/>
              </w:rPr>
            </w:pPr>
            <w:r>
              <w:rPr>
                <w:rFonts w:asciiTheme="majorHAnsi" w:hAnsiTheme="majorHAnsi" w:cs="Times New Roman"/>
                <w:szCs w:val="17"/>
                <w:lang w:eastAsia="en-AU"/>
              </w:rPr>
              <w:t>$5,605,697</w:t>
            </w:r>
          </w:p>
        </w:tc>
      </w:tr>
      <w:tr w:rsidR="00435EF2" w:rsidRPr="001E584B" w14:paraId="50A37604" w14:textId="36C44A97" w:rsidTr="00FE4ABD">
        <w:trPr>
          <w:trHeight w:val="964"/>
        </w:trPr>
        <w:tc>
          <w:tcPr>
            <w:tcW w:w="1984" w:type="dxa"/>
            <w:vAlign w:val="center"/>
          </w:tcPr>
          <w:p w14:paraId="5BBE1A20" w14:textId="077AB2D5" w:rsidR="00435EF2" w:rsidRPr="004E4649" w:rsidRDefault="00E85B22" w:rsidP="000276F0">
            <w:pPr>
              <w:rPr>
                <w:b/>
              </w:rPr>
            </w:pPr>
            <w:r w:rsidRPr="000276F0">
              <w:rPr>
                <w:b/>
              </w:rPr>
              <w:t>Timing of implementation</w:t>
            </w:r>
          </w:p>
        </w:tc>
        <w:tc>
          <w:tcPr>
            <w:tcW w:w="1871" w:type="dxa"/>
            <w:vAlign w:val="center"/>
          </w:tcPr>
          <w:p w14:paraId="48EE9B79" w14:textId="6518EA7D" w:rsidR="00FF7328" w:rsidRDefault="008D060E" w:rsidP="00FC4FF1">
            <w:pPr>
              <w:jc w:val="center"/>
              <w:rPr>
                <w:szCs w:val="17"/>
              </w:rPr>
            </w:pPr>
            <w:r>
              <w:rPr>
                <w:szCs w:val="17"/>
              </w:rPr>
              <w:t xml:space="preserve"> </w:t>
            </w:r>
            <w:r>
              <w:rPr>
                <w:szCs w:val="17"/>
              </w:rPr>
              <w:br/>
              <w:t>1 January 202</w:t>
            </w:r>
            <w:r w:rsidR="00B6040D">
              <w:rPr>
                <w:szCs w:val="17"/>
              </w:rPr>
              <w:t>2</w:t>
            </w:r>
          </w:p>
          <w:p w14:paraId="26FD22A1" w14:textId="0C755705" w:rsidR="00435EF2" w:rsidRPr="001E584B" w:rsidRDefault="00435EF2" w:rsidP="000276F0">
            <w:pPr>
              <w:jc w:val="center"/>
              <w:rPr>
                <w:szCs w:val="17"/>
              </w:rPr>
            </w:pPr>
          </w:p>
        </w:tc>
        <w:tc>
          <w:tcPr>
            <w:tcW w:w="1871" w:type="dxa"/>
            <w:vAlign w:val="center"/>
          </w:tcPr>
          <w:p w14:paraId="58264EA2" w14:textId="4CBBEF91" w:rsidR="00435EF2" w:rsidRPr="0008722A" w:rsidRDefault="00B6040D" w:rsidP="000276F0">
            <w:pPr>
              <w:jc w:val="center"/>
              <w:rPr>
                <w:szCs w:val="17"/>
              </w:rPr>
            </w:pPr>
            <w:r>
              <w:rPr>
                <w:szCs w:val="17"/>
              </w:rPr>
              <w:t>1 January 2023</w:t>
            </w:r>
          </w:p>
        </w:tc>
        <w:tc>
          <w:tcPr>
            <w:tcW w:w="1701" w:type="dxa"/>
            <w:vAlign w:val="center"/>
          </w:tcPr>
          <w:p w14:paraId="39EE0138" w14:textId="3391CB21" w:rsidR="00435EF2" w:rsidRPr="0008722A" w:rsidRDefault="00FE4ABD" w:rsidP="00861045">
            <w:pPr>
              <w:jc w:val="center"/>
              <w:rPr>
                <w:szCs w:val="17"/>
              </w:rPr>
            </w:pPr>
            <w:r w:rsidRPr="00040B76">
              <w:rPr>
                <w:rFonts w:asciiTheme="majorHAnsi" w:hAnsiTheme="majorHAnsi" w:cs="Times New Roman"/>
                <w:szCs w:val="17"/>
                <w:lang w:eastAsia="en-AU"/>
              </w:rPr>
              <w:t>$</w:t>
            </w:r>
            <w:r w:rsidR="005F5498">
              <w:rPr>
                <w:rFonts w:asciiTheme="majorHAnsi" w:hAnsiTheme="majorHAnsi" w:cs="Times New Roman"/>
                <w:szCs w:val="17"/>
                <w:lang w:eastAsia="en-AU"/>
              </w:rPr>
              <w:t>3,262,445</w:t>
            </w:r>
          </w:p>
        </w:tc>
        <w:tc>
          <w:tcPr>
            <w:tcW w:w="1701" w:type="dxa"/>
            <w:vAlign w:val="center"/>
          </w:tcPr>
          <w:p w14:paraId="5CC946ED" w14:textId="25FA1410" w:rsidR="00602A9A" w:rsidRDefault="00FE4ABD" w:rsidP="00861045">
            <w:pPr>
              <w:jc w:val="center"/>
              <w:rPr>
                <w:szCs w:val="17"/>
              </w:rPr>
            </w:pPr>
            <w:r w:rsidRPr="00040B76">
              <w:rPr>
                <w:rFonts w:asciiTheme="majorHAnsi" w:hAnsiTheme="majorHAnsi" w:cs="Times New Roman"/>
                <w:szCs w:val="17"/>
                <w:lang w:eastAsia="en-AU"/>
              </w:rPr>
              <w:t>$</w:t>
            </w:r>
            <w:r w:rsidR="005F5498">
              <w:rPr>
                <w:rFonts w:asciiTheme="majorHAnsi" w:hAnsiTheme="majorHAnsi" w:cs="Times New Roman"/>
                <w:szCs w:val="17"/>
                <w:lang w:eastAsia="en-AU"/>
              </w:rPr>
              <w:t>4,275,799</w:t>
            </w:r>
          </w:p>
        </w:tc>
      </w:tr>
      <w:tr w:rsidR="00435EF2" w:rsidRPr="001E584B" w14:paraId="0717F6F3" w14:textId="36DDDFDA" w:rsidTr="00B32765">
        <w:trPr>
          <w:trHeight w:val="1134"/>
        </w:trPr>
        <w:tc>
          <w:tcPr>
            <w:tcW w:w="1984" w:type="dxa"/>
            <w:tcBorders>
              <w:bottom w:val="single" w:sz="18" w:space="0" w:color="62B5E5" w:themeColor="accent3"/>
            </w:tcBorders>
            <w:vAlign w:val="center"/>
          </w:tcPr>
          <w:p w14:paraId="647C4778" w14:textId="6D1D0A05" w:rsidR="00435EF2" w:rsidRPr="004E4649" w:rsidRDefault="00E85B22" w:rsidP="000276F0">
            <w:pPr>
              <w:spacing w:after="0"/>
              <w:rPr>
                <w:b/>
              </w:rPr>
            </w:pPr>
            <w:r w:rsidRPr="000276F0">
              <w:rPr>
                <w:b/>
              </w:rPr>
              <w:t>Reduced risk from greater provision of servicing due to the Be Sure campaign</w:t>
            </w:r>
          </w:p>
        </w:tc>
        <w:tc>
          <w:tcPr>
            <w:tcW w:w="1871" w:type="dxa"/>
            <w:tcBorders>
              <w:bottom w:val="single" w:sz="18" w:space="0" w:color="62B5E5" w:themeColor="accent3"/>
            </w:tcBorders>
            <w:vAlign w:val="center"/>
          </w:tcPr>
          <w:p w14:paraId="0ECEB92A" w14:textId="31294294" w:rsidR="00435EF2" w:rsidRPr="001E584B" w:rsidRDefault="001E04FB" w:rsidP="004E4649">
            <w:pPr>
              <w:jc w:val="center"/>
              <w:rPr>
                <w:szCs w:val="17"/>
              </w:rPr>
            </w:pPr>
            <w:r>
              <w:rPr>
                <w:szCs w:val="17"/>
              </w:rPr>
              <w:t>No reduction in rate</w:t>
            </w:r>
            <w:r>
              <w:rPr>
                <w:szCs w:val="17"/>
              </w:rPr>
              <w:br/>
              <w:t>of CO exposures (fatal and non-fatal)</w:t>
            </w:r>
          </w:p>
        </w:tc>
        <w:tc>
          <w:tcPr>
            <w:tcW w:w="1871" w:type="dxa"/>
            <w:tcBorders>
              <w:bottom w:val="single" w:sz="18" w:space="0" w:color="62B5E5" w:themeColor="accent3"/>
            </w:tcBorders>
            <w:vAlign w:val="center"/>
          </w:tcPr>
          <w:p w14:paraId="2BA22952" w14:textId="661AD878" w:rsidR="00435EF2" w:rsidRPr="0008722A" w:rsidRDefault="001E04FB" w:rsidP="004E4649">
            <w:pPr>
              <w:jc w:val="center"/>
              <w:rPr>
                <w:szCs w:val="17"/>
              </w:rPr>
            </w:pPr>
            <w:r>
              <w:rPr>
                <w:szCs w:val="17"/>
              </w:rPr>
              <w:t>20% reduction in rate</w:t>
            </w:r>
            <w:r>
              <w:rPr>
                <w:szCs w:val="17"/>
              </w:rPr>
              <w:br/>
              <w:t>of CO exposures (fatal and non-fatal)</w:t>
            </w:r>
          </w:p>
        </w:tc>
        <w:tc>
          <w:tcPr>
            <w:tcW w:w="1701" w:type="dxa"/>
            <w:tcBorders>
              <w:bottom w:val="single" w:sz="18" w:space="0" w:color="62B5E5" w:themeColor="accent3"/>
            </w:tcBorders>
            <w:vAlign w:val="center"/>
          </w:tcPr>
          <w:p w14:paraId="1A5037ED" w14:textId="2B47573E" w:rsidR="00435EF2" w:rsidRPr="0008722A" w:rsidRDefault="0023634E" w:rsidP="00861045">
            <w:pPr>
              <w:jc w:val="center"/>
              <w:rPr>
                <w:szCs w:val="17"/>
              </w:rPr>
            </w:pPr>
            <w:r w:rsidRPr="00040B76">
              <w:rPr>
                <w:rFonts w:asciiTheme="majorHAnsi" w:hAnsiTheme="majorHAnsi" w:cs="Times New Roman"/>
                <w:szCs w:val="17"/>
                <w:lang w:eastAsia="en-AU"/>
              </w:rPr>
              <w:t>$</w:t>
            </w:r>
            <w:r>
              <w:rPr>
                <w:rFonts w:asciiTheme="majorHAnsi" w:hAnsiTheme="majorHAnsi" w:cs="Times New Roman"/>
                <w:szCs w:val="17"/>
                <w:lang w:eastAsia="en-AU"/>
              </w:rPr>
              <w:t>4,917,344</w:t>
            </w:r>
          </w:p>
        </w:tc>
        <w:tc>
          <w:tcPr>
            <w:tcW w:w="1701" w:type="dxa"/>
            <w:tcBorders>
              <w:bottom w:val="single" w:sz="18" w:space="0" w:color="62B5E5" w:themeColor="accent3"/>
            </w:tcBorders>
            <w:vAlign w:val="center"/>
          </w:tcPr>
          <w:p w14:paraId="7D2FA98D" w14:textId="4C6653F4" w:rsidR="00602A9A" w:rsidRDefault="00FE4ABD" w:rsidP="00861045">
            <w:pPr>
              <w:jc w:val="center"/>
              <w:rPr>
                <w:szCs w:val="17"/>
              </w:rPr>
            </w:pPr>
            <w:r w:rsidRPr="00040B76">
              <w:rPr>
                <w:rFonts w:asciiTheme="majorHAnsi" w:hAnsiTheme="majorHAnsi" w:cs="Times New Roman"/>
                <w:szCs w:val="17"/>
                <w:lang w:eastAsia="en-AU"/>
              </w:rPr>
              <w:t>$</w:t>
            </w:r>
            <w:r w:rsidR="0023634E">
              <w:rPr>
                <w:rFonts w:asciiTheme="majorHAnsi" w:hAnsiTheme="majorHAnsi" w:cs="Times New Roman"/>
                <w:szCs w:val="17"/>
                <w:lang w:eastAsia="en-AU"/>
              </w:rPr>
              <w:t>7,074,778</w:t>
            </w:r>
          </w:p>
        </w:tc>
      </w:tr>
      <w:tr w:rsidR="005B4D15" w:rsidRPr="001E584B" w14:paraId="0692E266" w14:textId="77777777" w:rsidTr="000276F0">
        <w:trPr>
          <w:trHeight w:val="924"/>
        </w:trPr>
        <w:tc>
          <w:tcPr>
            <w:tcW w:w="0" w:type="dxa"/>
            <w:tcBorders>
              <w:top w:val="single" w:sz="18" w:space="0" w:color="62B5E5" w:themeColor="accent3"/>
            </w:tcBorders>
            <w:shd w:val="clear" w:color="auto" w:fill="auto"/>
            <w:vAlign w:val="center"/>
          </w:tcPr>
          <w:p w14:paraId="45B16660" w14:textId="77777777" w:rsidR="005B4D15" w:rsidRPr="00F27590" w:rsidRDefault="005B4D15" w:rsidP="00FE4ABD">
            <w:pPr>
              <w:spacing w:after="0"/>
              <w:rPr>
                <w:b/>
              </w:rPr>
            </w:pPr>
          </w:p>
        </w:tc>
        <w:tc>
          <w:tcPr>
            <w:tcW w:w="0" w:type="dxa"/>
            <w:tcBorders>
              <w:top w:val="single" w:sz="18" w:space="0" w:color="62B5E5" w:themeColor="accent3"/>
            </w:tcBorders>
            <w:shd w:val="clear" w:color="auto" w:fill="auto"/>
            <w:vAlign w:val="center"/>
          </w:tcPr>
          <w:p w14:paraId="41B140D3" w14:textId="77777777" w:rsidR="005B4D15" w:rsidRDefault="005B4D15" w:rsidP="00FE4ABD">
            <w:pPr>
              <w:jc w:val="center"/>
              <w:rPr>
                <w:szCs w:val="17"/>
              </w:rPr>
            </w:pPr>
          </w:p>
        </w:tc>
        <w:tc>
          <w:tcPr>
            <w:tcW w:w="0" w:type="dxa"/>
            <w:tcBorders>
              <w:top w:val="single" w:sz="18" w:space="0" w:color="62B5E5" w:themeColor="accent3"/>
            </w:tcBorders>
            <w:shd w:val="clear" w:color="auto" w:fill="auto"/>
            <w:vAlign w:val="center"/>
          </w:tcPr>
          <w:p w14:paraId="4810B139" w14:textId="77777777" w:rsidR="005B4D15" w:rsidRDefault="005B4D15" w:rsidP="00FE4ABD">
            <w:pPr>
              <w:jc w:val="center"/>
              <w:rPr>
                <w:szCs w:val="17"/>
              </w:rPr>
            </w:pPr>
          </w:p>
        </w:tc>
        <w:tc>
          <w:tcPr>
            <w:tcW w:w="0" w:type="dxa"/>
            <w:tcBorders>
              <w:top w:val="single" w:sz="18" w:space="0" w:color="62B5E5" w:themeColor="accent3"/>
            </w:tcBorders>
            <w:shd w:val="clear" w:color="auto" w:fill="auto"/>
            <w:vAlign w:val="center"/>
          </w:tcPr>
          <w:p w14:paraId="436BB7FD" w14:textId="77018D56" w:rsidR="005B4D15" w:rsidRPr="00040B76" w:rsidRDefault="00B32765" w:rsidP="00861045">
            <w:pPr>
              <w:jc w:val="center"/>
              <w:rPr>
                <w:rFonts w:asciiTheme="majorHAnsi" w:hAnsiTheme="majorHAnsi" w:cs="Times New Roman"/>
                <w:szCs w:val="17"/>
                <w:lang w:eastAsia="en-AU"/>
              </w:rPr>
            </w:pPr>
            <w:r>
              <w:rPr>
                <w:b/>
                <w:szCs w:val="17"/>
              </w:rPr>
              <w:t xml:space="preserve">Total estimated costs for </w:t>
            </w:r>
            <w:r>
              <w:rPr>
                <w:b/>
                <w:szCs w:val="17"/>
              </w:rPr>
              <w:br/>
              <w:t>option 2</w:t>
            </w:r>
          </w:p>
        </w:tc>
        <w:tc>
          <w:tcPr>
            <w:tcW w:w="0" w:type="dxa"/>
            <w:tcBorders>
              <w:top w:val="single" w:sz="18" w:space="0" w:color="62B5E5" w:themeColor="accent3"/>
            </w:tcBorders>
            <w:shd w:val="clear" w:color="auto" w:fill="auto"/>
            <w:vAlign w:val="center"/>
          </w:tcPr>
          <w:p w14:paraId="167E4E69" w14:textId="1E1CDE5F" w:rsidR="005B4D15" w:rsidRPr="00040B76" w:rsidRDefault="00B32765" w:rsidP="00861045">
            <w:pPr>
              <w:jc w:val="center"/>
              <w:rPr>
                <w:rFonts w:asciiTheme="majorHAnsi" w:hAnsiTheme="majorHAnsi" w:cs="Times New Roman"/>
                <w:szCs w:val="17"/>
                <w:lang w:eastAsia="en-AU"/>
              </w:rPr>
            </w:pPr>
            <w:r>
              <w:rPr>
                <w:b/>
                <w:szCs w:val="17"/>
              </w:rPr>
              <w:t xml:space="preserve">Total estimated benefits for </w:t>
            </w:r>
            <w:r>
              <w:rPr>
                <w:b/>
                <w:szCs w:val="17"/>
              </w:rPr>
              <w:br/>
              <w:t>option 2</w:t>
            </w:r>
          </w:p>
        </w:tc>
      </w:tr>
      <w:tr w:rsidR="005B4D15" w:rsidRPr="001E584B" w14:paraId="0F74C016" w14:textId="77777777" w:rsidTr="007E2D4E">
        <w:trPr>
          <w:trHeight w:val="1134"/>
        </w:trPr>
        <w:tc>
          <w:tcPr>
            <w:tcW w:w="1984" w:type="dxa"/>
            <w:vAlign w:val="center"/>
          </w:tcPr>
          <w:p w14:paraId="60A62CB3" w14:textId="77777777" w:rsidR="005B4D15" w:rsidRDefault="005B4D15" w:rsidP="005B4D15">
            <w:pPr>
              <w:spacing w:after="0"/>
              <w:rPr>
                <w:b/>
              </w:rPr>
            </w:pPr>
            <w:r>
              <w:rPr>
                <w:b/>
              </w:rPr>
              <w:t xml:space="preserve">Estimated costs and benefits for Option 2 from core analysis </w:t>
            </w:r>
          </w:p>
          <w:p w14:paraId="4C0404C6" w14:textId="5BC4E7CD" w:rsidR="005B4D15" w:rsidRPr="00F27590" w:rsidRDefault="005B4D15" w:rsidP="005B4D15">
            <w:pPr>
              <w:spacing w:after="0"/>
              <w:rPr>
                <w:b/>
              </w:rPr>
            </w:pPr>
            <w:r>
              <w:rPr>
                <w:b/>
              </w:rPr>
              <w:t>(for comparison)</w:t>
            </w:r>
          </w:p>
        </w:tc>
        <w:tc>
          <w:tcPr>
            <w:tcW w:w="1871" w:type="dxa"/>
            <w:vAlign w:val="center"/>
          </w:tcPr>
          <w:p w14:paraId="5137EFBA" w14:textId="07A7E532" w:rsidR="005B4D15" w:rsidRDefault="005B4D15" w:rsidP="005B4D15">
            <w:pPr>
              <w:jc w:val="center"/>
              <w:rPr>
                <w:szCs w:val="17"/>
              </w:rPr>
            </w:pPr>
            <w:r>
              <w:rPr>
                <w:szCs w:val="17"/>
              </w:rPr>
              <w:t>N/A</w:t>
            </w:r>
          </w:p>
        </w:tc>
        <w:tc>
          <w:tcPr>
            <w:tcW w:w="1871" w:type="dxa"/>
            <w:vAlign w:val="center"/>
          </w:tcPr>
          <w:p w14:paraId="69F49D91" w14:textId="3347B1E4" w:rsidR="005B4D15" w:rsidRDefault="005B4D15" w:rsidP="005B4D15">
            <w:pPr>
              <w:jc w:val="center"/>
              <w:rPr>
                <w:szCs w:val="17"/>
              </w:rPr>
            </w:pPr>
            <w:r>
              <w:rPr>
                <w:szCs w:val="17"/>
              </w:rPr>
              <w:t>N/A</w:t>
            </w:r>
          </w:p>
        </w:tc>
        <w:tc>
          <w:tcPr>
            <w:tcW w:w="1701" w:type="dxa"/>
            <w:vAlign w:val="center"/>
          </w:tcPr>
          <w:p w14:paraId="684DAC33" w14:textId="11F36360" w:rsidR="005B4D15" w:rsidRPr="00040B76" w:rsidRDefault="00B32765" w:rsidP="005B4D15">
            <w:pPr>
              <w:jc w:val="center"/>
              <w:rPr>
                <w:rFonts w:asciiTheme="majorHAnsi" w:hAnsiTheme="majorHAnsi" w:cs="Times New Roman"/>
                <w:szCs w:val="17"/>
                <w:lang w:eastAsia="en-AU"/>
              </w:rPr>
            </w:pPr>
            <w:r>
              <w:rPr>
                <w:rFonts w:asciiTheme="majorHAnsi" w:hAnsiTheme="majorHAnsi" w:cs="Times New Roman"/>
                <w:szCs w:val="17"/>
                <w:lang w:eastAsia="en-AU"/>
              </w:rPr>
              <w:t>$4,917,344</w:t>
            </w:r>
          </w:p>
        </w:tc>
        <w:tc>
          <w:tcPr>
            <w:tcW w:w="1701" w:type="dxa"/>
            <w:vAlign w:val="center"/>
          </w:tcPr>
          <w:p w14:paraId="06D40948" w14:textId="30642523" w:rsidR="005B4D15" w:rsidRPr="00040B76" w:rsidRDefault="00B32765" w:rsidP="005B4D15">
            <w:pPr>
              <w:jc w:val="center"/>
              <w:rPr>
                <w:rFonts w:asciiTheme="majorHAnsi" w:hAnsiTheme="majorHAnsi" w:cs="Times New Roman"/>
                <w:szCs w:val="17"/>
                <w:lang w:eastAsia="en-AU"/>
              </w:rPr>
            </w:pPr>
            <w:r>
              <w:rPr>
                <w:rFonts w:asciiTheme="majorHAnsi" w:hAnsiTheme="majorHAnsi" w:cs="Times New Roman"/>
                <w:szCs w:val="17"/>
                <w:lang w:eastAsia="en-AU"/>
              </w:rPr>
              <w:t>$7,</w:t>
            </w:r>
            <w:r w:rsidR="00D47E49">
              <w:rPr>
                <w:rFonts w:asciiTheme="majorHAnsi" w:hAnsiTheme="majorHAnsi" w:cs="Times New Roman"/>
                <w:szCs w:val="17"/>
                <w:lang w:eastAsia="en-AU"/>
              </w:rPr>
              <w:t>676</w:t>
            </w:r>
            <w:r>
              <w:rPr>
                <w:rFonts w:asciiTheme="majorHAnsi" w:hAnsiTheme="majorHAnsi" w:cs="Times New Roman"/>
                <w:szCs w:val="17"/>
                <w:lang w:eastAsia="en-AU"/>
              </w:rPr>
              <w:t>,300</w:t>
            </w:r>
          </w:p>
        </w:tc>
      </w:tr>
    </w:tbl>
    <w:p w14:paraId="15D5ABE5" w14:textId="27176FD5" w:rsidR="0006133F" w:rsidRPr="00261D0B" w:rsidRDefault="00EF12C2" w:rsidP="000276F0">
      <w:pPr>
        <w:pStyle w:val="Source"/>
      </w:pPr>
      <w:r>
        <w:t>Source: Deloitte Access Economics</w:t>
      </w:r>
    </w:p>
    <w:p w14:paraId="50C75D76" w14:textId="6ECB693F" w:rsidR="00A515C5" w:rsidRPr="00261D0B" w:rsidRDefault="00A515C5" w:rsidP="00A515C5">
      <w:pPr>
        <w:rPr>
          <w:sz w:val="17"/>
          <w:szCs w:val="17"/>
          <w:u w:val="single"/>
        </w:rPr>
      </w:pPr>
      <w:r w:rsidRPr="00261D0B">
        <w:rPr>
          <w:sz w:val="17"/>
          <w:szCs w:val="17"/>
          <w:u w:val="single"/>
        </w:rPr>
        <w:t>Increased uptake of R</w:t>
      </w:r>
      <w:r w:rsidR="00C35D9D">
        <w:rPr>
          <w:sz w:val="17"/>
          <w:szCs w:val="17"/>
          <w:u w:val="single"/>
        </w:rPr>
        <w:t xml:space="preserve">oom </w:t>
      </w:r>
      <w:r w:rsidRPr="00261D0B">
        <w:rPr>
          <w:sz w:val="17"/>
          <w:szCs w:val="17"/>
          <w:u w:val="single"/>
        </w:rPr>
        <w:t>S</w:t>
      </w:r>
      <w:r w:rsidR="00521762">
        <w:rPr>
          <w:sz w:val="17"/>
          <w:szCs w:val="17"/>
          <w:u w:val="single"/>
        </w:rPr>
        <w:t>ealed</w:t>
      </w:r>
      <w:r w:rsidRPr="00261D0B">
        <w:rPr>
          <w:sz w:val="17"/>
          <w:szCs w:val="17"/>
          <w:u w:val="single"/>
        </w:rPr>
        <w:t xml:space="preserve"> heating appliances</w:t>
      </w:r>
    </w:p>
    <w:p w14:paraId="0B595874" w14:textId="01D5084A" w:rsidR="00A515C5" w:rsidRPr="00261D0B" w:rsidRDefault="00A515C5" w:rsidP="00A515C5">
      <w:r w:rsidRPr="00261D0B">
        <w:t>The analysis</w:t>
      </w:r>
      <w:r>
        <w:t xml:space="preserve"> in section 4.2 </w:t>
      </w:r>
      <w:r w:rsidRPr="00261D0B">
        <w:t xml:space="preserve">assumes that 50 per cent of consumers that would </w:t>
      </w:r>
      <w:r>
        <w:t>purchase</w:t>
      </w:r>
      <w:r w:rsidRPr="00261D0B">
        <w:t xml:space="preserve"> an OF</w:t>
      </w:r>
      <w:r w:rsidR="004B4469">
        <w:t>GS</w:t>
      </w:r>
      <w:r w:rsidRPr="00261D0B">
        <w:t xml:space="preserve">H under the Base Case instead choose to purchase a </w:t>
      </w:r>
      <w:r>
        <w:t>4.7</w:t>
      </w:r>
      <w:r w:rsidRPr="00261D0B">
        <w:t xml:space="preserve">-star room sealed (RS) heater under Option </w:t>
      </w:r>
      <w:r>
        <w:lastRenderedPageBreak/>
        <w:t>2</w:t>
      </w:r>
      <w:r w:rsidRPr="00261D0B">
        <w:t xml:space="preserve">. The remaining 50 per cent choose to purchase a </w:t>
      </w:r>
      <w:r>
        <w:t>3.8</w:t>
      </w:r>
      <w:r w:rsidRPr="00261D0B">
        <w:t xml:space="preserve">-star reverse cycle system. This assumption is based on the trend towards reverse cycle heaters and away from gas heaters, but also reflects </w:t>
      </w:r>
      <w:r>
        <w:t>some</w:t>
      </w:r>
      <w:r w:rsidRPr="00261D0B">
        <w:t xml:space="preserve"> uncertainty</w:t>
      </w:r>
      <w:r>
        <w:t>, with the assumptions</w:t>
      </w:r>
      <w:r w:rsidRPr="00261D0B">
        <w:t xml:space="preserve"> chosen because of a lack of more detailed information to support anything else.</w:t>
      </w:r>
      <w:r>
        <w:t xml:space="preserve"> </w:t>
      </w:r>
    </w:p>
    <w:p w14:paraId="7DA31E3F" w14:textId="77777777" w:rsidR="00A515C5" w:rsidRPr="009E0AED" w:rsidRDefault="00A515C5" w:rsidP="00A515C5">
      <w:r w:rsidRPr="00261D0B">
        <w:t xml:space="preserve">If instead it is assumed that </w:t>
      </w:r>
      <w:r>
        <w:t>75 per cent of</w:t>
      </w:r>
      <w:r w:rsidRPr="00261D0B">
        <w:t xml:space="preserve"> these consumers choose to purchase a </w:t>
      </w:r>
      <w:r>
        <w:t>4.7</w:t>
      </w:r>
      <w:r w:rsidRPr="00261D0B">
        <w:t xml:space="preserve">-star RS heater </w:t>
      </w:r>
      <w:r>
        <w:t>and only 25 per cent</w:t>
      </w:r>
      <w:r w:rsidRPr="00261D0B">
        <w:t xml:space="preserve"> switch to </w:t>
      </w:r>
      <w:r>
        <w:t xml:space="preserve">3.8-star </w:t>
      </w:r>
      <w:r w:rsidRPr="00261D0B">
        <w:t>reverse cycle</w:t>
      </w:r>
      <w:r>
        <w:t xml:space="preserve"> systems</w:t>
      </w:r>
      <w:r w:rsidRPr="00261D0B">
        <w:t xml:space="preserve">, </w:t>
      </w:r>
      <w:r>
        <w:t xml:space="preserve">Option </w:t>
      </w:r>
      <w:r w:rsidRPr="009E0AED">
        <w:t>2 would need to be responsible for avoiding 0.0</w:t>
      </w:r>
      <w:r>
        <w:t>5</w:t>
      </w:r>
      <w:r w:rsidRPr="009E0AED">
        <w:t xml:space="preserve"> deaths, 0.</w:t>
      </w:r>
      <w:r>
        <w:t>06</w:t>
      </w:r>
      <w:r w:rsidRPr="009E0AED">
        <w:t xml:space="preserve"> serious illness and </w:t>
      </w:r>
      <w:r>
        <w:t>273</w:t>
      </w:r>
      <w:r w:rsidRPr="009E0AED">
        <w:t xml:space="preserve"> low level illnesses over 10 years to break even. </w:t>
      </w:r>
    </w:p>
    <w:p w14:paraId="75CC5B5B" w14:textId="77777777" w:rsidR="00A515C5" w:rsidRPr="009E0AED" w:rsidRDefault="00A515C5" w:rsidP="00A515C5">
      <w:r>
        <w:t>As it is</w:t>
      </w:r>
      <w:r w:rsidRPr="009E0AED">
        <w:t xml:space="preserve"> estimated that Option 2 would avoid 0.0</w:t>
      </w:r>
      <w:r>
        <w:t>5</w:t>
      </w:r>
      <w:r w:rsidRPr="009E0AED">
        <w:t xml:space="preserve"> deaths, 0.</w:t>
      </w:r>
      <w:r>
        <w:t>09</w:t>
      </w:r>
      <w:r w:rsidRPr="009E0AED">
        <w:t xml:space="preserve"> serious illness and </w:t>
      </w:r>
      <w:r>
        <w:t>403</w:t>
      </w:r>
      <w:r w:rsidRPr="009E0AED">
        <w:t xml:space="preserve"> low level illnesses over 10 years in this scenario</w:t>
      </w:r>
      <w:r>
        <w:t xml:space="preserve">, </w:t>
      </w:r>
      <w:r w:rsidRPr="009E0AED">
        <w:t xml:space="preserve">Option 2 is expected to break </w:t>
      </w:r>
      <w:r>
        <w:t xml:space="preserve">even </w:t>
      </w:r>
      <w:r w:rsidRPr="009E0AED">
        <w:t>under this scenario.</w:t>
      </w:r>
    </w:p>
    <w:p w14:paraId="3BD9B7A8" w14:textId="77777777" w:rsidR="00A515C5" w:rsidRPr="009E0AED" w:rsidRDefault="00A515C5" w:rsidP="00A515C5">
      <w:pPr>
        <w:rPr>
          <w:u w:val="single"/>
        </w:rPr>
      </w:pPr>
      <w:r w:rsidRPr="009E0AED">
        <w:rPr>
          <w:u w:val="single"/>
        </w:rPr>
        <w:t>Size of rooms heating appliances are installed in</w:t>
      </w:r>
    </w:p>
    <w:p w14:paraId="2A677CC7" w14:textId="77777777" w:rsidR="00A515C5" w:rsidRDefault="00A515C5" w:rsidP="00A515C5">
      <w:r w:rsidRPr="00261D0B">
        <w:t>The analysis assumes that all OFGSH, RS space heaters and reverse cycle air conditioners are installed in medium sized rooms of (approx. 30 m</w:t>
      </w:r>
      <w:r w:rsidRPr="00261D0B">
        <w:rPr>
          <w:vertAlign w:val="superscript"/>
        </w:rPr>
        <w:t>2</w:t>
      </w:r>
      <w:r w:rsidRPr="00261D0B">
        <w:t xml:space="preserve">). </w:t>
      </w:r>
    </w:p>
    <w:p w14:paraId="5F2AA27A" w14:textId="77777777" w:rsidR="00A515C5" w:rsidRPr="009E0AED" w:rsidRDefault="00A515C5" w:rsidP="00A515C5">
      <w:r w:rsidRPr="009E0AED">
        <w:t>If instead it is assumed that all heating appliances are installed in small rooms (approx. 12 m</w:t>
      </w:r>
      <w:r w:rsidRPr="009E0AED">
        <w:rPr>
          <w:vertAlign w:val="superscript"/>
        </w:rPr>
        <w:t>2</w:t>
      </w:r>
      <w:r w:rsidRPr="009E0AED">
        <w:t>), Option 2 would need to be responsible for avoiding 0.0</w:t>
      </w:r>
      <w:r>
        <w:t>5</w:t>
      </w:r>
      <w:r w:rsidRPr="009E0AED">
        <w:t xml:space="preserve"> deaths, 0.0</w:t>
      </w:r>
      <w:r>
        <w:t>7</w:t>
      </w:r>
      <w:r w:rsidRPr="009E0AED">
        <w:t xml:space="preserve"> serious illness and </w:t>
      </w:r>
      <w:r>
        <w:t>302</w:t>
      </w:r>
      <w:r w:rsidRPr="009E0AED">
        <w:t xml:space="preserve"> low level illnesses over 10 years to break even. </w:t>
      </w:r>
    </w:p>
    <w:p w14:paraId="01A80767" w14:textId="77777777" w:rsidR="00A515C5" w:rsidRPr="009E0AED" w:rsidRDefault="00A515C5" w:rsidP="00A515C5">
      <w:r>
        <w:t>As it is</w:t>
      </w:r>
      <w:r w:rsidRPr="009E0AED">
        <w:t xml:space="preserve"> estimated that Option 2 would avoid 0.0</w:t>
      </w:r>
      <w:r>
        <w:t>5</w:t>
      </w:r>
      <w:r w:rsidRPr="009E0AED">
        <w:t xml:space="preserve"> deaths, 0.</w:t>
      </w:r>
      <w:r>
        <w:t>09</w:t>
      </w:r>
      <w:r w:rsidRPr="009E0AED">
        <w:t xml:space="preserve"> serious illness and </w:t>
      </w:r>
      <w:r>
        <w:t>403</w:t>
      </w:r>
      <w:r w:rsidRPr="009E0AED">
        <w:t xml:space="preserve"> low level illnesses over 10 years in this scenario</w:t>
      </w:r>
      <w:r>
        <w:t xml:space="preserve">, </w:t>
      </w:r>
      <w:r w:rsidRPr="009E0AED">
        <w:t xml:space="preserve">Option 2 is expected to break </w:t>
      </w:r>
      <w:r>
        <w:t xml:space="preserve">even </w:t>
      </w:r>
      <w:r w:rsidRPr="009E0AED">
        <w:t>under this scenario.</w:t>
      </w:r>
    </w:p>
    <w:p w14:paraId="2630AF2B" w14:textId="77777777" w:rsidR="00A515C5" w:rsidRPr="009E0AED" w:rsidRDefault="00A515C5" w:rsidP="00A515C5">
      <w:pPr>
        <w:rPr>
          <w:u w:val="single"/>
        </w:rPr>
      </w:pPr>
      <w:r w:rsidRPr="009E0AED">
        <w:rPr>
          <w:u w:val="single"/>
        </w:rPr>
        <w:t>Timing of implementation</w:t>
      </w:r>
    </w:p>
    <w:p w14:paraId="34BCD9AB" w14:textId="2B0632DA" w:rsidR="00A515C5" w:rsidRDefault="00A515C5" w:rsidP="00A515C5">
      <w:r w:rsidRPr="003F031F">
        <w:t xml:space="preserve">The analysis assumes that Option </w:t>
      </w:r>
      <w:r w:rsidR="00844F13">
        <w:t>2</w:t>
      </w:r>
      <w:r w:rsidRPr="00BE7E26">
        <w:t xml:space="preserve"> comes int</w:t>
      </w:r>
      <w:r w:rsidRPr="009E0AED">
        <w:t xml:space="preserve">o effect </w:t>
      </w:r>
      <w:r>
        <w:t>from 1</w:t>
      </w:r>
      <w:r w:rsidRPr="009E0AED">
        <w:t xml:space="preserve"> </w:t>
      </w:r>
      <w:r>
        <w:t>January 2022</w:t>
      </w:r>
      <w:r w:rsidRPr="009E0AED">
        <w:t xml:space="preserve">. </w:t>
      </w:r>
    </w:p>
    <w:p w14:paraId="4BF73A51" w14:textId="27D9A7D8" w:rsidR="00A515C5" w:rsidRDefault="00A515C5" w:rsidP="00A515C5">
      <w:r w:rsidRPr="008E3D5E">
        <w:t xml:space="preserve">If instead it was assumed that Option </w:t>
      </w:r>
      <w:r>
        <w:t>2</w:t>
      </w:r>
      <w:r w:rsidRPr="008E3D5E">
        <w:t xml:space="preserve"> came into effect a year later </w:t>
      </w:r>
      <w:r>
        <w:t>on 1 January 2023</w:t>
      </w:r>
      <w:r w:rsidRPr="008E3D5E">
        <w:t xml:space="preserve">, Option </w:t>
      </w:r>
      <w:r w:rsidR="00844F13">
        <w:t>2</w:t>
      </w:r>
      <w:r w:rsidRPr="008E3D5E">
        <w:t xml:space="preserve"> would need to be responsible for avoiding 0.0</w:t>
      </w:r>
      <w:r>
        <w:t>3</w:t>
      </w:r>
      <w:r w:rsidRPr="008E3D5E">
        <w:t xml:space="preserve"> deaths, 0.0</w:t>
      </w:r>
      <w:r>
        <w:t>1</w:t>
      </w:r>
      <w:r w:rsidRPr="008E3D5E">
        <w:t xml:space="preserve"> serious illness and </w:t>
      </w:r>
      <w:r>
        <w:t>64</w:t>
      </w:r>
      <w:r w:rsidRPr="008E3D5E">
        <w:t xml:space="preserve"> low level illnesses over 10 years to break even.</w:t>
      </w:r>
    </w:p>
    <w:p w14:paraId="668518AB" w14:textId="77777777" w:rsidR="00A515C5" w:rsidRPr="00BA27AD" w:rsidRDefault="00A515C5" w:rsidP="00A515C5">
      <w:r w:rsidRPr="00261D0B">
        <w:t xml:space="preserve">It is estimated that Option </w:t>
      </w:r>
      <w:r>
        <w:t>2</w:t>
      </w:r>
      <w:r w:rsidRPr="00261D0B">
        <w:t xml:space="preserve"> would avoid 0.0</w:t>
      </w:r>
      <w:r>
        <w:t>3</w:t>
      </w:r>
      <w:r w:rsidRPr="00261D0B">
        <w:t xml:space="preserve"> deaths, 0.</w:t>
      </w:r>
      <w:r>
        <w:t>05</w:t>
      </w:r>
      <w:r w:rsidRPr="00261D0B">
        <w:t xml:space="preserve"> serious illness and </w:t>
      </w:r>
      <w:r>
        <w:t>222</w:t>
      </w:r>
      <w:r w:rsidRPr="00261D0B">
        <w:t xml:space="preserve"> low level illnesses over 10 years in this scenario. As a result, Option </w:t>
      </w:r>
      <w:r>
        <w:t>2</w:t>
      </w:r>
      <w:r w:rsidRPr="00261D0B">
        <w:t xml:space="preserve"> is still expected to break even under this scenario.</w:t>
      </w:r>
    </w:p>
    <w:p w14:paraId="24CC2E53" w14:textId="77777777" w:rsidR="00A515C5" w:rsidRPr="008E3D5E" w:rsidRDefault="00A515C5" w:rsidP="00A515C5">
      <w:pPr>
        <w:spacing w:after="0"/>
        <w:rPr>
          <w:u w:val="single"/>
        </w:rPr>
      </w:pPr>
      <w:r>
        <w:rPr>
          <w:u w:val="single"/>
        </w:rPr>
        <w:t>Reduced risk from greater provision of servicing due to the Be Sure campaign</w:t>
      </w:r>
    </w:p>
    <w:p w14:paraId="4819DE20" w14:textId="77777777" w:rsidR="00A515C5" w:rsidRDefault="00A515C5" w:rsidP="00A515C5">
      <w:r>
        <w:t xml:space="preserve">The analysis assumes that for every 100,000 OFGSHs installed in Victorian buildings annually, approximately 0.17 deaths, 0.35 serious illness and 1,500 low level illness will occur. </w:t>
      </w:r>
    </w:p>
    <w:p w14:paraId="236B3F67" w14:textId="77777777" w:rsidR="00A515C5" w:rsidRDefault="00A515C5" w:rsidP="00A515C5">
      <w:r>
        <w:t xml:space="preserve">If instead it was assumed that an increase in the provision of servicing for OFGSHs caused the rate of death and illness to fall by 20 per cent (i.e. 0.14 deaths, 0.28 serious illness and 1,200 low level illness for every 100,000 OFGSHs annually), </w:t>
      </w:r>
      <w:r w:rsidRPr="00BE7E26">
        <w:t xml:space="preserve">Option </w:t>
      </w:r>
      <w:r>
        <w:t>2</w:t>
      </w:r>
      <w:r w:rsidRPr="00BE7E26">
        <w:t xml:space="preserve"> would need to be responsible for avoiding 0.0</w:t>
      </w:r>
      <w:r>
        <w:t>4</w:t>
      </w:r>
      <w:r w:rsidRPr="00BE7E26">
        <w:t xml:space="preserve"> deaths, 0.0</w:t>
      </w:r>
      <w:r>
        <w:t>1</w:t>
      </w:r>
      <w:r w:rsidRPr="00BE7E26">
        <w:t xml:space="preserve"> serious illness and </w:t>
      </w:r>
      <w:r>
        <w:t>64</w:t>
      </w:r>
      <w:r w:rsidRPr="00BE7E26">
        <w:t xml:space="preserve"> low level illnesses over 10 years to break even.</w:t>
      </w:r>
    </w:p>
    <w:p w14:paraId="646C1AB9" w14:textId="77777777" w:rsidR="00A515C5" w:rsidRPr="00261D0B" w:rsidRDefault="00A515C5" w:rsidP="00A515C5">
      <w:r w:rsidRPr="00261D0B">
        <w:t xml:space="preserve">It is estimated that Option </w:t>
      </w:r>
      <w:r>
        <w:t>2</w:t>
      </w:r>
      <w:r w:rsidRPr="00261D0B">
        <w:t xml:space="preserve"> would avoid 0.0</w:t>
      </w:r>
      <w:r>
        <w:t>4</w:t>
      </w:r>
      <w:r w:rsidRPr="00261D0B">
        <w:t xml:space="preserve"> deaths, 0.</w:t>
      </w:r>
      <w:r>
        <w:t>07</w:t>
      </w:r>
      <w:r w:rsidRPr="00261D0B">
        <w:t xml:space="preserve"> serious illness and </w:t>
      </w:r>
      <w:r>
        <w:t>322</w:t>
      </w:r>
      <w:r w:rsidRPr="00261D0B">
        <w:t xml:space="preserve"> low level illnesses over 10 years in this scenario. As a result, Option </w:t>
      </w:r>
      <w:r>
        <w:t>2</w:t>
      </w:r>
      <w:r w:rsidRPr="00261D0B">
        <w:t xml:space="preserve"> is still expected to break even under this scenario.</w:t>
      </w:r>
    </w:p>
    <w:p w14:paraId="3BF66966" w14:textId="5D825971" w:rsidR="00EB1BAA" w:rsidRDefault="00EB1BAA">
      <w:pPr>
        <w:spacing w:after="0"/>
      </w:pPr>
    </w:p>
    <w:p w14:paraId="14330044" w14:textId="3F8A3013" w:rsidR="00EB1BAA" w:rsidRDefault="00EB1BAA">
      <w:pPr>
        <w:spacing w:after="0"/>
      </w:pPr>
      <w:r>
        <w:br w:type="page"/>
      </w:r>
    </w:p>
    <w:p w14:paraId="62ED836A" w14:textId="77777777" w:rsidR="00A515C5" w:rsidRPr="00A515C5" w:rsidRDefault="00A515C5" w:rsidP="00A515C5">
      <w:pPr>
        <w:keepNext/>
        <w:keepLines/>
        <w:pageBreakBefore/>
        <w:spacing w:after="480" w:line="720" w:lineRule="atLeast"/>
        <w:outlineLvl w:val="0"/>
        <w:rPr>
          <w:sz w:val="60"/>
        </w:rPr>
      </w:pPr>
      <w:bookmarkStart w:id="268" w:name="_Toc59612298"/>
      <w:r w:rsidRPr="00A515C5">
        <w:rPr>
          <w:sz w:val="60"/>
        </w:rPr>
        <w:lastRenderedPageBreak/>
        <w:t>Limitation of our work</w:t>
      </w:r>
      <w:bookmarkStart w:id="269" w:name="_Toc10111315"/>
      <w:bookmarkEnd w:id="268"/>
    </w:p>
    <w:p w14:paraId="4CD776B6" w14:textId="77777777" w:rsidR="00A515C5" w:rsidRPr="00A515C5" w:rsidRDefault="00A515C5" w:rsidP="00A515C5">
      <w:pPr>
        <w:keepNext/>
        <w:keepLines/>
        <w:spacing w:after="0"/>
        <w:outlineLvl w:val="1"/>
        <w:rPr>
          <w:rFonts w:eastAsiaTheme="majorEastAsia" w:cstheme="majorBidi"/>
          <w:b/>
          <w:bCs/>
          <w:color w:val="62B5E5" w:themeColor="accent3"/>
          <w:szCs w:val="26"/>
        </w:rPr>
      </w:pPr>
      <w:r w:rsidRPr="00A515C5">
        <w:rPr>
          <w:rFonts w:eastAsiaTheme="majorEastAsia" w:cstheme="majorBidi"/>
          <w:b/>
          <w:bCs/>
          <w:color w:val="62B5E5" w:themeColor="accent3"/>
          <w:szCs w:val="26"/>
        </w:rPr>
        <w:t>General use restriction</w:t>
      </w:r>
    </w:p>
    <w:p w14:paraId="00F211F7" w14:textId="54791846" w:rsidR="00A515C5" w:rsidRPr="00B40553" w:rsidRDefault="00A515C5" w:rsidP="00B40553">
      <w:pPr>
        <w:keepNext/>
        <w:keepLines/>
        <w:spacing w:after="0"/>
        <w:outlineLvl w:val="1"/>
      </w:pPr>
      <w:r w:rsidRPr="00A515C5">
        <w:t xml:space="preserve">This </w:t>
      </w:r>
      <w:r w:rsidRPr="00577655">
        <w:t>report is prepared solely for the use of the Department of Environment, Land Water and Planning. This report is not intended to and should not be used or relied upon by anyone else and we accept no duty of care to any other person or entity. The report has been prepared for the purpose of preparing a Regulatory Impact Statement for</w:t>
      </w:r>
      <w:r w:rsidRPr="00B40553">
        <w:t xml:space="preserve"> assessing options for the</w:t>
      </w:r>
      <w:r w:rsidR="00B40553" w:rsidRPr="00B40553">
        <w:t xml:space="preserve"> phase out of OFGSHs and transitional measures.</w:t>
      </w:r>
      <w:r w:rsidRPr="00B40553">
        <w:t xml:space="preserve"> You should not refer to or use our name or the advice for any other purpose. </w:t>
      </w:r>
    </w:p>
    <w:p w14:paraId="1C116F02" w14:textId="77777777" w:rsidR="00A515C5" w:rsidRPr="00B40553" w:rsidRDefault="00A515C5" w:rsidP="00B40553">
      <w:pPr>
        <w:keepNext/>
        <w:keepLines/>
        <w:spacing w:after="0"/>
        <w:outlineLvl w:val="1"/>
      </w:pPr>
      <w:r w:rsidRPr="00B40553">
        <w:br w:type="page"/>
      </w:r>
    </w:p>
    <w:tbl>
      <w:tblPr>
        <w:tblStyle w:val="TableGrid10"/>
        <w:tblpPr w:vertAnchor="page" w:horzAnchor="margin" w:tblpY="3254"/>
        <w:tblOverlap w:val="never"/>
        <w:tblW w:w="9185" w:type="dxa"/>
        <w:tblLook w:val="04A0" w:firstRow="1" w:lastRow="0" w:firstColumn="1" w:lastColumn="0" w:noHBand="0" w:noVBand="1"/>
      </w:tblPr>
      <w:tblGrid>
        <w:gridCol w:w="9185"/>
      </w:tblGrid>
      <w:tr w:rsidR="00A515C5" w:rsidRPr="00A515C5" w14:paraId="7A9531F3" w14:textId="77777777" w:rsidTr="005916CC">
        <w:trPr>
          <w:cnfStyle w:val="100000000000" w:firstRow="1" w:lastRow="0" w:firstColumn="0" w:lastColumn="0" w:oddVBand="0" w:evenVBand="0" w:oddHBand="0" w:evenHBand="0" w:firstRowFirstColumn="0" w:firstRowLastColumn="0" w:lastRowFirstColumn="0" w:lastRowLastColumn="0"/>
          <w:trHeight w:val="6379"/>
        </w:trPr>
        <w:tc>
          <w:tcPr>
            <w:tcW w:w="9185" w:type="dxa"/>
            <w:vAlign w:val="bottom"/>
          </w:tcPr>
          <w:p w14:paraId="63DC5719" w14:textId="77777777" w:rsidR="00A515C5" w:rsidRPr="00A515C5" w:rsidRDefault="00A515C5" w:rsidP="00A515C5">
            <w:pPr>
              <w:spacing w:after="0" w:line="180" w:lineRule="atLeast"/>
              <w:rPr>
                <w:rFonts w:asciiTheme="majorHAnsi" w:hAnsiTheme="majorHAnsi"/>
                <w:sz w:val="17"/>
                <w:szCs w:val="17"/>
              </w:rPr>
            </w:pPr>
            <w:r w:rsidRPr="00A515C5">
              <w:rPr>
                <w:rFonts w:asciiTheme="majorHAnsi" w:hAnsiTheme="majorHAnsi"/>
                <w:noProof/>
                <w:sz w:val="17"/>
                <w:szCs w:val="17"/>
                <w:lang w:eastAsia="en-AU"/>
              </w:rPr>
              <w:lastRenderedPageBreak/>
              <w:drawing>
                <wp:inline distT="0" distB="0" distL="0" distR="0" wp14:anchorId="48AA3695" wp14:editId="59195B0F">
                  <wp:extent cx="2086118" cy="914400"/>
                  <wp:effectExtent l="0" t="0" r="0" b="0"/>
                  <wp:docPr id="23" name="Frontpage_Logo_Positiv" descr="Deloitte logo"/>
                  <wp:cNvGraphicFramePr/>
                  <a:graphic xmlns:a="http://schemas.openxmlformats.org/drawingml/2006/main">
                    <a:graphicData uri="http://schemas.openxmlformats.org/drawingml/2006/picture">
                      <pic:pic xmlns:pic="http://schemas.openxmlformats.org/drawingml/2006/picture">
                        <pic:nvPicPr>
                          <pic:cNvPr id="266776721" name="Frontpage_Logo_Positiv"/>
                          <pic:cNvPicPr/>
                        </pic:nvPicPr>
                        <pic:blipFill>
                          <a:blip r:embed="rId14"/>
                          <a:srcRect/>
                          <a:stretch/>
                        </pic:blipFill>
                        <pic:spPr>
                          <a:xfrm>
                            <a:off x="0" y="0"/>
                            <a:ext cx="2086118" cy="914400"/>
                          </a:xfrm>
                          <a:prstGeom prst="rect">
                            <a:avLst/>
                          </a:prstGeom>
                        </pic:spPr>
                      </pic:pic>
                    </a:graphicData>
                  </a:graphic>
                </wp:inline>
              </w:drawing>
            </w:r>
          </w:p>
          <w:p w14:paraId="17063CD7" w14:textId="77777777" w:rsidR="00A515C5" w:rsidRPr="00A515C5" w:rsidRDefault="00A515C5" w:rsidP="00A515C5">
            <w:pPr>
              <w:spacing w:after="0" w:line="180" w:lineRule="atLeast"/>
              <w:rPr>
                <w:rFonts w:asciiTheme="majorHAnsi" w:hAnsiTheme="majorHAnsi"/>
                <w:sz w:val="17"/>
                <w:szCs w:val="17"/>
              </w:rPr>
            </w:pPr>
          </w:p>
          <w:p w14:paraId="6558C704" w14:textId="77777777" w:rsidR="00A515C5" w:rsidRPr="00A515C5" w:rsidRDefault="00A515C5" w:rsidP="00A515C5">
            <w:pPr>
              <w:spacing w:after="0" w:line="180" w:lineRule="atLeast"/>
              <w:rPr>
                <w:rFonts w:asciiTheme="majorHAnsi" w:hAnsiTheme="majorHAnsi"/>
                <w:sz w:val="17"/>
                <w:szCs w:val="17"/>
              </w:rPr>
            </w:pPr>
            <w:r w:rsidRPr="00A515C5">
              <w:rPr>
                <w:rFonts w:asciiTheme="majorHAnsi" w:hAnsiTheme="majorHAnsi"/>
                <w:sz w:val="17"/>
                <w:szCs w:val="17"/>
              </w:rPr>
              <w:t xml:space="preserve">Deloitte Access Economics is Australia’s pre-eminent economics advisory practice and a member of Deloitte's global economics group. For more information, please visit our website: </w:t>
            </w:r>
            <w:hyperlink r:id="rId87" w:history="1">
              <w:r w:rsidRPr="00A515C5">
                <w:rPr>
                  <w:rFonts w:asciiTheme="majorHAnsi" w:hAnsiTheme="majorHAnsi"/>
                  <w:color w:val="00A3E0" w:themeColor="hyperlink"/>
                  <w:sz w:val="17"/>
                  <w:szCs w:val="17"/>
                  <w:u w:val="single"/>
                </w:rPr>
                <w:t>www.deloitte.com/au/deloitte-access-economics</w:t>
              </w:r>
            </w:hyperlink>
            <w:r w:rsidRPr="00A515C5">
              <w:rPr>
                <w:rFonts w:asciiTheme="majorHAnsi" w:hAnsiTheme="majorHAnsi"/>
                <w:sz w:val="17"/>
                <w:szCs w:val="17"/>
              </w:rPr>
              <w:t xml:space="preserve"> </w:t>
            </w:r>
          </w:p>
          <w:p w14:paraId="19D7C62A" w14:textId="77777777" w:rsidR="00A515C5" w:rsidRPr="00A515C5" w:rsidRDefault="00A515C5" w:rsidP="00A515C5">
            <w:pPr>
              <w:spacing w:after="0" w:line="180" w:lineRule="atLeast"/>
              <w:rPr>
                <w:rFonts w:asciiTheme="majorHAnsi" w:hAnsiTheme="majorHAnsi"/>
                <w:sz w:val="17"/>
                <w:szCs w:val="17"/>
              </w:rPr>
            </w:pPr>
          </w:p>
          <w:p w14:paraId="05D9E758" w14:textId="77777777" w:rsidR="00A515C5" w:rsidRPr="00A515C5" w:rsidRDefault="00A515C5" w:rsidP="00A515C5">
            <w:pPr>
              <w:spacing w:after="0" w:line="180" w:lineRule="atLeast"/>
              <w:rPr>
                <w:rFonts w:asciiTheme="majorHAnsi" w:hAnsiTheme="majorHAnsi"/>
                <w:sz w:val="17"/>
                <w:szCs w:val="17"/>
              </w:rPr>
            </w:pPr>
            <w:r w:rsidRPr="00A515C5">
              <w:rPr>
                <w:rFonts w:asciiTheme="majorHAnsi" w:hAnsiTheme="majorHAnsi"/>
                <w:sz w:val="17"/>
                <w:szCs w:val="17"/>
              </w:rPr>
              <w:t>Deloitte refers to one or more of Deloitte Touche Tohmatsu Limited (“DTTL”), its global network of member firms, and their related entities. DTTL (also referred to as “Deloitte Global”) and each of its member firms and their affiliated entities are legally separate and independent entities. DTTL does not provide services to clients. Please see www.deloitte.com/about to learn more.</w:t>
            </w:r>
          </w:p>
          <w:p w14:paraId="138CC349" w14:textId="77777777" w:rsidR="00A515C5" w:rsidRPr="00A515C5" w:rsidRDefault="00A515C5" w:rsidP="00A515C5">
            <w:pPr>
              <w:spacing w:after="0" w:line="180" w:lineRule="atLeast"/>
              <w:rPr>
                <w:rFonts w:asciiTheme="majorHAnsi" w:hAnsiTheme="majorHAnsi"/>
                <w:sz w:val="17"/>
                <w:szCs w:val="17"/>
              </w:rPr>
            </w:pPr>
          </w:p>
          <w:p w14:paraId="1A2C705C" w14:textId="77777777" w:rsidR="00A515C5" w:rsidRPr="00A515C5" w:rsidRDefault="00A515C5" w:rsidP="00A515C5">
            <w:pPr>
              <w:spacing w:after="0" w:line="180" w:lineRule="atLeast"/>
              <w:rPr>
                <w:rFonts w:asciiTheme="majorHAnsi" w:hAnsiTheme="majorHAnsi"/>
                <w:sz w:val="17"/>
                <w:szCs w:val="17"/>
              </w:rPr>
            </w:pPr>
            <w:r w:rsidRPr="00A515C5">
              <w:rPr>
                <w:rFonts w:asciiTheme="majorHAnsi" w:hAnsiTheme="majorHAnsi"/>
                <w:sz w:val="17"/>
                <w:szCs w:val="17"/>
              </w:rPr>
              <w:t>Deloitte is a leading global provider of audit and assurance, consulting, financial advisory, risk advisory, tax and related services. Our network of member firms in more than 150 countries and territories serves four out of five Fortune Global 500®businesses. Learn how Deloitte’s approximately 286,000 people make an impact that matters at www.deloitte.com.</w:t>
            </w:r>
          </w:p>
          <w:p w14:paraId="35DF2CAC" w14:textId="77777777" w:rsidR="00A515C5" w:rsidRPr="00A515C5" w:rsidRDefault="00A515C5" w:rsidP="00A515C5">
            <w:pPr>
              <w:spacing w:after="0" w:line="180" w:lineRule="atLeast"/>
              <w:rPr>
                <w:rFonts w:asciiTheme="majorHAnsi" w:hAnsiTheme="majorHAnsi"/>
                <w:sz w:val="17"/>
                <w:szCs w:val="17"/>
              </w:rPr>
            </w:pPr>
          </w:p>
          <w:p w14:paraId="4DC1A59D" w14:textId="77777777" w:rsidR="00A515C5" w:rsidRPr="00A515C5" w:rsidRDefault="00A515C5" w:rsidP="00A515C5">
            <w:pPr>
              <w:spacing w:after="0" w:line="180" w:lineRule="atLeast"/>
              <w:rPr>
                <w:rFonts w:asciiTheme="majorHAnsi" w:hAnsiTheme="majorHAnsi"/>
                <w:b/>
                <w:sz w:val="17"/>
                <w:szCs w:val="17"/>
              </w:rPr>
            </w:pPr>
            <w:r w:rsidRPr="00A515C5">
              <w:rPr>
                <w:rFonts w:asciiTheme="majorHAnsi" w:hAnsiTheme="majorHAnsi"/>
                <w:b/>
                <w:sz w:val="17"/>
                <w:szCs w:val="17"/>
              </w:rPr>
              <w:t xml:space="preserve">Deloitte Asia Pacific </w:t>
            </w:r>
          </w:p>
          <w:p w14:paraId="18FB5DCA" w14:textId="77777777" w:rsidR="00A515C5" w:rsidRPr="00A515C5" w:rsidRDefault="00A515C5" w:rsidP="00A515C5">
            <w:pPr>
              <w:spacing w:after="0" w:line="180" w:lineRule="atLeast"/>
              <w:rPr>
                <w:rFonts w:asciiTheme="majorHAnsi" w:hAnsiTheme="majorHAnsi"/>
                <w:sz w:val="17"/>
                <w:szCs w:val="17"/>
              </w:rPr>
            </w:pPr>
            <w:r w:rsidRPr="00A515C5">
              <w:rPr>
                <w:rFonts w:asciiTheme="majorHAnsi" w:hAnsiTheme="majorHAnsi"/>
                <w:sz w:val="17"/>
                <w:szCs w:val="17"/>
              </w:rPr>
              <w:t>Deloitte Asia Pacific Limited is a company limited by guarantee and a member firm of DTTL. Members of Deloitte Asia Pacific Limited and their related entities provide services in Australia, Brunei Darussalam, Cambodia, East Timor, Federated States of Micronesia, Guam, Indonesia, Japan, Laos, Malaysia, Mongolia, Myanmar, New Zealand, Palau, Papua New Guinea, Singapore, Thailand, The Marshall Islands, The Northern Mariana Islands, The People’s Republic of China (incl. Hong Kong SAR and Macau SAR), The Philippines and Vietnam, in each of which operations are conducted by separate and independent legal entities.</w:t>
            </w:r>
          </w:p>
          <w:p w14:paraId="7E49DB7B" w14:textId="77777777" w:rsidR="00A515C5" w:rsidRPr="00A515C5" w:rsidRDefault="00A515C5" w:rsidP="00A515C5">
            <w:pPr>
              <w:spacing w:after="0" w:line="180" w:lineRule="atLeast"/>
              <w:rPr>
                <w:rFonts w:asciiTheme="majorHAnsi" w:hAnsiTheme="majorHAnsi"/>
                <w:sz w:val="17"/>
                <w:szCs w:val="17"/>
              </w:rPr>
            </w:pPr>
          </w:p>
          <w:p w14:paraId="7275FA5D" w14:textId="77777777" w:rsidR="00A515C5" w:rsidRPr="00A515C5" w:rsidRDefault="00A515C5" w:rsidP="00A515C5">
            <w:pPr>
              <w:spacing w:after="0" w:line="180" w:lineRule="atLeast"/>
              <w:rPr>
                <w:rFonts w:asciiTheme="majorHAnsi" w:hAnsiTheme="majorHAnsi"/>
                <w:b/>
                <w:sz w:val="17"/>
                <w:szCs w:val="17"/>
              </w:rPr>
            </w:pPr>
            <w:r w:rsidRPr="00A515C5">
              <w:rPr>
                <w:rFonts w:asciiTheme="majorHAnsi" w:hAnsiTheme="majorHAnsi"/>
                <w:b/>
                <w:sz w:val="17"/>
                <w:szCs w:val="17"/>
              </w:rPr>
              <w:t>Deloitte Australia</w:t>
            </w:r>
          </w:p>
          <w:p w14:paraId="3312A537" w14:textId="77777777" w:rsidR="00A515C5" w:rsidRPr="00A515C5" w:rsidRDefault="00A515C5" w:rsidP="00A515C5">
            <w:pPr>
              <w:spacing w:after="0" w:line="180" w:lineRule="atLeast"/>
              <w:rPr>
                <w:rFonts w:asciiTheme="majorHAnsi" w:hAnsiTheme="majorHAnsi"/>
                <w:sz w:val="17"/>
                <w:szCs w:val="17"/>
              </w:rPr>
            </w:pPr>
            <w:r w:rsidRPr="00A515C5">
              <w:rPr>
                <w:rFonts w:asciiTheme="majorHAnsi" w:hAnsiTheme="majorHAnsi"/>
                <w:sz w:val="17"/>
                <w:szCs w:val="17"/>
              </w:rPr>
              <w:t>In Australia, the Deloitte Network member is the Australian partnership of Deloitte Touche Tohmatsu. As one of Australia’s leading professional services firms. Deloitte Touche Tohmatsu and its affiliates provide audit, tax, consulting, and financial advisory services through approximately 8000 people across the country. Focused on the creation of value and growth, and known as an employer of choice for innovative human resources programs, we are dedicated to helping our clients and our people excel. For more information, please visit our web site at https://www2.deloitte.com/au/en.html.</w:t>
            </w:r>
          </w:p>
          <w:p w14:paraId="6D590A51" w14:textId="77777777" w:rsidR="00A515C5" w:rsidRPr="00A515C5" w:rsidRDefault="00A515C5" w:rsidP="00A515C5">
            <w:pPr>
              <w:spacing w:after="0" w:line="180" w:lineRule="atLeast"/>
              <w:rPr>
                <w:rFonts w:asciiTheme="majorHAnsi" w:hAnsiTheme="majorHAnsi"/>
                <w:sz w:val="17"/>
                <w:szCs w:val="17"/>
              </w:rPr>
            </w:pPr>
          </w:p>
          <w:p w14:paraId="0BEDAF61" w14:textId="77777777" w:rsidR="00A515C5" w:rsidRPr="00A515C5" w:rsidRDefault="00A515C5" w:rsidP="00A515C5">
            <w:pPr>
              <w:spacing w:after="0" w:line="180" w:lineRule="atLeast"/>
              <w:rPr>
                <w:rFonts w:asciiTheme="majorHAnsi" w:hAnsiTheme="majorHAnsi"/>
                <w:sz w:val="17"/>
                <w:szCs w:val="17"/>
              </w:rPr>
            </w:pPr>
            <w:r w:rsidRPr="00A515C5">
              <w:rPr>
                <w:rFonts w:asciiTheme="majorHAnsi" w:hAnsiTheme="majorHAnsi"/>
                <w:sz w:val="17"/>
                <w:szCs w:val="17"/>
              </w:rPr>
              <w:t>Liability limited by a scheme approved under Professional Standards Legislation.</w:t>
            </w:r>
          </w:p>
          <w:p w14:paraId="386DC9B8" w14:textId="77777777" w:rsidR="00A515C5" w:rsidRPr="00A515C5" w:rsidRDefault="00A515C5" w:rsidP="00A515C5">
            <w:pPr>
              <w:spacing w:after="0" w:line="180" w:lineRule="atLeast"/>
              <w:rPr>
                <w:rFonts w:asciiTheme="majorHAnsi" w:hAnsiTheme="majorHAnsi"/>
                <w:sz w:val="17"/>
                <w:szCs w:val="17"/>
              </w:rPr>
            </w:pPr>
            <w:r w:rsidRPr="00A515C5">
              <w:rPr>
                <w:rFonts w:asciiTheme="majorHAnsi" w:hAnsiTheme="majorHAnsi"/>
                <w:sz w:val="17"/>
                <w:szCs w:val="17"/>
              </w:rPr>
              <w:t>Member of Deloitte Asia Pacific Limited and the Deloitte Network.</w:t>
            </w:r>
          </w:p>
          <w:p w14:paraId="66E07B7F" w14:textId="77777777" w:rsidR="00A515C5" w:rsidRPr="00A515C5" w:rsidRDefault="00A515C5" w:rsidP="00A515C5">
            <w:pPr>
              <w:spacing w:after="0" w:line="180" w:lineRule="atLeast"/>
              <w:rPr>
                <w:rFonts w:asciiTheme="majorHAnsi" w:hAnsiTheme="majorHAnsi"/>
                <w:sz w:val="17"/>
                <w:szCs w:val="17"/>
              </w:rPr>
            </w:pPr>
          </w:p>
          <w:p w14:paraId="4CEEA74E" w14:textId="44A516D6" w:rsidR="00A515C5" w:rsidRPr="00A515C5" w:rsidRDefault="00A515C5" w:rsidP="00A515C5">
            <w:pPr>
              <w:spacing w:after="0" w:line="0" w:lineRule="atLeast"/>
              <w:rPr>
                <w:rFonts w:asciiTheme="majorHAnsi" w:hAnsiTheme="majorHAnsi"/>
                <w:sz w:val="17"/>
                <w:szCs w:val="17"/>
              </w:rPr>
            </w:pPr>
            <w:r w:rsidRPr="00A515C5">
              <w:rPr>
                <w:rFonts w:asciiTheme="majorHAnsi" w:hAnsiTheme="majorHAnsi"/>
                <w:sz w:val="17"/>
                <w:szCs w:val="17"/>
              </w:rPr>
              <w:t>©</w:t>
            </w:r>
            <w:r w:rsidR="00577655" w:rsidRPr="00A515C5">
              <w:rPr>
                <w:rFonts w:asciiTheme="majorHAnsi" w:hAnsiTheme="majorHAnsi"/>
                <w:sz w:val="17"/>
                <w:szCs w:val="17"/>
              </w:rPr>
              <w:t>20</w:t>
            </w:r>
            <w:r w:rsidR="00577655">
              <w:rPr>
                <w:rFonts w:asciiTheme="majorHAnsi" w:hAnsiTheme="majorHAnsi"/>
                <w:sz w:val="17"/>
                <w:szCs w:val="17"/>
              </w:rPr>
              <w:t>20</w:t>
            </w:r>
            <w:r w:rsidR="00577655" w:rsidRPr="00A515C5">
              <w:rPr>
                <w:rFonts w:asciiTheme="majorHAnsi" w:hAnsiTheme="majorHAnsi"/>
                <w:sz w:val="17"/>
                <w:szCs w:val="17"/>
              </w:rPr>
              <w:t xml:space="preserve"> </w:t>
            </w:r>
            <w:r w:rsidRPr="00A515C5">
              <w:rPr>
                <w:rFonts w:asciiTheme="majorHAnsi" w:hAnsiTheme="majorHAnsi"/>
                <w:sz w:val="17"/>
                <w:szCs w:val="17"/>
              </w:rPr>
              <w:t>Deloitte Access Economics. Deloitte Touche Tohmatsu</w:t>
            </w:r>
          </w:p>
        </w:tc>
      </w:tr>
    </w:tbl>
    <w:p w14:paraId="2A16B034" w14:textId="77777777" w:rsidR="00A515C5" w:rsidRPr="00A515C5" w:rsidRDefault="00A515C5" w:rsidP="00A515C5"/>
    <w:bookmarkEnd w:id="269"/>
    <w:p w14:paraId="2A9224C4" w14:textId="77777777" w:rsidR="007629C6" w:rsidRPr="00806743" w:rsidRDefault="007629C6" w:rsidP="009B139F">
      <w:pPr>
        <w:rPr>
          <w:rFonts w:asciiTheme="majorHAnsi" w:hAnsiTheme="majorHAnsi"/>
          <w:sz w:val="17"/>
          <w:szCs w:val="17"/>
        </w:rPr>
      </w:pPr>
    </w:p>
    <w:sectPr w:rsidR="007629C6" w:rsidRPr="00806743" w:rsidSect="00976C31">
      <w:headerReference w:type="default" r:id="rId88"/>
      <w:footerReference w:type="default" r:id="rId89"/>
      <w:footerReference w:type="first" r:id="rId90"/>
      <w:pgSz w:w="11906" w:h="16838" w:code="9"/>
      <w:pgMar w:top="1440" w:right="1440" w:bottom="1440" w:left="1440" w:header="680" w:footer="425"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580A2A" w14:textId="77777777" w:rsidR="00443623" w:rsidRDefault="00443623" w:rsidP="00C702C7">
      <w:pPr>
        <w:spacing w:line="240" w:lineRule="auto"/>
      </w:pPr>
      <w:r>
        <w:separator/>
      </w:r>
    </w:p>
  </w:endnote>
  <w:endnote w:type="continuationSeparator" w:id="0">
    <w:p w14:paraId="40169D82" w14:textId="77777777" w:rsidR="00443623" w:rsidRDefault="00443623" w:rsidP="00C702C7">
      <w:pPr>
        <w:spacing w:line="240" w:lineRule="auto"/>
      </w:pPr>
      <w:r>
        <w:continuationSeparator/>
      </w:r>
    </w:p>
  </w:endnote>
  <w:endnote w:type="continuationNotice" w:id="1">
    <w:p w14:paraId="693BE22A" w14:textId="77777777" w:rsidR="00443623" w:rsidRDefault="004436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Gotham Bold">
    <w:altName w:val="Calibri"/>
    <w:panose1 w:val="00000000000000000000"/>
    <w:charset w:val="00"/>
    <w:family w:val="modern"/>
    <w:notTrueType/>
    <w:pitch w:val="variable"/>
    <w:sig w:usb0="A10000FF" w:usb1="40000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HelveticaNeueLT Std Thin">
    <w:altName w:val="Arial"/>
    <w:panose1 w:val="00000000000000000000"/>
    <w:charset w:val="00"/>
    <w:family w:val="swiss"/>
    <w:notTrueType/>
    <w:pitch w:val="default"/>
    <w:sig w:usb0="00000003" w:usb1="00000000" w:usb2="00000000" w:usb3="00000000" w:csb0="00000001" w:csb1="00000000"/>
  </w:font>
  <w:font w:name="Frutiger LT 45 Light">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F5754" w14:textId="77777777" w:rsidR="00465315" w:rsidRDefault="004653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Layout w:type="fixed"/>
      <w:tblLook w:val="04A0" w:firstRow="1" w:lastRow="0" w:firstColumn="1" w:lastColumn="0" w:noHBand="0" w:noVBand="1"/>
    </w:tblPr>
    <w:tblGrid>
      <w:gridCol w:w="3544"/>
      <w:gridCol w:w="7002"/>
    </w:tblGrid>
    <w:tr w:rsidR="0082085F" w14:paraId="2A922512" w14:textId="77777777" w:rsidTr="00137F51">
      <w:trPr>
        <w:cnfStyle w:val="100000000000" w:firstRow="1" w:lastRow="0" w:firstColumn="0" w:lastColumn="0" w:oddVBand="0" w:evenVBand="0" w:oddHBand="0" w:evenHBand="0" w:firstRowFirstColumn="0" w:firstRowLastColumn="0" w:lastRowFirstColumn="0" w:lastRowLastColumn="0"/>
      </w:trPr>
      <w:tc>
        <w:tcPr>
          <w:tcW w:w="3544" w:type="dxa"/>
          <w:vAlign w:val="bottom"/>
        </w:tcPr>
        <w:p w14:paraId="2A922510" w14:textId="6C771056" w:rsidR="0082085F" w:rsidRDefault="00F47989" w:rsidP="00536AB8">
          <w:pPr>
            <w:pStyle w:val="Footer"/>
          </w:pPr>
          <w:r>
            <w:rPr>
              <w:noProof/>
            </w:rPr>
            <mc:AlternateContent>
              <mc:Choice Requires="wps">
                <w:drawing>
                  <wp:anchor distT="0" distB="0" distL="114300" distR="114300" simplePos="0" relativeHeight="251661314" behindDoc="0" locked="0" layoutInCell="0" allowOverlap="1" wp14:anchorId="2EBAB312" wp14:editId="674B5B48">
                    <wp:simplePos x="0" y="0"/>
                    <wp:positionH relativeFrom="page">
                      <wp:posOffset>0</wp:posOffset>
                    </wp:positionH>
                    <wp:positionV relativeFrom="page">
                      <wp:posOffset>10227945</wp:posOffset>
                    </wp:positionV>
                    <wp:extent cx="7560310" cy="192405"/>
                    <wp:effectExtent l="0" t="0" r="2540" b="0"/>
                    <wp:wrapNone/>
                    <wp:docPr id="6" name="MSIPCM72e246048f72377c1666c638" descr="{&quot;HashCode&quot;:-174724769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19240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9A49AB" w14:textId="20923456" w:rsidR="00F47989" w:rsidRPr="00F47989" w:rsidRDefault="00F47989" w:rsidP="00F47989">
                                <w:pPr>
                                  <w:spacing w:after="0"/>
                                  <w:jc w:val="center"/>
                                  <w:rPr>
                                    <w:rFonts w:ascii="Calibri" w:hAnsi="Calibri" w:cs="Calibri"/>
                                    <w:color w:val="000000"/>
                                    <w:sz w:val="24"/>
                                  </w:rPr>
                                </w:pPr>
                                <w:r w:rsidRPr="00F47989">
                                  <w:rPr>
                                    <w:rFonts w:ascii="Calibri" w:hAnsi="Calibri" w:cs="Calibri"/>
                                    <w:color w:val="000000"/>
                                    <w:sz w:val="24"/>
                                  </w:rPr>
                                  <w:t>OFFICIAL-Sensitive</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type w14:anchorId="2EBAB312" id="_x0000_t202" coordsize="21600,21600" o:spt="202" path="m,l,21600r21600,l21600,xe">
                    <v:stroke joinstyle="miter"/>
                    <v:path gradientshapeok="t" o:connecttype="rect"/>
                  </v:shapetype>
                  <v:shape id="MSIPCM72e246048f72377c1666c638" o:spid="_x0000_s1034" type="#_x0000_t202" alt="{&quot;HashCode&quot;:-1747247690,&quot;Height&quot;:841.0,&quot;Width&quot;:595.0,&quot;Placement&quot;:&quot;Footer&quot;,&quot;Index&quot;:&quot;Primary&quot;,&quot;Section&quot;:1,&quot;Top&quot;:0.0,&quot;Left&quot;:0.0}" style="position:absolute;margin-left:0;margin-top:805.35pt;width:595.3pt;height:15.15pt;z-index:25166131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" o:allowincell="f" filled="f" stroked="f" strokeweight=".5pt">
                    <v:fill o:detectmouseclick="t"/>
                    <v:textbox style="mso-fit-shape-to-text:t" inset="0,0,0,0">
                      <w:txbxContent>
                        <w:p w14:paraId="519A49AB" w14:textId="20923456" w:rsidR="00F47989" w:rsidRPr="00F47989" w:rsidRDefault="00F47989" w:rsidP="00F47989">
                          <w:pPr>
                            <w:spacing w:after="0"/>
                            <w:jc w:val="center"/>
                            <w:rPr>
                              <w:rFonts w:ascii="Calibri" w:hAnsi="Calibri" w:cs="Calibri"/>
                              <w:color w:val="000000"/>
                              <w:sz w:val="24"/>
                            </w:rPr>
                          </w:pPr>
                          <w:r w:rsidRPr="00F47989">
                            <w:rPr>
                              <w:rFonts w:ascii="Calibri" w:hAnsi="Calibri" w:cs="Calibri"/>
                              <w:color w:val="000000"/>
                              <w:sz w:val="24"/>
                            </w:rPr>
                            <w:t>OFFICIAL-Sensitive</w:t>
                          </w:r>
                        </w:p>
                      </w:txbxContent>
                    </v:textbox>
                    <w10:wrap anchorx="page" anchory="page"/>
                  </v:shape>
                </w:pict>
              </mc:Fallback>
            </mc:AlternateContent>
          </w:r>
          <w:r w:rsidR="0082085F" w:rsidRPr="006C4F67">
            <w:rPr>
              <w:rStyle w:val="PageNumber"/>
            </w:rPr>
            <w:fldChar w:fldCharType="begin"/>
          </w:r>
          <w:r w:rsidR="0082085F" w:rsidRPr="006C4F67">
            <w:rPr>
              <w:rStyle w:val="PageNumber"/>
            </w:rPr>
            <w:instrText xml:space="preserve"> PAGE</w:instrText>
          </w:r>
          <w:r w:rsidR="0082085F">
            <w:rPr>
              <w:rStyle w:val="PageNumber"/>
            </w:rPr>
            <w:instrText xml:space="preserve"> </w:instrText>
          </w:r>
          <w:r w:rsidR="0082085F" w:rsidRPr="006C4F67">
            <w:rPr>
              <w:rStyle w:val="PageNumber"/>
            </w:rPr>
            <w:fldChar w:fldCharType="separate"/>
          </w:r>
          <w:r w:rsidR="0082085F">
            <w:rPr>
              <w:rStyle w:val="PageNumber"/>
              <w:noProof/>
            </w:rPr>
            <w:t>1</w:t>
          </w:r>
          <w:r w:rsidR="0082085F" w:rsidRPr="006C4F67">
            <w:rPr>
              <w:rStyle w:val="PageNumber"/>
            </w:rPr>
            <w:fldChar w:fldCharType="end"/>
          </w:r>
        </w:p>
      </w:tc>
      <w:tc>
        <w:tcPr>
          <w:tcW w:w="7002" w:type="dxa"/>
          <w:vAlign w:val="bottom"/>
        </w:tcPr>
        <w:p w14:paraId="2A922511" w14:textId="77777777" w:rsidR="0082085F" w:rsidRPr="00904097" w:rsidRDefault="0082085F" w:rsidP="00536AB8">
          <w:pPr>
            <w:pStyle w:val="Footer"/>
            <w:spacing w:line="180" w:lineRule="atLeast"/>
            <w:rPr>
              <w:sz w:val="14"/>
              <w:szCs w:val="14"/>
            </w:rPr>
          </w:pPr>
        </w:p>
      </w:tc>
    </w:tr>
  </w:tbl>
  <w:p w14:paraId="2A922513" w14:textId="77777777" w:rsidR="0082085F" w:rsidRDefault="0082085F" w:rsidP="00536AB8">
    <w:pPr>
      <w:pStyle w:val="Footer"/>
      <w:spacing w:line="14"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0F4B4" w14:textId="33E19AC1" w:rsidR="0082085F" w:rsidRDefault="0082085F">
    <w:pPr>
      <w:pStyle w:val="Footer"/>
    </w:pPr>
  </w:p>
  <w:p w14:paraId="556655C9" w14:textId="77777777" w:rsidR="0082085F" w:rsidRDefault="008208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22518" w14:textId="3DBB86B0" w:rsidR="0082085F" w:rsidRPr="00FD7D79" w:rsidRDefault="004F2A02" w:rsidP="004F2A02">
    <w:pPr>
      <w:pStyle w:val="Footer"/>
      <w:jc w:val="center"/>
    </w:pPr>
    <w:r>
      <w:t>OFFICIAL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20" w:name="_GoBack"/>
  <w:bookmarkEnd w:id="20"/>
  <w:p w14:paraId="2A92251C" w14:textId="656A91DE" w:rsidR="0082085F" w:rsidRDefault="0082085F" w:rsidP="00672300">
    <w:pPr>
      <w:pStyle w:val="Footer"/>
      <w:rPr>
        <w:rStyle w:val="PageNumber"/>
      </w:rP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i</w:t>
    </w:r>
    <w:r w:rsidRPr="006C4F67">
      <w:rPr>
        <w:rStyle w:val="PageNumber"/>
      </w:rPr>
      <w:fldChar w:fldCharType="end"/>
    </w:r>
  </w:p>
  <w:p w14:paraId="49B19248" w14:textId="22EE75FD" w:rsidR="00933177" w:rsidRPr="00672300" w:rsidRDefault="00933177" w:rsidP="00933177">
    <w:pPr>
      <w:pStyle w:val="Footer"/>
      <w:jc w:val="center"/>
    </w:pPr>
    <w:r>
      <w:t>OFFICIAL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A8407" w14:textId="7CC1DC04" w:rsidR="0082085F" w:rsidRDefault="00443623">
    <w:pPr>
      <w:pStyle w:val="Footer"/>
    </w:pPr>
    <w:sdt>
      <w:sdtPr>
        <w:id w:val="119355002"/>
        <w:docPartObj>
          <w:docPartGallery w:val="Page Numbers (Bottom of Page)"/>
          <w:docPartUnique/>
        </w:docPartObj>
      </w:sdtPr>
      <w:sdtEndPr>
        <w:rPr>
          <w:noProof/>
        </w:rPr>
      </w:sdtEndPr>
      <w:sdtContent>
        <w:sdt>
          <w:sdtPr>
            <w:id w:val="1813752523"/>
            <w:docPartObj>
              <w:docPartGallery w:val="Page Numbers (Bottom of Page)"/>
              <w:docPartUnique/>
            </w:docPartObj>
          </w:sdtPr>
          <w:sdtEndPr>
            <w:rPr>
              <w:noProof/>
            </w:rPr>
          </w:sdtEndPr>
          <w:sdtContent>
            <w:r w:rsidR="0082085F">
              <w:fldChar w:fldCharType="begin"/>
            </w:r>
            <w:r w:rsidR="0082085F">
              <w:instrText xml:space="preserve"> PAGE   \* MERGEFORMAT </w:instrText>
            </w:r>
            <w:r w:rsidR="0082085F">
              <w:fldChar w:fldCharType="separate"/>
            </w:r>
            <w:r w:rsidR="0082085F">
              <w:rPr>
                <w:noProof/>
              </w:rPr>
              <w:t>2</w:t>
            </w:r>
            <w:r w:rsidR="0082085F">
              <w:rPr>
                <w:noProof/>
              </w:rPr>
              <w:fldChar w:fldCharType="end"/>
            </w:r>
          </w:sdtContent>
        </w:sdt>
      </w:sdtContent>
    </w:sdt>
  </w:p>
  <w:p w14:paraId="62600803" w14:textId="4610BCD1" w:rsidR="0082085F" w:rsidRPr="00E50BB2" w:rsidRDefault="00933177" w:rsidP="00933177">
    <w:pPr>
      <w:pStyle w:val="Footer"/>
      <w:jc w:val="center"/>
      <w:rPr>
        <w:rStyle w:val="PageNumber"/>
      </w:rPr>
    </w:pPr>
    <w:r>
      <w:t>OFFICIAL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01691" w14:textId="77777777" w:rsidR="0082085F" w:rsidRDefault="0082085F">
    <w:pPr>
      <w:framePr w:w="1247" w:h="340" w:hSpace="181" w:wrap="around" w:vAnchor="page" w:hAnchor="margin" w:xAlign="center" w:y="14618"/>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B1E6DA6" w14:textId="77777777" w:rsidR="0082085F" w:rsidRDefault="0082085F">
    <w:pPr>
      <w:framePr w:w="6237" w:hSpace="181" w:wrap="around" w:vAnchor="page" w:hAnchor="margin" w:xAlign="center" w:y="14953"/>
      <w:rPr>
        <w:sz w:val="16"/>
      </w:rPr>
    </w:pPr>
  </w:p>
  <w:p w14:paraId="39616341" w14:textId="77777777" w:rsidR="0082085F" w:rsidRDefault="0082085F">
    <w:pPr>
      <w:pStyle w:val="Footer"/>
      <w:pBdr>
        <w:top w:val="single" w:sz="6"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40572" w14:textId="77777777" w:rsidR="00443623" w:rsidRDefault="00443623" w:rsidP="00C702C7">
      <w:pPr>
        <w:spacing w:line="240" w:lineRule="auto"/>
      </w:pPr>
      <w:r>
        <w:separator/>
      </w:r>
    </w:p>
  </w:footnote>
  <w:footnote w:type="continuationSeparator" w:id="0">
    <w:p w14:paraId="02E365F0" w14:textId="77777777" w:rsidR="00443623" w:rsidRDefault="00443623" w:rsidP="00C702C7">
      <w:pPr>
        <w:spacing w:line="240" w:lineRule="auto"/>
      </w:pPr>
      <w:r>
        <w:continuationSeparator/>
      </w:r>
    </w:p>
  </w:footnote>
  <w:footnote w:type="continuationNotice" w:id="1">
    <w:p w14:paraId="35F1DD05" w14:textId="77777777" w:rsidR="00443623" w:rsidRDefault="00443623">
      <w:pPr>
        <w:spacing w:after="0" w:line="240" w:lineRule="auto"/>
      </w:pPr>
    </w:p>
  </w:footnote>
  <w:footnote w:id="2">
    <w:p w14:paraId="77ACC79E" w14:textId="6CFDF1F7" w:rsidR="0082085F" w:rsidRPr="00691E2A" w:rsidRDefault="0082085F" w:rsidP="00C64C1B">
      <w:pPr>
        <w:pStyle w:val="FootnoteText"/>
      </w:pPr>
      <w:r w:rsidRPr="00691E2A">
        <w:rPr>
          <w:rStyle w:val="FootnoteReference"/>
        </w:rPr>
        <w:footnoteRef/>
      </w:r>
      <w:r w:rsidRPr="00691E2A">
        <w:t xml:space="preserve"> The Australian Standard AS/NZS5263.0 defines an open flued appliance as an</w:t>
      </w:r>
      <w:r w:rsidRPr="00691E2A">
        <w:rPr>
          <w:i/>
        </w:rPr>
        <w:t xml:space="preserve"> “indoor appliance designed to be connected to a flue system, its combustion air being drawn from the room or space in which it is installed</w:t>
      </w:r>
      <w:r w:rsidRPr="00691E2A">
        <w:t>.” There is currently no definition in the Australian Standards for a space heater. In this RIS, the term ‘open flued gas space heater’ or ‘OFGSH’ refers to an appliance—</w:t>
      </w:r>
    </w:p>
    <w:p w14:paraId="1F2A70EF" w14:textId="5EE25AF4" w:rsidR="0082085F" w:rsidRPr="00E754EB" w:rsidRDefault="0082085F" w:rsidP="00C64C1B">
      <w:pPr>
        <w:pStyle w:val="FootnoteText"/>
        <w:numPr>
          <w:ilvl w:val="0"/>
          <w:numId w:val="107"/>
        </w:numPr>
      </w:pPr>
      <w:r w:rsidRPr="00691E2A">
        <w:t xml:space="preserve">the function of which is to heat an indoor room or space in which it is installed (through either radiant or convective heat or a combination of both) and which is demonstrated through conformance with </w:t>
      </w:r>
      <w:r w:rsidRPr="00E754EB">
        <w:t>the applicable thermal efficiency requirements of AS/NZS5263.1.3; and</w:t>
      </w:r>
    </w:p>
    <w:p w14:paraId="05AA5C49" w14:textId="77777777" w:rsidR="0082085F" w:rsidRPr="00E754EB" w:rsidRDefault="0082085F" w:rsidP="00C64C1B">
      <w:pPr>
        <w:pStyle w:val="FootnoteText"/>
        <w:numPr>
          <w:ilvl w:val="0"/>
          <w:numId w:val="107"/>
        </w:numPr>
      </w:pPr>
      <w:r w:rsidRPr="00E754EB">
        <w:t>which is designed to be connected to a flue system including chimneys; and</w:t>
      </w:r>
    </w:p>
    <w:p w14:paraId="1A90F9B4" w14:textId="7EBEBDB2" w:rsidR="0082085F" w:rsidRPr="00E754EB" w:rsidRDefault="0082085F">
      <w:pPr>
        <w:pStyle w:val="FootnoteText"/>
        <w:numPr>
          <w:ilvl w:val="0"/>
          <w:numId w:val="107"/>
        </w:numPr>
      </w:pPr>
      <w:r w:rsidRPr="00E754EB">
        <w:t xml:space="preserve">where the combustion air is drawn from the room or space in which it is installed. </w:t>
      </w:r>
    </w:p>
    <w:p w14:paraId="331206EA" w14:textId="1394D0E3" w:rsidR="0082085F" w:rsidRPr="00E754EB" w:rsidRDefault="0082085F" w:rsidP="00530A10">
      <w:pPr>
        <w:pStyle w:val="ESVBody"/>
        <w:spacing w:after="0" w:line="0" w:lineRule="atLeast"/>
        <w:rPr>
          <w:rFonts w:asciiTheme="minorHAnsi" w:hAnsiTheme="minorHAnsi"/>
          <w:sz w:val="16"/>
          <w:szCs w:val="16"/>
        </w:rPr>
      </w:pPr>
      <w:r w:rsidRPr="00E754EB">
        <w:rPr>
          <w:rFonts w:asciiTheme="minorHAnsi" w:hAnsiTheme="minorHAnsi"/>
          <w:sz w:val="16"/>
        </w:rPr>
        <w:t xml:space="preserve">Furthermore, fan </w:t>
      </w:r>
      <w:r w:rsidRPr="00E754EB">
        <w:rPr>
          <w:rFonts w:asciiTheme="minorHAnsi" w:hAnsiTheme="minorHAnsi"/>
          <w:sz w:val="16"/>
          <w:szCs w:val="16"/>
        </w:rPr>
        <w:t>assisted open flue</w:t>
      </w:r>
      <w:r>
        <w:rPr>
          <w:rFonts w:asciiTheme="minorHAnsi" w:hAnsiTheme="minorHAnsi"/>
          <w:sz w:val="16"/>
          <w:szCs w:val="16"/>
        </w:rPr>
        <w:t>d</w:t>
      </w:r>
      <w:r w:rsidRPr="00E754EB">
        <w:rPr>
          <w:rFonts w:asciiTheme="minorHAnsi" w:hAnsiTheme="minorHAnsi"/>
          <w:sz w:val="16"/>
          <w:szCs w:val="16"/>
        </w:rPr>
        <w:t xml:space="preserve"> gas space heaters with all the following attributes are exempt from the scope of the definition and not</w:t>
      </w:r>
      <w:r w:rsidRPr="000276F0">
        <w:rPr>
          <w:rFonts w:asciiTheme="minorHAnsi" w:hAnsiTheme="minorHAnsi"/>
          <w:sz w:val="16"/>
          <w:szCs w:val="16"/>
        </w:rPr>
        <w:t xml:space="preserve"> the</w:t>
      </w:r>
      <w:r w:rsidRPr="00E754EB">
        <w:rPr>
          <w:rFonts w:asciiTheme="minorHAnsi" w:hAnsiTheme="minorHAnsi"/>
          <w:sz w:val="16"/>
          <w:szCs w:val="16"/>
        </w:rPr>
        <w:t xml:space="preserve"> subject </w:t>
      </w:r>
      <w:r w:rsidRPr="000276F0">
        <w:rPr>
          <w:rFonts w:asciiTheme="minorHAnsi" w:hAnsiTheme="minorHAnsi"/>
          <w:sz w:val="16"/>
          <w:szCs w:val="16"/>
        </w:rPr>
        <w:t>of</w:t>
      </w:r>
      <w:r w:rsidRPr="00E754EB">
        <w:rPr>
          <w:rFonts w:asciiTheme="minorHAnsi" w:hAnsiTheme="minorHAnsi"/>
          <w:sz w:val="16"/>
          <w:szCs w:val="16"/>
        </w:rPr>
        <w:t xml:space="preserve"> th</w:t>
      </w:r>
      <w:r w:rsidRPr="000276F0">
        <w:rPr>
          <w:rFonts w:asciiTheme="minorHAnsi" w:hAnsiTheme="minorHAnsi"/>
          <w:sz w:val="16"/>
          <w:szCs w:val="16"/>
        </w:rPr>
        <w:t>is</w:t>
      </w:r>
      <w:r w:rsidRPr="00E754EB">
        <w:rPr>
          <w:rFonts w:asciiTheme="minorHAnsi" w:hAnsiTheme="minorHAnsi"/>
          <w:sz w:val="16"/>
          <w:szCs w:val="16"/>
        </w:rPr>
        <w:t xml:space="preserve"> RIS.</w:t>
      </w:r>
    </w:p>
    <w:p w14:paraId="55A01B3E" w14:textId="77777777" w:rsidR="0082085F" w:rsidRPr="00E754EB" w:rsidRDefault="0082085F" w:rsidP="00530A10">
      <w:pPr>
        <w:pStyle w:val="ESVBody"/>
        <w:numPr>
          <w:ilvl w:val="0"/>
          <w:numId w:val="158"/>
        </w:numPr>
        <w:spacing w:after="0" w:line="0" w:lineRule="atLeast"/>
        <w:ind w:hanging="357"/>
        <w:rPr>
          <w:rFonts w:asciiTheme="minorHAnsi" w:hAnsiTheme="minorHAnsi"/>
          <w:sz w:val="16"/>
          <w:szCs w:val="16"/>
        </w:rPr>
      </w:pPr>
      <w:r w:rsidRPr="00E754EB">
        <w:rPr>
          <w:rFonts w:asciiTheme="minorHAnsi" w:hAnsiTheme="minorHAnsi"/>
          <w:sz w:val="16"/>
          <w:szCs w:val="16"/>
        </w:rPr>
        <w:t>The burner shall only operate while the combustion fan is functioning; and</w:t>
      </w:r>
    </w:p>
    <w:p w14:paraId="7A420A5D" w14:textId="77777777" w:rsidR="0082085F" w:rsidRPr="00E754EB" w:rsidRDefault="0082085F" w:rsidP="00530A10">
      <w:pPr>
        <w:pStyle w:val="ESVBody"/>
        <w:numPr>
          <w:ilvl w:val="0"/>
          <w:numId w:val="158"/>
        </w:numPr>
        <w:spacing w:after="0" w:line="0" w:lineRule="atLeast"/>
        <w:ind w:hanging="357"/>
        <w:rPr>
          <w:rFonts w:asciiTheme="minorHAnsi" w:hAnsiTheme="minorHAnsi"/>
          <w:sz w:val="16"/>
          <w:szCs w:val="16"/>
        </w:rPr>
      </w:pPr>
      <w:r w:rsidRPr="00E754EB">
        <w:rPr>
          <w:rFonts w:asciiTheme="minorHAnsi" w:hAnsiTheme="minorHAnsi"/>
          <w:sz w:val="16"/>
          <w:szCs w:val="16"/>
        </w:rPr>
        <w:t>The appliance incorporates a fail-safe interlock that will:</w:t>
      </w:r>
    </w:p>
    <w:p w14:paraId="529480C1" w14:textId="77777777" w:rsidR="0082085F" w:rsidRPr="00E754EB" w:rsidRDefault="0082085F" w:rsidP="00530A10">
      <w:pPr>
        <w:pStyle w:val="ESVBody"/>
        <w:numPr>
          <w:ilvl w:val="0"/>
          <w:numId w:val="159"/>
        </w:numPr>
        <w:spacing w:after="0" w:line="0" w:lineRule="atLeast"/>
        <w:ind w:hanging="357"/>
        <w:rPr>
          <w:rFonts w:asciiTheme="minorHAnsi" w:hAnsiTheme="minorHAnsi"/>
          <w:sz w:val="16"/>
          <w:szCs w:val="16"/>
        </w:rPr>
      </w:pPr>
      <w:r w:rsidRPr="00E754EB">
        <w:rPr>
          <w:rFonts w:asciiTheme="minorHAnsi" w:hAnsiTheme="minorHAnsi"/>
          <w:sz w:val="16"/>
          <w:szCs w:val="16"/>
        </w:rPr>
        <w:t>shut down the appliance before the appliance has been operating for 15 minutes under either negative pressure or blocked flue conditions or both.</w:t>
      </w:r>
    </w:p>
    <w:p w14:paraId="261C4667" w14:textId="77777777" w:rsidR="0082085F" w:rsidRPr="00E754EB" w:rsidRDefault="0082085F" w:rsidP="00530A10">
      <w:pPr>
        <w:pStyle w:val="ESVBody"/>
        <w:numPr>
          <w:ilvl w:val="0"/>
          <w:numId w:val="159"/>
        </w:numPr>
        <w:spacing w:after="0" w:line="0" w:lineRule="atLeast"/>
        <w:ind w:hanging="357"/>
        <w:rPr>
          <w:rFonts w:asciiTheme="minorHAnsi" w:hAnsiTheme="minorHAnsi"/>
          <w:sz w:val="16"/>
          <w:szCs w:val="16"/>
        </w:rPr>
      </w:pPr>
      <w:r w:rsidRPr="00E754EB">
        <w:rPr>
          <w:rFonts w:asciiTheme="minorHAnsi" w:hAnsiTheme="minorHAnsi"/>
          <w:sz w:val="16"/>
          <w:szCs w:val="16"/>
        </w:rPr>
        <w:t>in the event of a shut-down, not allow the appliance to automatically reset and any manual reset shall only be accessed by the use of a tool; and</w:t>
      </w:r>
    </w:p>
    <w:p w14:paraId="02B9EFE4" w14:textId="77777777" w:rsidR="0082085F" w:rsidRPr="00E754EB" w:rsidRDefault="0082085F" w:rsidP="00530A10">
      <w:pPr>
        <w:pStyle w:val="ESVBody"/>
        <w:numPr>
          <w:ilvl w:val="0"/>
          <w:numId w:val="158"/>
        </w:numPr>
        <w:spacing w:after="0" w:line="0" w:lineRule="atLeast"/>
        <w:ind w:hanging="357"/>
        <w:rPr>
          <w:rFonts w:asciiTheme="minorHAnsi" w:hAnsiTheme="minorHAnsi"/>
          <w:sz w:val="16"/>
          <w:szCs w:val="16"/>
        </w:rPr>
      </w:pPr>
      <w:r w:rsidRPr="00E754EB">
        <w:rPr>
          <w:rFonts w:asciiTheme="minorHAnsi" w:hAnsiTheme="minorHAnsi"/>
          <w:sz w:val="16"/>
          <w:szCs w:val="16"/>
        </w:rPr>
        <w:t>The CO/CO</w:t>
      </w:r>
      <w:r w:rsidRPr="00E754EB">
        <w:rPr>
          <w:rFonts w:asciiTheme="minorHAnsi" w:hAnsiTheme="minorHAnsi"/>
          <w:sz w:val="16"/>
          <w:szCs w:val="16"/>
          <w:vertAlign w:val="subscript"/>
        </w:rPr>
        <w:t>2</w:t>
      </w:r>
      <w:r w:rsidRPr="00E754EB">
        <w:rPr>
          <w:rFonts w:asciiTheme="minorHAnsi" w:hAnsiTheme="minorHAnsi"/>
          <w:sz w:val="16"/>
          <w:szCs w:val="16"/>
        </w:rPr>
        <w:t xml:space="preserve"> ratio of carbon monoxide to carbon dioxide in the combustion products does not exceed 0.02 after 10 minutes of operation under any operating condition; and</w:t>
      </w:r>
    </w:p>
    <w:p w14:paraId="76804CDF" w14:textId="4F1E3E46" w:rsidR="0082085F" w:rsidRPr="000276F0" w:rsidRDefault="0082085F" w:rsidP="00530A10">
      <w:pPr>
        <w:pStyle w:val="ESVBody"/>
        <w:numPr>
          <w:ilvl w:val="0"/>
          <w:numId w:val="158"/>
        </w:numPr>
        <w:spacing w:after="0" w:line="0" w:lineRule="atLeast"/>
        <w:ind w:hanging="357"/>
        <w:rPr>
          <w:rFonts w:asciiTheme="minorHAnsi" w:hAnsiTheme="minorHAnsi"/>
          <w:sz w:val="16"/>
          <w:szCs w:val="16"/>
        </w:rPr>
      </w:pPr>
      <w:r w:rsidRPr="00E754EB">
        <w:rPr>
          <w:rFonts w:asciiTheme="minorHAnsi" w:hAnsiTheme="minorHAnsi"/>
          <w:sz w:val="16"/>
          <w:szCs w:val="16"/>
        </w:rPr>
        <w:t xml:space="preserve">When testing for operation of the fail-safe interlock under negative pressure conditions the CO concentration in the test room or extraction system does not exceed </w:t>
      </w:r>
      <w:r w:rsidRPr="000276F0">
        <w:rPr>
          <w:rFonts w:asciiTheme="minorHAnsi" w:hAnsiTheme="minorHAnsi"/>
          <w:sz w:val="16"/>
          <w:szCs w:val="16"/>
        </w:rPr>
        <w:t>150ppm.</w:t>
      </w:r>
    </w:p>
    <w:p w14:paraId="0B27009E" w14:textId="78278126" w:rsidR="0082085F" w:rsidRPr="00DA0E5F" w:rsidRDefault="0082085F" w:rsidP="00C00261">
      <w:pPr>
        <w:pStyle w:val="FootnoteText"/>
      </w:pPr>
      <w:r w:rsidRPr="00691E2A">
        <w:t xml:space="preserve">Other open flued appliances, such as ducted heaters, decorative effect appliances (where </w:t>
      </w:r>
      <w:r>
        <w:t>only</w:t>
      </w:r>
      <w:r w:rsidRPr="00691E2A">
        <w:t xml:space="preserve"> decorative) and water heaters </w:t>
      </w:r>
      <w:r>
        <w:t>are also not included</w:t>
      </w:r>
      <w:r w:rsidRPr="00691E2A">
        <w:t>.</w:t>
      </w:r>
      <w:r w:rsidRPr="00680A32">
        <w:t xml:space="preserve"> </w:t>
      </w:r>
    </w:p>
  </w:footnote>
  <w:footnote w:id="3">
    <w:p w14:paraId="33200C66" w14:textId="79C4A180" w:rsidR="0082085F" w:rsidRPr="002C7521" w:rsidRDefault="0082085F">
      <w:pPr>
        <w:pStyle w:val="FootnoteText"/>
      </w:pPr>
      <w:r w:rsidRPr="00680A32">
        <w:rPr>
          <w:rStyle w:val="FootnoteReference"/>
        </w:rPr>
        <w:footnoteRef/>
      </w:r>
      <w:r w:rsidRPr="00680A32">
        <w:t xml:space="preserve"> Negative pressure arises when the indoor atmospheric pressure is lower than the outside atmospheric pressure. This can c</w:t>
      </w:r>
      <w:r w:rsidRPr="00DA0E5F">
        <w:t>au</w:t>
      </w:r>
      <w:r w:rsidRPr="005D323C">
        <w:t>se toxic combustion by-products (including CO) to be drawn into the home, rather than expelled through the flue as intended.</w:t>
      </w:r>
    </w:p>
  </w:footnote>
  <w:footnote w:id="4">
    <w:p w14:paraId="739FB0B1" w14:textId="1E927ADB" w:rsidR="0082085F" w:rsidRDefault="0082085F">
      <w:pPr>
        <w:pStyle w:val="FootnoteText"/>
      </w:pPr>
      <w:r>
        <w:rPr>
          <w:rStyle w:val="FootnoteReference"/>
        </w:rPr>
        <w:footnoteRef/>
      </w:r>
      <w:r>
        <w:t xml:space="preserve"> The Department is not aware of any deaths attributable to this cause, which occurred prior to 2010.</w:t>
      </w:r>
    </w:p>
  </w:footnote>
  <w:footnote w:id="5">
    <w:p w14:paraId="78346052" w14:textId="4B5F4A16" w:rsidR="0082085F" w:rsidRDefault="0082085F">
      <w:pPr>
        <w:pStyle w:val="FootnoteText"/>
      </w:pPr>
      <w:r>
        <w:rPr>
          <w:rStyle w:val="FootnoteReference"/>
        </w:rPr>
        <w:footnoteRef/>
      </w:r>
      <w:r>
        <w:t xml:space="preserve"> For more information please refer to the following sources: </w:t>
      </w:r>
      <w:r w:rsidRPr="006B5815">
        <w:rPr>
          <w:rFonts w:asciiTheme="majorHAnsi" w:hAnsiTheme="majorHAnsi"/>
        </w:rPr>
        <w:t xml:space="preserve">Coroners Court of Victoria. (2013). </w:t>
      </w:r>
      <w:r w:rsidRPr="00C05212">
        <w:rPr>
          <w:rFonts w:asciiTheme="majorHAnsi" w:hAnsiTheme="majorHAnsi"/>
          <w:i/>
          <w:iCs/>
        </w:rPr>
        <w:t>Inquest into the death of Chase Robinson</w:t>
      </w:r>
      <w:r w:rsidRPr="006B5815">
        <w:rPr>
          <w:rFonts w:asciiTheme="majorHAnsi" w:hAnsiTheme="majorHAnsi"/>
        </w:rPr>
        <w:t xml:space="preserve"> </w:t>
      </w:r>
      <w:r>
        <w:rPr>
          <w:rFonts w:asciiTheme="majorHAnsi" w:hAnsiTheme="majorHAnsi"/>
        </w:rPr>
        <w:t xml:space="preserve">(File no. </w:t>
      </w:r>
      <w:r w:rsidRPr="006B5815">
        <w:rPr>
          <w:rFonts w:asciiTheme="majorHAnsi" w:hAnsiTheme="majorHAnsi"/>
        </w:rPr>
        <w:t>COR 2010</w:t>
      </w:r>
      <w:r>
        <w:rPr>
          <w:rFonts w:asciiTheme="majorHAnsi" w:hAnsiTheme="majorHAnsi"/>
        </w:rPr>
        <w:t>/</w:t>
      </w:r>
      <w:r w:rsidRPr="006B5815">
        <w:rPr>
          <w:rFonts w:asciiTheme="majorHAnsi" w:hAnsiTheme="majorHAnsi"/>
        </w:rPr>
        <w:t>2037</w:t>
      </w:r>
      <w:r>
        <w:rPr>
          <w:rFonts w:asciiTheme="majorHAnsi" w:hAnsiTheme="majorHAnsi"/>
        </w:rPr>
        <w:t xml:space="preserve">), </w:t>
      </w:r>
      <w:r w:rsidRPr="00332104">
        <w:rPr>
          <w:rFonts w:asciiTheme="majorHAnsi" w:hAnsiTheme="majorHAnsi"/>
          <w:i/>
          <w:iCs/>
        </w:rPr>
        <w:t>Inquest into the death of</w:t>
      </w:r>
      <w:r>
        <w:rPr>
          <w:rFonts w:asciiTheme="majorHAnsi" w:hAnsiTheme="majorHAnsi"/>
          <w:i/>
          <w:iCs/>
        </w:rPr>
        <w:t xml:space="preserve"> </w:t>
      </w:r>
      <w:r w:rsidRPr="00C05212">
        <w:rPr>
          <w:rFonts w:asciiTheme="majorHAnsi" w:hAnsiTheme="majorHAnsi"/>
          <w:i/>
          <w:iCs/>
        </w:rPr>
        <w:t>Tyler Robinson</w:t>
      </w:r>
      <w:r>
        <w:rPr>
          <w:rFonts w:asciiTheme="majorHAnsi" w:hAnsiTheme="majorHAnsi"/>
        </w:rPr>
        <w:t xml:space="preserve"> (File no. COR 2010/2038), &amp; </w:t>
      </w:r>
      <w:r w:rsidRPr="00680A32">
        <w:rPr>
          <w:rFonts w:cstheme="minorHAnsi"/>
          <w:szCs w:val="16"/>
        </w:rPr>
        <w:t>Coroners Court</w:t>
      </w:r>
      <w:r>
        <w:rPr>
          <w:rFonts w:cstheme="minorHAnsi"/>
          <w:szCs w:val="16"/>
        </w:rPr>
        <w:t xml:space="preserve"> of Victoria</w:t>
      </w:r>
      <w:r w:rsidRPr="00680A32">
        <w:rPr>
          <w:rFonts w:cstheme="minorHAnsi"/>
          <w:szCs w:val="16"/>
        </w:rPr>
        <w:t xml:space="preserve">. (2018). </w:t>
      </w:r>
      <w:r w:rsidRPr="00DA0E5F">
        <w:rPr>
          <w:rFonts w:cstheme="minorHAnsi"/>
          <w:i/>
          <w:szCs w:val="16"/>
        </w:rPr>
        <w:t>Inquest into the death of Sonia Sofianopoulos</w:t>
      </w:r>
      <w:r w:rsidRPr="00DA0E5F">
        <w:rPr>
          <w:rFonts w:cstheme="minorHAnsi"/>
          <w:szCs w:val="16"/>
        </w:rPr>
        <w:t xml:space="preserve"> (File no. COR 2017/3566).</w:t>
      </w:r>
    </w:p>
  </w:footnote>
  <w:footnote w:id="6">
    <w:p w14:paraId="6806F925" w14:textId="089E867D" w:rsidR="0082085F" w:rsidRPr="00530A10" w:rsidRDefault="0082085F" w:rsidP="009E34C0">
      <w:pPr>
        <w:pStyle w:val="Default"/>
        <w:rPr>
          <w:rFonts w:asciiTheme="majorHAnsi" w:hAnsiTheme="majorHAnsi"/>
          <w:sz w:val="16"/>
          <w:szCs w:val="16"/>
        </w:rPr>
      </w:pPr>
      <w:r w:rsidRPr="00680A32">
        <w:rPr>
          <w:rStyle w:val="FootnoteReference"/>
          <w:rFonts w:ascii="Verdana" w:hAnsi="Verdana"/>
          <w:sz w:val="16"/>
          <w:szCs w:val="16"/>
        </w:rPr>
        <w:footnoteRef/>
      </w:r>
      <w:r w:rsidRPr="00680A32">
        <w:rPr>
          <w:rFonts w:ascii="Verdana" w:hAnsi="Verdana" w:cstheme="minorHAnsi"/>
          <w:sz w:val="16"/>
          <w:szCs w:val="16"/>
        </w:rPr>
        <w:t xml:space="preserve"> Coroners Court</w:t>
      </w:r>
      <w:r>
        <w:rPr>
          <w:rFonts w:ascii="Verdana" w:hAnsi="Verdana" w:cstheme="minorHAnsi"/>
          <w:sz w:val="16"/>
          <w:szCs w:val="16"/>
        </w:rPr>
        <w:t xml:space="preserve"> of Victoria</w:t>
      </w:r>
      <w:r w:rsidRPr="00680A32">
        <w:rPr>
          <w:rFonts w:ascii="Verdana" w:hAnsi="Verdana" w:cstheme="minorHAnsi"/>
          <w:sz w:val="16"/>
          <w:szCs w:val="16"/>
        </w:rPr>
        <w:t xml:space="preserve">. (2018). </w:t>
      </w:r>
      <w:r w:rsidRPr="00DA0E5F">
        <w:rPr>
          <w:rFonts w:ascii="Verdana" w:hAnsi="Verdana" w:cstheme="minorHAnsi"/>
          <w:i/>
          <w:sz w:val="16"/>
          <w:szCs w:val="16"/>
        </w:rPr>
        <w:t>Inquest into the death of Sonia Sofianopoulos</w:t>
      </w:r>
      <w:r w:rsidRPr="00DA0E5F">
        <w:rPr>
          <w:rFonts w:ascii="Verdana" w:hAnsi="Verdana" w:cstheme="minorHAnsi"/>
          <w:sz w:val="16"/>
          <w:szCs w:val="16"/>
        </w:rPr>
        <w:t xml:space="preserve"> (File no. COR 2017/3566).</w:t>
      </w:r>
    </w:p>
  </w:footnote>
  <w:footnote w:id="7">
    <w:p w14:paraId="3AE51ED8" w14:textId="4E3533BD" w:rsidR="0082085F" w:rsidRDefault="0082085F" w:rsidP="005B796A">
      <w:pPr>
        <w:pStyle w:val="FootnoteText"/>
      </w:pPr>
      <w:r>
        <w:rPr>
          <w:rStyle w:val="FootnoteReference"/>
        </w:rPr>
        <w:footnoteRef/>
      </w:r>
      <w:r>
        <w:t xml:space="preserve"> Lily D’Ambrosio. (2020). </w:t>
      </w:r>
      <w:r w:rsidRPr="0053515D">
        <w:t>Helping Victorians Pay Their Power Bills</w:t>
      </w:r>
      <w:r>
        <w:t xml:space="preserve">. </w:t>
      </w:r>
      <w:r w:rsidRPr="00B256A4">
        <w:rPr>
          <w:szCs w:val="16"/>
        </w:rPr>
        <w:t>Accessed at:</w:t>
      </w:r>
      <w:r w:rsidRPr="00FD0072">
        <w:t xml:space="preserve"> </w:t>
      </w:r>
      <w:hyperlink r:id="rId1" w:history="1">
        <w:r w:rsidR="000566C8" w:rsidRPr="005702B0">
          <w:rPr>
            <w:rStyle w:val="Hyperlink"/>
            <w:szCs w:val="16"/>
          </w:rPr>
          <w:t>https://www.lilydambrosio.com.au/media-releases/helping-victorians-pay-their-power-bills/</w:t>
        </w:r>
      </w:hyperlink>
    </w:p>
  </w:footnote>
  <w:footnote w:id="8">
    <w:p w14:paraId="21543430" w14:textId="508B21AD" w:rsidR="0082085F" w:rsidRPr="0028443C" w:rsidRDefault="0082085F" w:rsidP="00C1629A">
      <w:pPr>
        <w:pStyle w:val="FootnoteText"/>
        <w:rPr>
          <w:szCs w:val="16"/>
        </w:rPr>
      </w:pPr>
      <w:r w:rsidRPr="00541609">
        <w:rPr>
          <w:rStyle w:val="FootnoteReference"/>
          <w:szCs w:val="16"/>
        </w:rPr>
        <w:footnoteRef/>
      </w:r>
      <w:r w:rsidRPr="00541609">
        <w:rPr>
          <w:szCs w:val="16"/>
        </w:rPr>
        <w:t xml:space="preserve"> As at 4 September 2020.</w:t>
      </w:r>
    </w:p>
  </w:footnote>
  <w:footnote w:id="9">
    <w:p w14:paraId="2AC60154" w14:textId="77777777" w:rsidR="0082085F" w:rsidRDefault="0082085F" w:rsidP="00785CA0">
      <w:pPr>
        <w:pStyle w:val="FootnoteText"/>
      </w:pPr>
      <w:r>
        <w:rPr>
          <w:rStyle w:val="FootnoteReference"/>
        </w:rPr>
        <w:footnoteRef/>
      </w:r>
      <w:r>
        <w:t xml:space="preserve"> </w:t>
      </w:r>
      <w:r>
        <w:rPr>
          <w:rFonts w:asciiTheme="minorHAnsi" w:eastAsiaTheme="minorEastAsia" w:hAnsi="Arial"/>
          <w:color w:val="000000" w:themeColor="dark1"/>
          <w:kern w:val="24"/>
          <w:szCs w:val="16"/>
        </w:rPr>
        <w:t>Industry has indicated it is unlikely any new OFGSHs would be developed under the revised standards.</w:t>
      </w:r>
    </w:p>
  </w:footnote>
  <w:footnote w:id="10">
    <w:p w14:paraId="560FF9B1" w14:textId="6BF5C31C" w:rsidR="0082085F" w:rsidRDefault="0082085F">
      <w:pPr>
        <w:pStyle w:val="FootnoteText"/>
      </w:pPr>
      <w:r>
        <w:rPr>
          <w:rStyle w:val="FootnoteReference"/>
        </w:rPr>
        <w:footnoteRef/>
      </w:r>
      <w:r>
        <w:t xml:space="preserve"> The normal timeline standards-based approach is discussed further in Chapter 3 as an option considered but not progressed.</w:t>
      </w:r>
    </w:p>
  </w:footnote>
  <w:footnote w:id="11">
    <w:p w14:paraId="6227231E" w14:textId="5A277D13" w:rsidR="0082085F" w:rsidRDefault="0082085F" w:rsidP="00101768">
      <w:pPr>
        <w:pStyle w:val="FootnoteText"/>
      </w:pPr>
      <w:r>
        <w:rPr>
          <w:rStyle w:val="FootnoteReference"/>
        </w:rPr>
        <w:footnoteRef/>
      </w:r>
      <w:r>
        <w:t xml:space="preserve"> Note </w:t>
      </w:r>
      <w:r w:rsidRPr="00785CA0">
        <w:t>industry has made a strong commitment to the process and ESV has provided its support for issuing a GTRC Technical Guidance Bulletin.</w:t>
      </w:r>
      <w:r>
        <w:t xml:space="preserve"> In fact, industry is </w:t>
      </w:r>
      <w:r w:rsidRPr="00785CA0">
        <w:t xml:space="preserve">expected to progress </w:t>
      </w:r>
      <w:r>
        <w:t xml:space="preserve">the development of amended standards </w:t>
      </w:r>
      <w:r w:rsidRPr="00785CA0">
        <w:t>regardless of the Victorian Government’s decision on new regulations</w:t>
      </w:r>
      <w:r w:rsidR="4032E5C1" w:rsidRPr="00785CA0">
        <w:t>. However</w:t>
      </w:r>
      <w:r w:rsidR="007307F2">
        <w:t>,</w:t>
      </w:r>
      <w:r w:rsidR="4032E5C1" w:rsidRPr="00785CA0">
        <w:t xml:space="preserve"> this</w:t>
      </w:r>
      <w:r w:rsidRPr="00785CA0">
        <w:t xml:space="preserve"> is not being assessed as part of the Base Case </w:t>
      </w:r>
      <w:r w:rsidR="4032E5C1" w:rsidRPr="00785CA0">
        <w:t xml:space="preserve">as </w:t>
      </w:r>
      <w:r w:rsidRPr="00785CA0">
        <w:t xml:space="preserve">it is still to be finalised and </w:t>
      </w:r>
      <w:r w:rsidR="0059678C" w:rsidRPr="00785CA0">
        <w:t>was not</w:t>
      </w:r>
      <w:r w:rsidRPr="00785CA0">
        <w:t xml:space="preserve"> in progress until mid-way through the RIS process.</w:t>
      </w:r>
    </w:p>
  </w:footnote>
  <w:footnote w:id="12">
    <w:p w14:paraId="7A453CF2" w14:textId="77777777" w:rsidR="0082085F" w:rsidRDefault="0082085F" w:rsidP="005838A1">
      <w:pPr>
        <w:pStyle w:val="FootnoteText"/>
      </w:pPr>
      <w:r>
        <w:rPr>
          <w:rStyle w:val="FootnoteReference"/>
        </w:rPr>
        <w:footnoteRef/>
      </w:r>
      <w:r>
        <w:t xml:space="preserve"> Like smoke alarms, CO alarms may either be hard-wired to the mains electricity supply or battery operated, with some models incorporating a 10-year lithium battery.</w:t>
      </w:r>
    </w:p>
  </w:footnote>
  <w:footnote w:id="13">
    <w:p w14:paraId="79B01077" w14:textId="5C2FB830" w:rsidR="0082085F" w:rsidRPr="009D0C28" w:rsidRDefault="0082085F" w:rsidP="009D0C28">
      <w:pPr>
        <w:pStyle w:val="FootnoteText"/>
        <w:rPr>
          <w:lang w:val="en-US"/>
        </w:rPr>
      </w:pPr>
      <w:r>
        <w:rPr>
          <w:rStyle w:val="FootnoteReference"/>
        </w:rPr>
        <w:footnoteRef/>
      </w:r>
      <w:r>
        <w:t xml:space="preserve"> </w:t>
      </w:r>
      <w:r w:rsidRPr="009D0C28">
        <w:rPr>
          <w:lang w:val="en-US"/>
        </w:rPr>
        <w:t>A compliance certificate must be given for:</w:t>
      </w:r>
    </w:p>
    <w:p w14:paraId="727491B9" w14:textId="132CE969" w:rsidR="0082085F" w:rsidRPr="009D0C28" w:rsidRDefault="0082085F" w:rsidP="009D0C28">
      <w:pPr>
        <w:pStyle w:val="FootnoteText"/>
        <w:numPr>
          <w:ilvl w:val="0"/>
          <w:numId w:val="225"/>
        </w:numPr>
        <w:rPr>
          <w:lang w:val="en-US"/>
        </w:rPr>
      </w:pPr>
      <w:r w:rsidRPr="009D0C28">
        <w:rPr>
          <w:lang w:val="en-US"/>
        </w:rPr>
        <w:t>any plumbing work with a total value of $750 or more (includes labour and parts</w:t>
      </w:r>
      <w:r w:rsidR="4032E5C1" w:rsidRPr="4032E5C1">
        <w:rPr>
          <w:lang w:val="en-US"/>
        </w:rPr>
        <w:t>);</w:t>
      </w:r>
      <w:r w:rsidRPr="009D0C28">
        <w:rPr>
          <w:lang w:val="en-US"/>
        </w:rPr>
        <w:t xml:space="preserve">  </w:t>
      </w:r>
    </w:p>
    <w:p w14:paraId="7D076701" w14:textId="3D030D6D" w:rsidR="0082085F" w:rsidRPr="009D0C28" w:rsidRDefault="0082085F" w:rsidP="009D0C28">
      <w:pPr>
        <w:pStyle w:val="FootnoteText"/>
        <w:numPr>
          <w:ilvl w:val="0"/>
          <w:numId w:val="225"/>
        </w:numPr>
        <w:rPr>
          <w:lang w:val="en-US"/>
        </w:rPr>
      </w:pPr>
      <w:r w:rsidRPr="009D0C28">
        <w:rPr>
          <w:lang w:val="en-US"/>
        </w:rPr>
        <w:t>the installation, relocation or replacement of any gas-using appliance</w:t>
      </w:r>
      <w:r w:rsidR="4032E5C1" w:rsidRPr="4032E5C1">
        <w:rPr>
          <w:lang w:val="en-US"/>
        </w:rPr>
        <w:t>;</w:t>
      </w:r>
    </w:p>
    <w:p w14:paraId="20079ADC" w14:textId="7E56383A" w:rsidR="0082085F" w:rsidRPr="009D0C28" w:rsidRDefault="0082085F" w:rsidP="009D0C28">
      <w:pPr>
        <w:pStyle w:val="FootnoteText"/>
        <w:numPr>
          <w:ilvl w:val="0"/>
          <w:numId w:val="225"/>
        </w:numPr>
        <w:rPr>
          <w:lang w:val="en-US"/>
        </w:rPr>
      </w:pPr>
      <w:r w:rsidRPr="009D0C28">
        <w:rPr>
          <w:lang w:val="en-US"/>
        </w:rPr>
        <w:t>the conversion of a gas-using appliance for use with a different gaseous fuel</w:t>
      </w:r>
      <w:r w:rsidR="4032E5C1" w:rsidRPr="4032E5C1">
        <w:rPr>
          <w:lang w:val="en-US"/>
        </w:rPr>
        <w:t>;</w:t>
      </w:r>
    </w:p>
    <w:p w14:paraId="5ECCA962" w14:textId="3926F5D9" w:rsidR="0082085F" w:rsidRPr="009D0C28" w:rsidRDefault="0082085F" w:rsidP="009D0C28">
      <w:pPr>
        <w:pStyle w:val="FootnoteText"/>
        <w:numPr>
          <w:ilvl w:val="0"/>
          <w:numId w:val="225"/>
        </w:numPr>
        <w:rPr>
          <w:lang w:val="en-US"/>
        </w:rPr>
      </w:pPr>
      <w:r w:rsidRPr="009D0C28">
        <w:rPr>
          <w:lang w:val="en-US"/>
        </w:rPr>
        <w:t xml:space="preserve">the installation, modification or relocation of consumer gas piping (other than work that is carried out on consumer gas piping by, or on behalf of, a gas company and that is incidental to the modification of the gas company's assets under the provisions of an accepted safety case under the </w:t>
      </w:r>
      <w:r>
        <w:t>GS Act</w:t>
      </w:r>
      <w:r w:rsidRPr="009D0C28">
        <w:rPr>
          <w:lang w:val="en-US"/>
        </w:rPr>
        <w:t>)</w:t>
      </w:r>
      <w:r w:rsidR="4032E5C1" w:rsidRPr="4032E5C1">
        <w:rPr>
          <w:lang w:val="en-US"/>
        </w:rPr>
        <w:t>;</w:t>
      </w:r>
      <w:r w:rsidRPr="009D0C28">
        <w:rPr>
          <w:lang w:val="en-US"/>
        </w:rPr>
        <w:t xml:space="preserve"> </w:t>
      </w:r>
    </w:p>
    <w:p w14:paraId="6C8B0F08" w14:textId="68AABE62" w:rsidR="0082085F" w:rsidRPr="009D0C28" w:rsidRDefault="0082085F" w:rsidP="009D0C28">
      <w:pPr>
        <w:pStyle w:val="FootnoteText"/>
        <w:numPr>
          <w:ilvl w:val="0"/>
          <w:numId w:val="225"/>
        </w:numPr>
        <w:rPr>
          <w:lang w:val="en-US"/>
        </w:rPr>
      </w:pPr>
      <w:r w:rsidRPr="009D0C28">
        <w:rPr>
          <w:lang w:val="en-US"/>
        </w:rPr>
        <w:t xml:space="preserve">the construction, installation or alteration of any below ground sanitary drain or associated </w:t>
      </w:r>
      <w:r w:rsidR="00FF205F" w:rsidRPr="009D0C28">
        <w:rPr>
          <w:lang w:val="en-US"/>
        </w:rPr>
        <w:t>gullies</w:t>
      </w:r>
      <w:r w:rsidR="00FF205F" w:rsidRPr="4032E5C1">
        <w:rPr>
          <w:lang w:val="en-US"/>
        </w:rPr>
        <w:t xml:space="preserve">; </w:t>
      </w:r>
      <w:r w:rsidR="00FF205F" w:rsidRPr="009D0C28">
        <w:rPr>
          <w:lang w:val="en-US"/>
        </w:rPr>
        <w:t>and</w:t>
      </w:r>
    </w:p>
    <w:p w14:paraId="2DCC9E78" w14:textId="77777777" w:rsidR="0082085F" w:rsidRPr="009D0C28" w:rsidRDefault="0082085F" w:rsidP="009D0C28">
      <w:pPr>
        <w:pStyle w:val="FootnoteText"/>
        <w:numPr>
          <w:ilvl w:val="0"/>
          <w:numId w:val="225"/>
        </w:numPr>
        <w:rPr>
          <w:lang w:val="en-US"/>
        </w:rPr>
      </w:pPr>
      <w:r w:rsidRPr="009D0C28">
        <w:rPr>
          <w:lang w:val="en-US"/>
        </w:rPr>
        <w:t>the construction, installation, alteration, relocation or replacement of a cooling tower or of any other part of a cooling tower system (including the installation or replacement of any associated device or equipment).</w:t>
      </w:r>
    </w:p>
    <w:p w14:paraId="0A58CB73" w14:textId="1DE81F1D" w:rsidR="0082085F" w:rsidRPr="009D0C28" w:rsidRDefault="0082085F">
      <w:pPr>
        <w:pStyle w:val="FootnoteText"/>
        <w:rPr>
          <w:lang w:val="en-US"/>
        </w:rPr>
      </w:pPr>
    </w:p>
  </w:footnote>
  <w:footnote w:id="14">
    <w:p w14:paraId="243A1AAB" w14:textId="6F5CF50E" w:rsidR="0082085F" w:rsidRDefault="0082085F" w:rsidP="00BF5018">
      <w:pPr>
        <w:pStyle w:val="FootnoteText"/>
      </w:pPr>
      <w:r>
        <w:rPr>
          <w:rStyle w:val="FootnoteReference"/>
        </w:rPr>
        <w:footnoteRef/>
      </w:r>
      <w:r>
        <w:t xml:space="preserve"> These include maintaining the affordability of heating for consumers, maintaining consumer confidence in gas and limiting the impacts on industry and better supporting industry transition.</w:t>
      </w:r>
    </w:p>
  </w:footnote>
  <w:footnote w:id="15">
    <w:p w14:paraId="50BF070F" w14:textId="4AC62407" w:rsidR="0082085F" w:rsidRDefault="0082085F" w:rsidP="000276F0">
      <w:pPr>
        <w:pStyle w:val="CommentText"/>
        <w:spacing w:after="0"/>
      </w:pPr>
      <w:r w:rsidRPr="000276F0">
        <w:rPr>
          <w:rStyle w:val="FootnoteReference"/>
          <w:sz w:val="16"/>
          <w:szCs w:val="16"/>
        </w:rPr>
        <w:footnoteRef/>
      </w:r>
      <w:r>
        <w:t xml:space="preserve"> </w:t>
      </w:r>
      <w:r w:rsidRPr="00861045">
        <w:rPr>
          <w:sz w:val="16"/>
        </w:rPr>
        <w:t xml:space="preserve">Defined as </w:t>
      </w:r>
      <w:r>
        <w:rPr>
          <w:sz w:val="16"/>
        </w:rPr>
        <w:t>avoided fatal CO exposures caused by OFGSHs over the course of the modelling period (i.e. 10 years)</w:t>
      </w:r>
      <w:r w:rsidRPr="00861045">
        <w:rPr>
          <w:sz w:val="16"/>
        </w:rPr>
        <w:t>.</w:t>
      </w:r>
    </w:p>
  </w:footnote>
  <w:footnote w:id="16">
    <w:p w14:paraId="187AC21F" w14:textId="6077D554" w:rsidR="0082085F" w:rsidRDefault="0082085F">
      <w:pPr>
        <w:pStyle w:val="FootnoteText"/>
      </w:pPr>
      <w:r>
        <w:rPr>
          <w:rStyle w:val="FootnoteReference"/>
        </w:rPr>
        <w:footnoteRef/>
      </w:r>
      <w:r>
        <w:t xml:space="preserve"> </w:t>
      </w:r>
      <w:r w:rsidRPr="00861045">
        <w:t xml:space="preserve">CO exposure resulting in serious health effects with some health consequences that do not resolve completely </w:t>
      </w:r>
      <w:r>
        <w:t>and</w:t>
      </w:r>
      <w:r w:rsidRPr="00861045">
        <w:t xml:space="preserve"> leave residual non-reversible health impacts.</w:t>
      </w:r>
    </w:p>
  </w:footnote>
  <w:footnote w:id="17">
    <w:p w14:paraId="0A6E2C39" w14:textId="3BC17C2C" w:rsidR="0082085F" w:rsidRDefault="0082085F">
      <w:pPr>
        <w:pStyle w:val="FootnoteText"/>
      </w:pPr>
      <w:r>
        <w:rPr>
          <w:rStyle w:val="FootnoteReference"/>
        </w:rPr>
        <w:footnoteRef/>
      </w:r>
      <w:r>
        <w:t xml:space="preserve"> Defined as </w:t>
      </w:r>
      <w:r w:rsidRPr="002B1F95">
        <w:t>CO exposure resulting in health effects that generally resolve after exposure ceases.</w:t>
      </w:r>
    </w:p>
  </w:footnote>
  <w:footnote w:id="18">
    <w:p w14:paraId="42EEF894" w14:textId="44F9A4D4" w:rsidR="0082085F" w:rsidRDefault="0082085F">
      <w:pPr>
        <w:pStyle w:val="FootnoteText"/>
      </w:pPr>
      <w:r>
        <w:rPr>
          <w:rStyle w:val="FootnoteReference"/>
        </w:rPr>
        <w:footnoteRef/>
      </w:r>
      <w:r>
        <w:t xml:space="preserve"> Neither Option 1 nor Option 2</w:t>
      </w:r>
      <w:r w:rsidRPr="00ED54AA">
        <w:t xml:space="preserve"> affect OFGSHs that have already been installed in Victoria</w:t>
      </w:r>
      <w:r>
        <w:t>.</w:t>
      </w:r>
    </w:p>
  </w:footnote>
  <w:footnote w:id="19">
    <w:p w14:paraId="791F9D13" w14:textId="2E60EF38" w:rsidR="0082085F" w:rsidRDefault="0082085F" w:rsidP="007B1724">
      <w:pPr>
        <w:pStyle w:val="FootnoteText"/>
      </w:pPr>
      <w:r>
        <w:rPr>
          <w:rStyle w:val="FootnoteReference"/>
        </w:rPr>
        <w:footnoteRef/>
      </w:r>
      <w:r>
        <w:t xml:space="preserve"> </w:t>
      </w:r>
      <w:r w:rsidRPr="00015A2F">
        <w:t xml:space="preserve">In 2012, a National Decision RIS (DRIS) was prepared by the Allen Consulting Group </w:t>
      </w:r>
      <w:r>
        <w:t xml:space="preserve">for the Commonwealth Government </w:t>
      </w:r>
      <w:r w:rsidRPr="00015A2F">
        <w:t>to consider a number of approaches to manage the risk of CO poisoning from gas appliances</w:t>
      </w:r>
      <w:r>
        <w:t xml:space="preserve">. </w:t>
      </w:r>
    </w:p>
  </w:footnote>
  <w:footnote w:id="20">
    <w:p w14:paraId="04177893" w14:textId="5ACAE93C" w:rsidR="0082085F" w:rsidRDefault="0082085F">
      <w:pPr>
        <w:pStyle w:val="FootnoteText"/>
      </w:pPr>
      <w:r>
        <w:rPr>
          <w:rStyle w:val="FootnoteReference"/>
        </w:rPr>
        <w:footnoteRef/>
      </w:r>
      <w:r>
        <w:t xml:space="preserve"> Note the </w:t>
      </w:r>
      <w:r w:rsidRPr="003B7894">
        <w:t xml:space="preserve">VBA </w:t>
      </w:r>
      <w:r>
        <w:t xml:space="preserve">will provide </w:t>
      </w:r>
      <w:r w:rsidRPr="003B7894">
        <w:t xml:space="preserve">information to practitioners on </w:t>
      </w:r>
      <w:r>
        <w:t>the</w:t>
      </w:r>
      <w:r w:rsidRPr="003B7894">
        <w:t xml:space="preserve"> </w:t>
      </w:r>
      <w:r>
        <w:t xml:space="preserve">new </w:t>
      </w:r>
      <w:r w:rsidRPr="003B7894">
        <w:t xml:space="preserve">requirements through its communications channels, and </w:t>
      </w:r>
      <w:r>
        <w:t xml:space="preserve">the </w:t>
      </w:r>
      <w:r w:rsidRPr="003B7894">
        <w:t>VBA will monitor and enforce that only appropriately gas certified gas space heaters are installed</w:t>
      </w:r>
      <w:r>
        <w:t>.</w:t>
      </w:r>
    </w:p>
  </w:footnote>
  <w:footnote w:id="21">
    <w:p w14:paraId="179D1D0A" w14:textId="319EBB1F" w:rsidR="0082085F" w:rsidRDefault="0082085F">
      <w:pPr>
        <w:pStyle w:val="FootnoteText"/>
      </w:pPr>
      <w:r>
        <w:rPr>
          <w:rStyle w:val="FootnoteReference"/>
        </w:rPr>
        <w:footnoteRef/>
      </w:r>
      <w:r>
        <w:t xml:space="preserve"> </w:t>
      </w:r>
      <w:r w:rsidRPr="006B5815">
        <w:rPr>
          <w:rFonts w:asciiTheme="majorHAnsi" w:hAnsiTheme="majorHAnsi"/>
        </w:rPr>
        <w:t xml:space="preserve">Coroners Court of Victoria. (2013). </w:t>
      </w:r>
      <w:r w:rsidRPr="00C05212">
        <w:rPr>
          <w:rFonts w:asciiTheme="majorHAnsi" w:hAnsiTheme="majorHAnsi"/>
          <w:i/>
        </w:rPr>
        <w:t>Inquest into the death of: Chase Robinson</w:t>
      </w:r>
      <w:r w:rsidRPr="006B5815">
        <w:rPr>
          <w:rFonts w:asciiTheme="majorHAnsi" w:hAnsiTheme="majorHAnsi"/>
        </w:rPr>
        <w:t xml:space="preserve"> </w:t>
      </w:r>
      <w:r>
        <w:rPr>
          <w:rFonts w:asciiTheme="majorHAnsi" w:hAnsiTheme="majorHAnsi"/>
        </w:rPr>
        <w:t xml:space="preserve">(File no. </w:t>
      </w:r>
      <w:r w:rsidRPr="006B5815">
        <w:rPr>
          <w:rFonts w:asciiTheme="majorHAnsi" w:hAnsiTheme="majorHAnsi"/>
        </w:rPr>
        <w:t>COR 2010</w:t>
      </w:r>
      <w:r>
        <w:rPr>
          <w:rFonts w:asciiTheme="majorHAnsi" w:hAnsiTheme="majorHAnsi"/>
        </w:rPr>
        <w:t>/</w:t>
      </w:r>
      <w:r w:rsidRPr="006B5815">
        <w:rPr>
          <w:rFonts w:asciiTheme="majorHAnsi" w:hAnsiTheme="majorHAnsi"/>
        </w:rPr>
        <w:t>2037</w:t>
      </w:r>
      <w:r w:rsidR="4032E5C1" w:rsidRPr="4032E5C1">
        <w:rPr>
          <w:rFonts w:asciiTheme="majorHAnsi" w:hAnsiTheme="majorHAnsi"/>
        </w:rPr>
        <w:t>).</w:t>
      </w:r>
    </w:p>
  </w:footnote>
  <w:footnote w:id="22">
    <w:p w14:paraId="184B67CB" w14:textId="7DBCAC45" w:rsidR="0082085F" w:rsidRDefault="0082085F">
      <w:pPr>
        <w:pStyle w:val="FootnoteText"/>
      </w:pPr>
      <w:r>
        <w:rPr>
          <w:rStyle w:val="FootnoteReference"/>
        </w:rPr>
        <w:footnoteRef/>
      </w:r>
      <w:r>
        <w:t xml:space="preserve"> It is likely the Coroner meant ‘inhalation’ rather than ‘ingestion’.</w:t>
      </w:r>
    </w:p>
  </w:footnote>
  <w:footnote w:id="23">
    <w:p w14:paraId="34CD01FF" w14:textId="05065F30" w:rsidR="0082085F" w:rsidRDefault="0082085F" w:rsidP="00445D03">
      <w:pPr>
        <w:pStyle w:val="FootnoteText"/>
      </w:pPr>
      <w:r w:rsidRPr="006B5815">
        <w:rPr>
          <w:rStyle w:val="FootnoteReference"/>
          <w:rFonts w:asciiTheme="majorHAnsi" w:hAnsiTheme="majorHAnsi"/>
        </w:rPr>
        <w:footnoteRef/>
      </w:r>
      <w:r w:rsidRPr="006B5815">
        <w:rPr>
          <w:rFonts w:asciiTheme="majorHAnsi" w:hAnsiTheme="majorHAnsi"/>
        </w:rPr>
        <w:t xml:space="preserve"> Coroners Court of Victoria. (2013). </w:t>
      </w:r>
      <w:r w:rsidRPr="00332104">
        <w:rPr>
          <w:rFonts w:asciiTheme="majorHAnsi" w:hAnsiTheme="majorHAnsi"/>
          <w:i/>
        </w:rPr>
        <w:t>Inquest into the death of: Chase Robinson</w:t>
      </w:r>
      <w:r w:rsidRPr="006B5815">
        <w:rPr>
          <w:rFonts w:asciiTheme="majorHAnsi" w:hAnsiTheme="majorHAnsi"/>
        </w:rPr>
        <w:t xml:space="preserve"> </w:t>
      </w:r>
      <w:r>
        <w:rPr>
          <w:rFonts w:asciiTheme="majorHAnsi" w:hAnsiTheme="majorHAnsi"/>
        </w:rPr>
        <w:t xml:space="preserve">(File no. </w:t>
      </w:r>
      <w:r w:rsidRPr="006B5815">
        <w:rPr>
          <w:rFonts w:asciiTheme="majorHAnsi" w:hAnsiTheme="majorHAnsi"/>
        </w:rPr>
        <w:t>COR 2010</w:t>
      </w:r>
      <w:r>
        <w:rPr>
          <w:rFonts w:asciiTheme="majorHAnsi" w:hAnsiTheme="majorHAnsi"/>
        </w:rPr>
        <w:t>/</w:t>
      </w:r>
      <w:r w:rsidRPr="006B5815">
        <w:rPr>
          <w:rFonts w:asciiTheme="majorHAnsi" w:hAnsiTheme="majorHAnsi"/>
        </w:rPr>
        <w:t>2037</w:t>
      </w:r>
      <w:r w:rsidR="4032E5C1" w:rsidRPr="4032E5C1">
        <w:rPr>
          <w:rFonts w:asciiTheme="majorHAnsi" w:hAnsiTheme="majorHAnsi"/>
        </w:rPr>
        <w:t>).</w:t>
      </w:r>
    </w:p>
  </w:footnote>
  <w:footnote w:id="24">
    <w:p w14:paraId="37D25FFD" w14:textId="4320EA60" w:rsidR="0082085F" w:rsidRDefault="0082085F" w:rsidP="00445D03">
      <w:pPr>
        <w:pStyle w:val="FootnoteText"/>
      </w:pPr>
      <w:r>
        <w:rPr>
          <w:rStyle w:val="FootnoteReference"/>
        </w:rPr>
        <w:footnoteRef/>
      </w:r>
      <w:r>
        <w:t xml:space="preserve"> Coroners Court of Victoria. (2018). </w:t>
      </w:r>
      <w:r w:rsidRPr="00C05212">
        <w:rPr>
          <w:i/>
          <w:iCs/>
        </w:rPr>
        <w:t>Inquest into the death of Sonia Sofianopoulos</w:t>
      </w:r>
      <w:r>
        <w:t xml:space="preserve"> </w:t>
      </w:r>
      <w:r w:rsidRPr="00DA0E5F">
        <w:rPr>
          <w:rFonts w:cstheme="minorHAnsi"/>
          <w:szCs w:val="16"/>
        </w:rPr>
        <w:t>(File no. COR 2017/3566)</w:t>
      </w:r>
      <w:r>
        <w:t>.</w:t>
      </w:r>
    </w:p>
  </w:footnote>
  <w:footnote w:id="25">
    <w:p w14:paraId="3E5D5CC9" w14:textId="46EBF7A0" w:rsidR="0082085F" w:rsidRDefault="0082085F">
      <w:pPr>
        <w:pStyle w:val="FootnoteText"/>
      </w:pPr>
      <w:r>
        <w:rPr>
          <w:rStyle w:val="FootnoteReference"/>
        </w:rPr>
        <w:footnoteRef/>
      </w:r>
      <w:r>
        <w:t xml:space="preserve"> Ibid.</w:t>
      </w:r>
    </w:p>
  </w:footnote>
  <w:footnote w:id="26">
    <w:p w14:paraId="3429C094" w14:textId="77777777" w:rsidR="0082085F" w:rsidRPr="00B256A4" w:rsidRDefault="0082085F" w:rsidP="00A3132A">
      <w:pPr>
        <w:pStyle w:val="FootnoteText"/>
        <w:rPr>
          <w:szCs w:val="16"/>
        </w:rPr>
      </w:pPr>
      <w:r w:rsidRPr="00B256A4">
        <w:rPr>
          <w:rStyle w:val="FootnoteReference"/>
          <w:szCs w:val="16"/>
        </w:rPr>
        <w:footnoteRef/>
      </w:r>
      <w:r w:rsidRPr="00B256A4">
        <w:rPr>
          <w:szCs w:val="16"/>
        </w:rPr>
        <w:t xml:space="preserve"> Commissioner for Better Regulation (2016). </w:t>
      </w:r>
      <w:r w:rsidRPr="00B256A4">
        <w:rPr>
          <w:i/>
          <w:szCs w:val="16"/>
        </w:rPr>
        <w:t>Victorian Guide to Regulation: A handbook for policy-makers in Victoria</w:t>
      </w:r>
      <w:r w:rsidRPr="00B256A4">
        <w:rPr>
          <w:szCs w:val="16"/>
        </w:rPr>
        <w:t xml:space="preserve">. Accessed at: </w:t>
      </w:r>
      <w:hyperlink r:id="rId2" w:history="1">
        <w:r w:rsidRPr="00B256A4">
          <w:rPr>
            <w:rStyle w:val="Hyperlink"/>
            <w:szCs w:val="16"/>
          </w:rPr>
          <w:t>http://www.betterregulation.vic.gov.au/Guidance-and-Resources</w:t>
        </w:r>
      </w:hyperlink>
      <w:r w:rsidRPr="00B256A4">
        <w:rPr>
          <w:szCs w:val="16"/>
        </w:rPr>
        <w:t xml:space="preserve"> </w:t>
      </w:r>
    </w:p>
  </w:footnote>
  <w:footnote w:id="27">
    <w:p w14:paraId="2E41DB95" w14:textId="2E9604F2" w:rsidR="0082085F" w:rsidRPr="0063508B" w:rsidRDefault="0082085F" w:rsidP="00A3132A">
      <w:pPr>
        <w:pStyle w:val="FootnoteText"/>
      </w:pPr>
      <w:r w:rsidRPr="00B256A4">
        <w:rPr>
          <w:rStyle w:val="FootnoteReference"/>
          <w:szCs w:val="16"/>
        </w:rPr>
        <w:footnoteRef/>
      </w:r>
      <w:r w:rsidRPr="00B256A4">
        <w:rPr>
          <w:szCs w:val="16"/>
        </w:rPr>
        <w:t xml:space="preserve"> </w:t>
      </w:r>
      <w:r>
        <w:rPr>
          <w:szCs w:val="16"/>
        </w:rPr>
        <w:t>Ibid.</w:t>
      </w:r>
      <w:r>
        <w:t xml:space="preserve"> </w:t>
      </w:r>
    </w:p>
  </w:footnote>
  <w:footnote w:id="28">
    <w:p w14:paraId="64A8EE70" w14:textId="78F3CEA5" w:rsidR="0082085F" w:rsidRDefault="0082085F" w:rsidP="00E93C6E">
      <w:pPr>
        <w:pStyle w:val="FootnoteText"/>
      </w:pPr>
      <w:r>
        <w:rPr>
          <w:rStyle w:val="FootnoteReference"/>
        </w:rPr>
        <w:footnoteRef/>
      </w:r>
      <w:r>
        <w:t xml:space="preserve"> Section 69A</w:t>
      </w:r>
      <w:r w:rsidR="00215F29">
        <w:t>.</w:t>
      </w:r>
    </w:p>
  </w:footnote>
  <w:footnote w:id="29">
    <w:p w14:paraId="3FD026D7" w14:textId="3C4B759F" w:rsidR="0082085F" w:rsidRDefault="0082085F" w:rsidP="00E93C6E">
      <w:pPr>
        <w:pStyle w:val="FootnoteText"/>
      </w:pPr>
      <w:r>
        <w:rPr>
          <w:rStyle w:val="FootnoteReference"/>
        </w:rPr>
        <w:footnoteRef/>
      </w:r>
      <w:r>
        <w:t xml:space="preserve"> Section 76</w:t>
      </w:r>
      <w:r w:rsidR="00215F29">
        <w:t>.</w:t>
      </w:r>
    </w:p>
  </w:footnote>
  <w:footnote w:id="30">
    <w:p w14:paraId="7B14598E" w14:textId="62F5DC1C" w:rsidR="0082085F" w:rsidRDefault="0082085F">
      <w:pPr>
        <w:pStyle w:val="FootnoteText"/>
      </w:pPr>
      <w:r>
        <w:rPr>
          <w:rStyle w:val="FootnoteReference"/>
        </w:rPr>
        <w:footnoteRef/>
      </w:r>
      <w:r>
        <w:t xml:space="preserve"> Standards Australia</w:t>
      </w:r>
      <w:r w:rsidRPr="00502407">
        <w:t xml:space="preserve"> aim</w:t>
      </w:r>
      <w:r>
        <w:t>s</w:t>
      </w:r>
      <w:r w:rsidRPr="00502407">
        <w:t xml:space="preserve"> for a balance of industry, regulatory and community representation on the committees.</w:t>
      </w:r>
    </w:p>
  </w:footnote>
  <w:footnote w:id="31">
    <w:p w14:paraId="5288254D" w14:textId="37CE117E" w:rsidR="0082085F" w:rsidRDefault="0082085F">
      <w:pPr>
        <w:pStyle w:val="FootnoteText"/>
      </w:pPr>
      <w:r>
        <w:rPr>
          <w:rStyle w:val="FootnoteReference"/>
        </w:rPr>
        <w:footnoteRef/>
      </w:r>
      <w:r>
        <w:t xml:space="preserve"> Regulation 18, Gas Safety (Gas Installation) Regulations 2018</w:t>
      </w:r>
      <w:r w:rsidR="00914D07">
        <w:t>.</w:t>
      </w:r>
    </w:p>
  </w:footnote>
  <w:footnote w:id="32">
    <w:p w14:paraId="46F044DC" w14:textId="5BB46896" w:rsidR="0082085F" w:rsidRDefault="0082085F">
      <w:pPr>
        <w:pStyle w:val="FootnoteText"/>
      </w:pPr>
      <w:r>
        <w:rPr>
          <w:rStyle w:val="FootnoteReference"/>
        </w:rPr>
        <w:footnoteRef/>
      </w:r>
      <w:r>
        <w:t xml:space="preserve"> Energy Safe </w:t>
      </w:r>
      <w:r w:rsidR="00FF205F">
        <w:t>Victoria (</w:t>
      </w:r>
      <w:r w:rsidR="00B66A08">
        <w:t xml:space="preserve">ESV). </w:t>
      </w:r>
      <w:r>
        <w:t xml:space="preserve">(2020). </w:t>
      </w:r>
      <w:r w:rsidRPr="00B66A08">
        <w:rPr>
          <w:i/>
          <w:iCs/>
        </w:rPr>
        <w:t>Is your gas heater safe?</w:t>
      </w:r>
      <w:r w:rsidR="4032E5C1" w:rsidRPr="005A1A80">
        <w:t xml:space="preserve"> Accessed at: </w:t>
      </w:r>
      <w:hyperlink r:id="rId3" w:history="1">
        <w:r w:rsidR="4032E5C1" w:rsidRPr="4032E5C1">
          <w:rPr>
            <w:rStyle w:val="Hyperlink"/>
          </w:rPr>
          <w:t>https://esv.vic.gov.au/campaigns/carbon-monoxide/</w:t>
        </w:r>
      </w:hyperlink>
      <w:r w:rsidR="4032E5C1">
        <w:t xml:space="preserve"> </w:t>
      </w:r>
    </w:p>
  </w:footnote>
  <w:footnote w:id="33">
    <w:p w14:paraId="0D2D156E" w14:textId="7A60881B" w:rsidR="0082085F" w:rsidRDefault="0082085F" w:rsidP="00CA63A7">
      <w:pPr>
        <w:pStyle w:val="FootnoteText"/>
      </w:pPr>
      <w:r>
        <w:rPr>
          <w:rStyle w:val="FootnoteReference"/>
        </w:rPr>
        <w:footnoteRef/>
      </w:r>
      <w:r>
        <w:t xml:space="preserve"> </w:t>
      </w:r>
      <w:r w:rsidRPr="00635FB2">
        <w:t>Health and Safety Executive</w:t>
      </w:r>
      <w:r>
        <w:t>. (2018). Safety in the installation and use of gas systems and appliances</w:t>
      </w:r>
      <w:r w:rsidR="00DC53E3">
        <w:t>.</w:t>
      </w:r>
    </w:p>
  </w:footnote>
  <w:footnote w:id="34">
    <w:p w14:paraId="79069F8E" w14:textId="77777777" w:rsidR="0082085F" w:rsidRDefault="0082085F" w:rsidP="001B7171">
      <w:pPr>
        <w:pStyle w:val="FootnoteText"/>
      </w:pPr>
      <w:r>
        <w:rPr>
          <w:rStyle w:val="FootnoteReference"/>
        </w:rPr>
        <w:footnoteRef/>
      </w:r>
      <w:r>
        <w:t xml:space="preserve"> ESV, </w:t>
      </w:r>
      <w:r w:rsidRPr="00A400C6">
        <w:t>Gas information sheet 36: Carbon monoxide alarms for domestic use</w:t>
      </w:r>
      <w:r>
        <w:t>.</w:t>
      </w:r>
    </w:p>
  </w:footnote>
  <w:footnote w:id="35">
    <w:p w14:paraId="3107CD30" w14:textId="4E1EEFD5" w:rsidR="0082085F" w:rsidRPr="000276F0" w:rsidRDefault="0082085F" w:rsidP="00F843DB">
      <w:pPr>
        <w:pStyle w:val="FootnoteText"/>
      </w:pPr>
      <w:r w:rsidRPr="00C05212">
        <w:rPr>
          <w:vertAlign w:val="superscript"/>
        </w:rPr>
        <w:footnoteRef/>
      </w:r>
      <w:r w:rsidRPr="000276F0">
        <w:t xml:space="preserve"> ESV</w:t>
      </w:r>
      <w:r w:rsidR="4032E5C1" w:rsidRPr="000276F0">
        <w:t xml:space="preserve"> (2020)</w:t>
      </w:r>
      <w:r w:rsidRPr="000276F0">
        <w:t xml:space="preserve"> Gas information sheet 36: Carbon monoxide alarms for domestic use.</w:t>
      </w:r>
    </w:p>
  </w:footnote>
  <w:footnote w:id="36">
    <w:p w14:paraId="4B9A43D1" w14:textId="13E3AE66" w:rsidR="0082085F" w:rsidRDefault="0082085F" w:rsidP="000E19D5">
      <w:pPr>
        <w:pStyle w:val="FootnoteText"/>
      </w:pPr>
      <w:r w:rsidRPr="00C05212">
        <w:rPr>
          <w:vertAlign w:val="superscript"/>
        </w:rPr>
        <w:footnoteRef/>
      </w:r>
      <w:r>
        <w:t xml:space="preserve"> 2012 DRIS</w:t>
      </w:r>
      <w:r w:rsidR="008206A7">
        <w:t>.</w:t>
      </w:r>
    </w:p>
  </w:footnote>
  <w:footnote w:id="37">
    <w:p w14:paraId="78287BCB" w14:textId="418DF8D0" w:rsidR="0082085F" w:rsidRDefault="0082085F" w:rsidP="000E19D5">
      <w:pPr>
        <w:pStyle w:val="FootnoteText"/>
      </w:pPr>
      <w:r w:rsidRPr="00C05212">
        <w:rPr>
          <w:vertAlign w:val="superscript"/>
        </w:rPr>
        <w:footnoteRef/>
      </w:r>
      <w:r>
        <w:t xml:space="preserve"> 2012 DRIS, p.47.</w:t>
      </w:r>
    </w:p>
  </w:footnote>
  <w:footnote w:id="38">
    <w:p w14:paraId="03CE8D73" w14:textId="106FB90A" w:rsidR="0082085F" w:rsidRDefault="0082085F" w:rsidP="00B72F81">
      <w:pPr>
        <w:pStyle w:val="FootnoteText"/>
      </w:pPr>
      <w:r>
        <w:rPr>
          <w:rStyle w:val="FootnoteReference"/>
        </w:rPr>
        <w:footnoteRef/>
      </w:r>
      <w:r>
        <w:t xml:space="preserve"> 2012 DRIS</w:t>
      </w:r>
      <w:r w:rsidR="008206A7">
        <w:t>.</w:t>
      </w:r>
    </w:p>
  </w:footnote>
  <w:footnote w:id="39">
    <w:p w14:paraId="119BEEB6" w14:textId="54C3846A" w:rsidR="0082085F" w:rsidRDefault="0082085F" w:rsidP="00005939">
      <w:pPr>
        <w:pStyle w:val="FootnoteText"/>
        <w:rPr>
          <w:rStyle w:val="Hyperlink"/>
          <w:rFonts w:eastAsia="Verdana" w:cs="Verdana"/>
          <w:b/>
          <w:color w:val="00007F"/>
          <w:szCs w:val="16"/>
          <w:vertAlign w:val="superscript"/>
        </w:rPr>
      </w:pPr>
      <w:r>
        <w:rPr>
          <w:rStyle w:val="FootnoteReference"/>
        </w:rPr>
        <w:footnoteRef/>
      </w:r>
      <w:r w:rsidR="4032E5C1">
        <w:t xml:space="preserve"> ESV (2020) Gas information sheet 36: Carbon monoxide alarms for domestic use.</w:t>
      </w:r>
    </w:p>
  </w:footnote>
  <w:footnote w:id="40">
    <w:p w14:paraId="3A2A0060" w14:textId="78C7A16C" w:rsidR="0082085F" w:rsidRPr="00CC4A0B" w:rsidRDefault="0082085F" w:rsidP="001B7171">
      <w:pPr>
        <w:pStyle w:val="FootnoteText"/>
        <w:rPr>
          <w:sz w:val="14"/>
          <w:szCs w:val="14"/>
        </w:rPr>
      </w:pPr>
      <w:r w:rsidRPr="4032E5C1">
        <w:rPr>
          <w:rStyle w:val="FootnoteReference"/>
        </w:rPr>
        <w:footnoteRef/>
      </w:r>
      <w:r w:rsidRPr="00CC4A0B">
        <w:rPr>
          <w:sz w:val="14"/>
          <w:szCs w:val="14"/>
        </w:rPr>
        <w:t xml:space="preserve"> </w:t>
      </w:r>
      <w:r w:rsidRPr="00B66A08">
        <w:rPr>
          <w:szCs w:val="16"/>
        </w:rPr>
        <w:t>The Smoke and Carbon Monoxide Alarm (England) Regulations 2015</w:t>
      </w:r>
      <w:r w:rsidR="008206A7">
        <w:rPr>
          <w:szCs w:val="16"/>
        </w:rPr>
        <w:t>.</w:t>
      </w:r>
    </w:p>
  </w:footnote>
  <w:footnote w:id="41">
    <w:p w14:paraId="785D421B" w14:textId="4A29250C" w:rsidR="0082085F" w:rsidRPr="0048613C" w:rsidRDefault="0082085F" w:rsidP="001B7171">
      <w:pPr>
        <w:pStyle w:val="FootnoteText"/>
        <w:rPr>
          <w:rFonts w:asciiTheme="majorHAnsi" w:hAnsiTheme="majorHAnsi"/>
        </w:rPr>
      </w:pPr>
      <w:r w:rsidRPr="4032E5C1">
        <w:rPr>
          <w:rStyle w:val="FootnoteReference"/>
          <w:rFonts w:asciiTheme="majorHAnsi" w:hAnsiTheme="majorHAnsi"/>
        </w:rPr>
        <w:footnoteRef/>
      </w:r>
      <w:r w:rsidRPr="4032E5C1">
        <w:rPr>
          <w:rFonts w:asciiTheme="majorHAnsi" w:hAnsiTheme="majorHAnsi"/>
        </w:rPr>
        <w:t xml:space="preserve"> Scottish Government Statutory Guidance </w:t>
      </w:r>
      <w:r w:rsidR="4032E5C1" w:rsidRPr="4032E5C1">
        <w:rPr>
          <w:rFonts w:asciiTheme="majorHAnsi" w:hAnsiTheme="majorHAnsi"/>
        </w:rPr>
        <w:t xml:space="preserve">(2015) </w:t>
      </w:r>
      <w:r w:rsidRPr="4032E5C1">
        <w:rPr>
          <w:rFonts w:asciiTheme="majorHAnsi" w:hAnsiTheme="majorHAnsi"/>
          <w:i/>
        </w:rPr>
        <w:t>Carbon Monoxide alarms in private rented properties: guidance</w:t>
      </w:r>
      <w:r w:rsidR="008206A7">
        <w:rPr>
          <w:rFonts w:asciiTheme="majorHAnsi" w:hAnsiTheme="majorHAnsi"/>
          <w:i/>
        </w:rPr>
        <w:t>.</w:t>
      </w:r>
    </w:p>
  </w:footnote>
  <w:footnote w:id="42">
    <w:p w14:paraId="2CBE00D8" w14:textId="6640703E" w:rsidR="0082085F" w:rsidRPr="0048613C" w:rsidRDefault="0082085F" w:rsidP="001B7171">
      <w:pPr>
        <w:pStyle w:val="FootnoteText"/>
        <w:rPr>
          <w:rFonts w:asciiTheme="majorHAnsi" w:hAnsiTheme="majorHAnsi"/>
        </w:rPr>
      </w:pPr>
      <w:r w:rsidRPr="4032E5C1">
        <w:rPr>
          <w:rStyle w:val="FootnoteReference"/>
          <w:rFonts w:asciiTheme="majorHAnsi" w:hAnsiTheme="majorHAnsi"/>
        </w:rPr>
        <w:footnoteRef/>
      </w:r>
      <w:r w:rsidR="4032E5C1" w:rsidRPr="4032E5C1">
        <w:rPr>
          <w:rFonts w:asciiTheme="majorHAnsi" w:hAnsiTheme="majorHAnsi"/>
        </w:rPr>
        <w:t xml:space="preserve"> </w:t>
      </w:r>
      <w:r w:rsidR="4032E5C1" w:rsidRPr="00F47C91">
        <w:rPr>
          <w:rFonts w:asciiTheme="majorHAnsi" w:hAnsiTheme="majorHAnsi"/>
          <w:szCs w:val="16"/>
        </w:rPr>
        <w:t xml:space="preserve">Health and Safety Executive for Northern Ireland (2020) </w:t>
      </w:r>
      <w:r w:rsidR="4032E5C1" w:rsidRPr="00EF1204">
        <w:rPr>
          <w:rFonts w:asciiTheme="majorHAnsi" w:hAnsiTheme="majorHAnsi"/>
          <w:i/>
          <w:iCs/>
          <w:szCs w:val="16"/>
        </w:rPr>
        <w:t>Carbon Monoxide Alarms</w:t>
      </w:r>
      <w:r w:rsidR="4032E5C1" w:rsidRPr="00F47C91">
        <w:rPr>
          <w:rFonts w:asciiTheme="majorHAnsi" w:hAnsiTheme="majorHAnsi"/>
          <w:szCs w:val="16"/>
        </w:rPr>
        <w:t xml:space="preserve"> Accessed at: </w:t>
      </w:r>
      <w:r w:rsidR="4032E5C1" w:rsidRPr="00ED0058">
        <w:rPr>
          <w:rFonts w:asciiTheme="majorHAnsi" w:hAnsiTheme="majorHAnsi"/>
          <w:szCs w:val="16"/>
        </w:rPr>
        <w:t xml:space="preserve"> </w:t>
      </w:r>
      <w:hyperlink r:id="rId4" w:history="1">
        <w:r w:rsidR="00005939" w:rsidRPr="005702B0">
          <w:rPr>
            <w:rStyle w:val="Hyperlink"/>
            <w:rFonts w:asciiTheme="majorHAnsi" w:hAnsiTheme="majorHAnsi"/>
            <w:szCs w:val="16"/>
          </w:rPr>
          <w:t>https://www.hseni.gov.uk/articles/carbon-monoxide-alarms</w:t>
        </w:r>
      </w:hyperlink>
    </w:p>
  </w:footnote>
  <w:footnote w:id="43">
    <w:p w14:paraId="10331BD7" w14:textId="2254E4FA" w:rsidR="0082085F" w:rsidRPr="0048613C" w:rsidRDefault="0082085F" w:rsidP="001B7171">
      <w:pPr>
        <w:pStyle w:val="FootnoteText"/>
        <w:rPr>
          <w:rFonts w:asciiTheme="majorHAnsi" w:hAnsiTheme="majorHAnsi"/>
        </w:rPr>
      </w:pPr>
      <w:r w:rsidRPr="4032E5C1">
        <w:rPr>
          <w:rStyle w:val="FootnoteReference"/>
          <w:rFonts w:asciiTheme="majorHAnsi" w:hAnsiTheme="majorHAnsi"/>
        </w:rPr>
        <w:footnoteRef/>
      </w:r>
      <w:r w:rsidR="4032E5C1" w:rsidRPr="4032E5C1">
        <w:rPr>
          <w:rFonts w:asciiTheme="majorHAnsi" w:hAnsiTheme="majorHAnsi"/>
        </w:rPr>
        <w:t xml:space="preserve"> Scottish Government (2020</w:t>
      </w:r>
      <w:r w:rsidR="00092500" w:rsidRPr="4032E5C1">
        <w:rPr>
          <w:rFonts w:asciiTheme="majorHAnsi" w:hAnsiTheme="majorHAnsi"/>
        </w:rPr>
        <w:t>)</w:t>
      </w:r>
      <w:r w:rsidR="00534C32">
        <w:rPr>
          <w:rFonts w:asciiTheme="majorHAnsi" w:hAnsiTheme="majorHAnsi"/>
        </w:rPr>
        <w:t xml:space="preserve">. </w:t>
      </w:r>
      <w:r w:rsidR="4032E5C1" w:rsidRPr="00CF7342">
        <w:rPr>
          <w:rFonts w:asciiTheme="majorHAnsi" w:hAnsiTheme="majorHAnsi"/>
          <w:i/>
          <w:iCs/>
        </w:rPr>
        <w:t>Fire and smoke alarms: changes to the law</w:t>
      </w:r>
      <w:r w:rsidR="00534C32" w:rsidRPr="00EF1204">
        <w:rPr>
          <w:rFonts w:asciiTheme="majorHAnsi" w:hAnsiTheme="majorHAnsi"/>
          <w:i/>
          <w:iCs/>
        </w:rPr>
        <w:t>.</w:t>
      </w:r>
      <w:r w:rsidR="4032E5C1" w:rsidRPr="4032E5C1">
        <w:rPr>
          <w:rFonts w:asciiTheme="majorHAnsi" w:hAnsiTheme="majorHAnsi"/>
        </w:rPr>
        <w:t xml:space="preserve"> Accessed at: </w:t>
      </w:r>
      <w:r w:rsidRPr="4032E5C1">
        <w:rPr>
          <w:rFonts w:asciiTheme="majorHAnsi" w:hAnsiTheme="majorHAnsi"/>
        </w:rPr>
        <w:t xml:space="preserve"> </w:t>
      </w:r>
      <w:hyperlink r:id="rId5" w:history="1">
        <w:r w:rsidR="00005939" w:rsidRPr="005702B0">
          <w:rPr>
            <w:rStyle w:val="Hyperlink"/>
            <w:rFonts w:asciiTheme="majorHAnsi" w:hAnsiTheme="majorHAnsi"/>
          </w:rPr>
          <w:t>https://www.gov.scot/publications/fire-and-smoke-alarms-in-scottish-homes/</w:t>
        </w:r>
      </w:hyperlink>
    </w:p>
  </w:footnote>
  <w:footnote w:id="44">
    <w:p w14:paraId="704E8CF0" w14:textId="49538E84" w:rsidR="0082085F" w:rsidRPr="0048613C" w:rsidRDefault="0082085F" w:rsidP="00EE491F">
      <w:pPr>
        <w:pStyle w:val="FootnoteText"/>
        <w:rPr>
          <w:rFonts w:asciiTheme="majorHAnsi" w:hAnsiTheme="majorHAnsi"/>
        </w:rPr>
      </w:pPr>
      <w:r w:rsidRPr="4032E5C1">
        <w:rPr>
          <w:rStyle w:val="FootnoteReference"/>
          <w:rFonts w:asciiTheme="majorHAnsi" w:hAnsiTheme="majorHAnsi"/>
        </w:rPr>
        <w:footnoteRef/>
      </w:r>
      <w:r w:rsidRPr="4032E5C1">
        <w:rPr>
          <w:rFonts w:asciiTheme="majorHAnsi" w:hAnsiTheme="majorHAnsi"/>
        </w:rPr>
        <w:t xml:space="preserve"> Health and Safety Executive. (2011). </w:t>
      </w:r>
      <w:r w:rsidRPr="4032E5C1">
        <w:rPr>
          <w:rFonts w:asciiTheme="majorHAnsi" w:hAnsiTheme="majorHAnsi"/>
          <w:i/>
        </w:rPr>
        <w:t>Domestic carbon monoxide alarms: Long-term reliability and use scoping study</w:t>
      </w:r>
      <w:r w:rsidRPr="4032E5C1">
        <w:rPr>
          <w:rFonts w:asciiTheme="majorHAnsi" w:hAnsiTheme="majorHAnsi"/>
        </w:rPr>
        <w:t xml:space="preserve">. </w:t>
      </w:r>
      <w:r w:rsidR="4032E5C1" w:rsidRPr="4032E5C1">
        <w:rPr>
          <w:rFonts w:asciiTheme="majorHAnsi" w:hAnsiTheme="majorHAnsi"/>
        </w:rPr>
        <w:t>Accessed at:</w:t>
      </w:r>
      <w:r w:rsidRPr="4032E5C1">
        <w:rPr>
          <w:rFonts w:asciiTheme="majorHAnsi" w:hAnsiTheme="majorHAnsi"/>
        </w:rPr>
        <w:t xml:space="preserve"> </w:t>
      </w:r>
      <w:hyperlink r:id="rId6" w:history="1">
        <w:r w:rsidRPr="4032E5C1">
          <w:rPr>
            <w:rStyle w:val="Hyperlink"/>
            <w:rFonts w:asciiTheme="majorHAnsi" w:hAnsiTheme="majorHAnsi"/>
          </w:rPr>
          <w:t>http://www.hse.gov.uk/research/rrpdf/rr847.pdf</w:t>
        </w:r>
      </w:hyperlink>
    </w:p>
  </w:footnote>
  <w:footnote w:id="45">
    <w:p w14:paraId="13BFB185" w14:textId="7FE9949B" w:rsidR="0082085F" w:rsidRPr="0048613C" w:rsidRDefault="0082085F" w:rsidP="001B7171">
      <w:pPr>
        <w:pStyle w:val="FootnoteText"/>
        <w:rPr>
          <w:rFonts w:asciiTheme="majorHAnsi" w:hAnsiTheme="majorHAnsi"/>
        </w:rPr>
      </w:pPr>
      <w:r w:rsidRPr="4032E5C1">
        <w:rPr>
          <w:rStyle w:val="FootnoteReference"/>
          <w:rFonts w:asciiTheme="majorHAnsi" w:hAnsiTheme="majorHAnsi"/>
        </w:rPr>
        <w:footnoteRef/>
      </w:r>
      <w:r w:rsidRPr="4032E5C1">
        <w:rPr>
          <w:rFonts w:asciiTheme="majorHAnsi" w:hAnsiTheme="majorHAnsi"/>
        </w:rPr>
        <w:t xml:space="preserve"> First Alert. (2019). </w:t>
      </w:r>
      <w:r w:rsidRPr="4032E5C1">
        <w:rPr>
          <w:rFonts w:asciiTheme="majorHAnsi" w:hAnsiTheme="majorHAnsi"/>
          <w:i/>
        </w:rPr>
        <w:t>First Safety Laws and Legislation by State</w:t>
      </w:r>
      <w:r w:rsidR="4032E5C1" w:rsidRPr="4032E5C1">
        <w:rPr>
          <w:rFonts w:asciiTheme="majorHAnsi" w:hAnsiTheme="majorHAnsi"/>
          <w:i/>
          <w:iCs/>
        </w:rPr>
        <w:t>.</w:t>
      </w:r>
      <w:r w:rsidRPr="4032E5C1">
        <w:rPr>
          <w:rFonts w:asciiTheme="majorHAnsi" w:hAnsiTheme="majorHAnsi"/>
        </w:rPr>
        <w:t xml:space="preserve"> </w:t>
      </w:r>
      <w:r w:rsidR="4032E5C1" w:rsidRPr="4032E5C1">
        <w:rPr>
          <w:rFonts w:asciiTheme="majorHAnsi" w:hAnsiTheme="majorHAnsi"/>
        </w:rPr>
        <w:t>Accessed at:</w:t>
      </w:r>
      <w:r w:rsidRPr="4032E5C1">
        <w:rPr>
          <w:rFonts w:asciiTheme="majorHAnsi" w:hAnsiTheme="majorHAnsi"/>
          <w:i/>
        </w:rPr>
        <w:t xml:space="preserve"> </w:t>
      </w:r>
      <w:hyperlink r:id="rId7" w:history="1">
        <w:r w:rsidRPr="4032E5C1">
          <w:rPr>
            <w:rStyle w:val="Hyperlink"/>
            <w:rFonts w:asciiTheme="majorHAnsi" w:hAnsiTheme="majorHAnsi"/>
          </w:rPr>
          <w:t>https://www.firstalert.com/community/legislation/</w:t>
        </w:r>
      </w:hyperlink>
    </w:p>
  </w:footnote>
  <w:footnote w:id="46">
    <w:p w14:paraId="3C09E773" w14:textId="26E49E70" w:rsidR="0082085F" w:rsidRPr="00D7340A" w:rsidRDefault="0082085F" w:rsidP="001B7171">
      <w:pPr>
        <w:pStyle w:val="FootnoteText"/>
        <w:rPr>
          <w:rFonts w:asciiTheme="majorHAnsi" w:hAnsiTheme="majorHAnsi"/>
        </w:rPr>
      </w:pPr>
      <w:r w:rsidRPr="4032E5C1">
        <w:rPr>
          <w:rStyle w:val="FootnoteReference"/>
          <w:rFonts w:asciiTheme="majorHAnsi" w:hAnsiTheme="majorHAnsi"/>
        </w:rPr>
        <w:footnoteRef/>
      </w:r>
      <w:r w:rsidRPr="4032E5C1">
        <w:rPr>
          <w:rFonts w:asciiTheme="majorHAnsi" w:hAnsiTheme="majorHAnsi"/>
        </w:rPr>
        <w:t xml:space="preserve"> Ontario Ministry of the Solicitor General. (2016). </w:t>
      </w:r>
      <w:r w:rsidR="4032E5C1" w:rsidRPr="4032E5C1">
        <w:rPr>
          <w:rFonts w:asciiTheme="majorHAnsi" w:hAnsiTheme="majorHAnsi"/>
        </w:rPr>
        <w:t xml:space="preserve">Accessed at: </w:t>
      </w:r>
      <w:r w:rsidRPr="4032E5C1">
        <w:rPr>
          <w:rFonts w:asciiTheme="majorHAnsi" w:hAnsiTheme="majorHAnsi"/>
        </w:rPr>
        <w:t xml:space="preserve"> </w:t>
      </w:r>
      <w:hyperlink r:id="rId8" w:anchor="P59_4811" w:history="1">
        <w:r w:rsidRPr="4032E5C1">
          <w:rPr>
            <w:rStyle w:val="Hyperlink"/>
            <w:rFonts w:asciiTheme="majorHAnsi" w:hAnsiTheme="majorHAnsi"/>
          </w:rPr>
          <w:t>https://www.mcscs.jus.gov.on.ca/english/FireMarshal/CarbonMonoxideAlarms/QuestionsandAnswers/OFM_COAlarms_QandA.html#P59_4811</w:t>
        </w:r>
      </w:hyperlink>
    </w:p>
  </w:footnote>
  <w:footnote w:id="47">
    <w:p w14:paraId="63010017" w14:textId="77777777" w:rsidR="0082085F" w:rsidRPr="00D7340A" w:rsidRDefault="0082085F" w:rsidP="001B7171">
      <w:pPr>
        <w:pStyle w:val="FootnoteText"/>
        <w:rPr>
          <w:rFonts w:asciiTheme="majorHAnsi" w:hAnsiTheme="majorHAnsi"/>
          <w:szCs w:val="16"/>
        </w:rPr>
      </w:pPr>
      <w:r w:rsidRPr="00D7340A">
        <w:rPr>
          <w:rStyle w:val="FootnoteReference"/>
          <w:rFonts w:asciiTheme="majorHAnsi" w:hAnsiTheme="majorHAnsi"/>
          <w:szCs w:val="16"/>
        </w:rPr>
        <w:footnoteRef/>
      </w:r>
      <w:r w:rsidRPr="00D7340A">
        <w:rPr>
          <w:rFonts w:asciiTheme="majorHAnsi" w:hAnsiTheme="majorHAnsi"/>
          <w:szCs w:val="16"/>
        </w:rPr>
        <w:t xml:space="preserve"> Milbur Consulting Ltd. (2008). Proposed Gas Safety (Gas Installation) Regulations 2008:</w:t>
      </w:r>
    </w:p>
    <w:p w14:paraId="386D5FFA" w14:textId="7E5D6274" w:rsidR="0082085F" w:rsidRPr="00D7340A" w:rsidRDefault="0082085F" w:rsidP="001B7171">
      <w:pPr>
        <w:pStyle w:val="FootnoteText"/>
        <w:rPr>
          <w:rFonts w:asciiTheme="majorHAnsi" w:hAnsiTheme="majorHAnsi"/>
          <w:szCs w:val="16"/>
        </w:rPr>
      </w:pPr>
      <w:r w:rsidRPr="00D7340A">
        <w:rPr>
          <w:rFonts w:asciiTheme="majorHAnsi" w:hAnsiTheme="majorHAnsi"/>
          <w:szCs w:val="16"/>
        </w:rPr>
        <w:t>Regulatory Impact Statement</w:t>
      </w:r>
      <w:r w:rsidR="008206A7">
        <w:rPr>
          <w:rFonts w:asciiTheme="majorHAnsi" w:hAnsiTheme="majorHAnsi"/>
          <w:szCs w:val="16"/>
        </w:rPr>
        <w:t>.</w:t>
      </w:r>
    </w:p>
  </w:footnote>
  <w:footnote w:id="48">
    <w:p w14:paraId="4AC075AB" w14:textId="33FB7D0B" w:rsidR="0082085F" w:rsidRPr="00D7340A" w:rsidRDefault="0082085F" w:rsidP="00305DA4">
      <w:pPr>
        <w:pStyle w:val="FootnoteText"/>
        <w:rPr>
          <w:rFonts w:asciiTheme="majorHAnsi" w:hAnsiTheme="majorHAnsi"/>
          <w:szCs w:val="16"/>
        </w:rPr>
      </w:pPr>
      <w:r w:rsidRPr="00D7340A">
        <w:rPr>
          <w:rStyle w:val="FootnoteReference"/>
          <w:rFonts w:asciiTheme="majorHAnsi" w:hAnsiTheme="majorHAnsi"/>
          <w:szCs w:val="16"/>
        </w:rPr>
        <w:footnoteRef/>
      </w:r>
      <w:r w:rsidRPr="00D7340A">
        <w:rPr>
          <w:rFonts w:asciiTheme="majorHAnsi" w:hAnsiTheme="majorHAnsi"/>
          <w:szCs w:val="16"/>
        </w:rPr>
        <w:t xml:space="preserve"> Milbur Consulting Ltd. (2008). Proposed Gas Safety (Gas Installation) Regulations 2008:</w:t>
      </w:r>
    </w:p>
    <w:p w14:paraId="5707C9B1" w14:textId="1DE1E6BB" w:rsidR="0082085F" w:rsidRPr="00E050F6" w:rsidRDefault="0082085F" w:rsidP="00305DA4">
      <w:pPr>
        <w:pStyle w:val="FootnoteText"/>
        <w:rPr>
          <w:rFonts w:asciiTheme="majorHAnsi" w:hAnsiTheme="majorHAnsi"/>
          <w:szCs w:val="16"/>
        </w:rPr>
      </w:pPr>
      <w:r w:rsidRPr="00D7340A">
        <w:rPr>
          <w:rFonts w:asciiTheme="majorHAnsi" w:hAnsiTheme="majorHAnsi"/>
          <w:szCs w:val="16"/>
        </w:rPr>
        <w:t>Regulatory Impact Statement, chapter 9.4</w:t>
      </w:r>
      <w:r w:rsidR="008206A7">
        <w:rPr>
          <w:rFonts w:asciiTheme="majorHAnsi" w:hAnsiTheme="majorHAnsi"/>
          <w:szCs w:val="16"/>
        </w:rPr>
        <w:t>.</w:t>
      </w:r>
    </w:p>
  </w:footnote>
  <w:footnote w:id="49">
    <w:p w14:paraId="60D17D44" w14:textId="77777777" w:rsidR="0082085F" w:rsidRPr="00457F75" w:rsidRDefault="0082085F" w:rsidP="001B7171">
      <w:pPr>
        <w:spacing w:after="0" w:line="240" w:lineRule="auto"/>
        <w:rPr>
          <w:rFonts w:asciiTheme="majorHAnsi" w:hAnsiTheme="majorHAnsi"/>
        </w:rPr>
      </w:pPr>
      <w:r w:rsidRPr="00610D76">
        <w:rPr>
          <w:rStyle w:val="FootnoteReference"/>
          <w:rFonts w:asciiTheme="majorHAnsi" w:hAnsiTheme="majorHAnsi"/>
          <w:sz w:val="16"/>
          <w:szCs w:val="16"/>
        </w:rPr>
        <w:footnoteRef/>
      </w:r>
      <w:r w:rsidRPr="00610D76">
        <w:rPr>
          <w:rFonts w:asciiTheme="majorHAnsi" w:hAnsiTheme="majorHAnsi"/>
          <w:i/>
          <w:sz w:val="16"/>
          <w:szCs w:val="16"/>
        </w:rPr>
        <w:t xml:space="preserve"> Gas Safety (Gas Installation) Regulations 2018.</w:t>
      </w:r>
      <w:r w:rsidRPr="00610D76">
        <w:rPr>
          <w:rFonts w:asciiTheme="majorHAnsi" w:hAnsiTheme="majorHAnsi"/>
          <w:sz w:val="16"/>
          <w:szCs w:val="16"/>
        </w:rPr>
        <w:t xml:space="preserve"> A person may replace an existing flueless space heater in residential premises with a new flueless space heater (the new heater) if— (a) the heater being replaced operated on LP Gas; and (b) the new heater operates on LP Gas; and (c) the emission of oxides of nitrogen from the new heater does not exceed 2</w:t>
      </w:r>
      <w:r w:rsidRPr="00610D76">
        <w:rPr>
          <w:rFonts w:ascii="Cambria Math" w:hAnsi="Cambria Math" w:cs="Cambria Math"/>
          <w:sz w:val="16"/>
          <w:szCs w:val="16"/>
        </w:rPr>
        <w:t>⋅</w:t>
      </w:r>
      <w:r w:rsidRPr="00610D76">
        <w:rPr>
          <w:rFonts w:asciiTheme="majorHAnsi" w:hAnsiTheme="majorHAnsi"/>
          <w:sz w:val="16"/>
          <w:szCs w:val="16"/>
        </w:rPr>
        <w:t>5 ng/J; and (d) the carbon monoxide/carbon dioxide ratio of the new heater does not exceed 0</w:t>
      </w:r>
      <w:r w:rsidRPr="00610D76">
        <w:rPr>
          <w:rFonts w:ascii="Cambria Math" w:hAnsi="Cambria Math" w:cs="Cambria Math"/>
          <w:sz w:val="16"/>
          <w:szCs w:val="16"/>
        </w:rPr>
        <w:t>⋅</w:t>
      </w:r>
      <w:r w:rsidRPr="00610D76">
        <w:rPr>
          <w:rFonts w:asciiTheme="majorHAnsi" w:hAnsiTheme="majorHAnsi"/>
          <w:sz w:val="16"/>
          <w:szCs w:val="16"/>
        </w:rPr>
        <w:t>002.</w:t>
      </w:r>
    </w:p>
  </w:footnote>
  <w:footnote w:id="50">
    <w:p w14:paraId="5787616A" w14:textId="48094FE7" w:rsidR="0082085F" w:rsidRDefault="0082085F">
      <w:pPr>
        <w:pStyle w:val="FootnoteText"/>
      </w:pPr>
      <w:r>
        <w:rPr>
          <w:rStyle w:val="FootnoteReference"/>
        </w:rPr>
        <w:footnoteRef/>
      </w:r>
      <w:r>
        <w:t xml:space="preserve"> </w:t>
      </w:r>
      <w:r w:rsidRPr="00CC4A0B">
        <w:rPr>
          <w:rFonts w:asciiTheme="minorHAnsi" w:hAnsiTheme="minorHAnsi"/>
          <w:color w:val="000000" w:themeColor="text1"/>
        </w:rPr>
        <w:t xml:space="preserve">The safety alert is available at this link - </w:t>
      </w:r>
      <w:hyperlink r:id="rId9" w:history="1">
        <w:r w:rsidRPr="00CC4A0B">
          <w:rPr>
            <w:rStyle w:val="Hyperlink"/>
            <w:rFonts w:asciiTheme="minorHAnsi" w:hAnsiTheme="minorHAnsi"/>
          </w:rPr>
          <w:t>https://www.esv.vic.gov.au/safety-alerts/gas-open-flued-gas-heaters/</w:t>
        </w:r>
      </w:hyperlink>
    </w:p>
  </w:footnote>
  <w:footnote w:id="51">
    <w:p w14:paraId="290B169A" w14:textId="0878E59B" w:rsidR="0082085F" w:rsidRPr="00096B3A" w:rsidRDefault="0082085F" w:rsidP="001B7171">
      <w:pPr>
        <w:pStyle w:val="FootnoteText"/>
        <w:rPr>
          <w:szCs w:val="16"/>
        </w:rPr>
      </w:pPr>
      <w:r w:rsidRPr="00096B3A">
        <w:rPr>
          <w:rStyle w:val="FootnoteReference"/>
          <w:szCs w:val="16"/>
        </w:rPr>
        <w:footnoteRef/>
      </w:r>
      <w:r w:rsidRPr="00096B3A">
        <w:rPr>
          <w:szCs w:val="16"/>
        </w:rPr>
        <w:t xml:space="preserve"> Information provided by DHHS (meeting 24 September 2019)</w:t>
      </w:r>
      <w:r w:rsidR="00D154FC">
        <w:rPr>
          <w:szCs w:val="16"/>
        </w:rPr>
        <w:t>.</w:t>
      </w:r>
    </w:p>
  </w:footnote>
  <w:footnote w:id="52">
    <w:p w14:paraId="296ECAF8" w14:textId="2B9F01DC" w:rsidR="0082085F" w:rsidRPr="00CC4A0B" w:rsidRDefault="0082085F" w:rsidP="001B7171">
      <w:pPr>
        <w:pStyle w:val="FootnoteText"/>
      </w:pPr>
      <w:r w:rsidRPr="4032E5C1">
        <w:rPr>
          <w:rStyle w:val="FootnoteReference"/>
        </w:rPr>
        <w:footnoteRef/>
      </w:r>
      <w:r w:rsidR="4032E5C1" w:rsidRPr="4032E5C1">
        <w:t xml:space="preserve"> Consumer Affairs Victoria (2020) ’Renting a home: a guide for tenants’ Accessed </w:t>
      </w:r>
      <w:r w:rsidR="00AC73BD">
        <w:t>at</w:t>
      </w:r>
      <w:r w:rsidR="4032E5C1" w:rsidRPr="4032E5C1">
        <w:t xml:space="preserve">: </w:t>
      </w:r>
      <w:hyperlink r:id="rId10" w:history="1">
        <w:r w:rsidR="4032E5C1" w:rsidRPr="4032E5C1">
          <w:rPr>
            <w:rStyle w:val="Hyperlink"/>
          </w:rPr>
          <w:t>https://www.consumer.vic.gov.au/housing/renting/renting-guide</w:t>
        </w:r>
      </w:hyperlink>
      <w:r w:rsidR="4032E5C1">
        <w:t xml:space="preserve"> </w:t>
      </w:r>
    </w:p>
  </w:footnote>
  <w:footnote w:id="53">
    <w:p w14:paraId="08A3C275" w14:textId="210D1366" w:rsidR="0082085F" w:rsidRPr="00CC4A0B" w:rsidRDefault="0082085F">
      <w:pPr>
        <w:pStyle w:val="FootnoteText"/>
        <w:rPr>
          <w:sz w:val="14"/>
          <w:szCs w:val="14"/>
        </w:rPr>
      </w:pPr>
      <w:r w:rsidRPr="002255EF">
        <w:rPr>
          <w:rStyle w:val="FootnoteReference"/>
          <w:szCs w:val="16"/>
        </w:rPr>
        <w:footnoteRef/>
      </w:r>
      <w:r w:rsidRPr="00CC4A0B">
        <w:rPr>
          <w:sz w:val="14"/>
          <w:szCs w:val="14"/>
        </w:rPr>
        <w:t xml:space="preserve"> </w:t>
      </w:r>
      <w:r w:rsidRPr="000276F0">
        <w:rPr>
          <w:szCs w:val="16"/>
        </w:rPr>
        <w:t>Quantum Market Research, Energy Safe Victoria Gas Heaters Research, July 2018</w:t>
      </w:r>
      <w:r w:rsidR="00D154FC">
        <w:rPr>
          <w:szCs w:val="16"/>
        </w:rPr>
        <w:t>.</w:t>
      </w:r>
    </w:p>
  </w:footnote>
  <w:footnote w:id="54">
    <w:p w14:paraId="5D364C00" w14:textId="75575CFB" w:rsidR="0082085F" w:rsidRPr="008206A7" w:rsidRDefault="0082085F" w:rsidP="006400F7">
      <w:pPr>
        <w:pStyle w:val="FootnoteText"/>
        <w:rPr>
          <w:szCs w:val="16"/>
        </w:rPr>
      </w:pPr>
      <w:r w:rsidRPr="00CF3850">
        <w:rPr>
          <w:rStyle w:val="FootnoteReference"/>
          <w:szCs w:val="16"/>
        </w:rPr>
        <w:footnoteRef/>
      </w:r>
      <w:r w:rsidRPr="00CF3850">
        <w:rPr>
          <w:szCs w:val="16"/>
        </w:rPr>
        <w:t xml:space="preserve"> J. Rose et al. (2017</w:t>
      </w:r>
      <w:r w:rsidRPr="003578B0">
        <w:rPr>
          <w:szCs w:val="16"/>
        </w:rPr>
        <w:t xml:space="preserve">). </w:t>
      </w:r>
      <w:r w:rsidRPr="008206A7">
        <w:rPr>
          <w:i/>
          <w:szCs w:val="16"/>
        </w:rPr>
        <w:t xml:space="preserve">Carbon Monoxide Poisoning: Pathogenesis, Management, and Future Directions of Therapy. </w:t>
      </w:r>
      <w:r w:rsidRPr="008206A7">
        <w:rPr>
          <w:szCs w:val="16"/>
        </w:rPr>
        <w:t>American Journal of Respiratory and Critical Care Medicine</w:t>
      </w:r>
      <w:r w:rsidR="00F7768B" w:rsidRPr="008206A7">
        <w:rPr>
          <w:szCs w:val="16"/>
        </w:rPr>
        <w:t>.</w:t>
      </w:r>
    </w:p>
  </w:footnote>
  <w:footnote w:id="55">
    <w:p w14:paraId="6204EFEA" w14:textId="2B164118" w:rsidR="0082085F" w:rsidRDefault="0082085F" w:rsidP="00512583">
      <w:pPr>
        <w:pStyle w:val="FootnoteText"/>
      </w:pPr>
      <w:r w:rsidRPr="00CF3850">
        <w:rPr>
          <w:rStyle w:val="FootnoteReference"/>
        </w:rPr>
        <w:footnoteRef/>
      </w:r>
      <w:r w:rsidRPr="00CF3850">
        <w:t xml:space="preserve"> </w:t>
      </w:r>
      <w:r w:rsidRPr="003578B0">
        <w:t>JH Lange and Albert V Condello III</w:t>
      </w:r>
      <w:r w:rsidRPr="008206A7">
        <w:t xml:space="preserve"> (2016) </w:t>
      </w:r>
      <w:r w:rsidRPr="008206A7">
        <w:rPr>
          <w:i/>
        </w:rPr>
        <w:t>Neurological Impacts from Carbon Monoxide Poisoning</w:t>
      </w:r>
      <w:r w:rsidRPr="008206A7">
        <w:t xml:space="preserve">, </w:t>
      </w:r>
      <w:hyperlink r:id="rId11" w:history="1">
        <w:r w:rsidRPr="003578B0">
          <w:rPr>
            <w:rStyle w:val="Hyperlink"/>
          </w:rPr>
          <w:t>https://www.researchgate.net/publication/310837870_Neurological_Impacts_from_Carbon_Monoxide_Pois</w:t>
        </w:r>
        <w:r w:rsidRPr="008206A7">
          <w:rPr>
            <w:rStyle w:val="Hyperlink"/>
          </w:rPr>
          <w:t>oning</w:t>
        </w:r>
      </w:hyperlink>
    </w:p>
  </w:footnote>
  <w:footnote w:id="56">
    <w:p w14:paraId="448DC31D" w14:textId="3A7FAA42" w:rsidR="0082085F" w:rsidRDefault="0082085F">
      <w:pPr>
        <w:pStyle w:val="FootnoteText"/>
      </w:pPr>
      <w:r>
        <w:rPr>
          <w:rStyle w:val="FootnoteReference"/>
        </w:rPr>
        <w:footnoteRef/>
      </w:r>
      <w:r>
        <w:t xml:space="preserve"> It is also important to note that not all consumers are aware of what type of gas heater they have and as such may not be able to respond to this deign risk appropriately. </w:t>
      </w:r>
      <w:r w:rsidRPr="00ED0D65">
        <w:t>Market research indicates 50 per cent of people with gas space heaters are unsure as to whether these are open flued.</w:t>
      </w:r>
    </w:p>
  </w:footnote>
  <w:footnote w:id="57">
    <w:p w14:paraId="77EDCFB4" w14:textId="3A954FEA" w:rsidR="0082085F" w:rsidRPr="00CC2E99" w:rsidRDefault="0082085F" w:rsidP="00936D9B">
      <w:pPr>
        <w:pStyle w:val="FootnoteText"/>
        <w:rPr>
          <w:szCs w:val="16"/>
        </w:rPr>
      </w:pPr>
      <w:r w:rsidRPr="00CC2E99">
        <w:rPr>
          <w:rStyle w:val="FootnoteReference"/>
          <w:szCs w:val="16"/>
        </w:rPr>
        <w:footnoteRef/>
      </w:r>
      <w:r w:rsidRPr="00CC2E99">
        <w:rPr>
          <w:szCs w:val="16"/>
        </w:rPr>
        <w:t xml:space="preserve"> DELWP. (2019). Background on OFGSHs – phase out and complementary actions</w:t>
      </w:r>
      <w:r w:rsidR="00887D4D">
        <w:rPr>
          <w:szCs w:val="16"/>
        </w:rPr>
        <w:t>.</w:t>
      </w:r>
    </w:p>
  </w:footnote>
  <w:footnote w:id="58">
    <w:p w14:paraId="72F00229" w14:textId="76AE1BDC" w:rsidR="0082085F" w:rsidRPr="00096B3A" w:rsidRDefault="0082085F" w:rsidP="00474B85">
      <w:pPr>
        <w:pStyle w:val="FootnoteText"/>
        <w:rPr>
          <w:szCs w:val="16"/>
        </w:rPr>
      </w:pPr>
      <w:r w:rsidRPr="00D20CA4">
        <w:rPr>
          <w:rStyle w:val="FootnoteReference"/>
          <w:szCs w:val="16"/>
        </w:rPr>
        <w:footnoteRef/>
      </w:r>
      <w:r w:rsidRPr="00CC4A0B">
        <w:rPr>
          <w:sz w:val="14"/>
          <w:szCs w:val="14"/>
        </w:rPr>
        <w:t xml:space="preserve"> </w:t>
      </w:r>
      <w:r w:rsidRPr="00096B3A">
        <w:rPr>
          <w:szCs w:val="16"/>
        </w:rPr>
        <w:t xml:space="preserve">Coroners Court of Victoria. (2018). </w:t>
      </w:r>
      <w:r w:rsidRPr="00C05212">
        <w:rPr>
          <w:i/>
          <w:iCs/>
          <w:szCs w:val="16"/>
        </w:rPr>
        <w:t>Inquest into the death of Sonia Sofianopoulos.</w:t>
      </w:r>
      <w:r w:rsidRPr="004C6107">
        <w:rPr>
          <w:rFonts w:cstheme="minorHAnsi"/>
          <w:szCs w:val="16"/>
        </w:rPr>
        <w:t xml:space="preserve"> </w:t>
      </w:r>
      <w:r w:rsidRPr="00DA0E5F">
        <w:rPr>
          <w:rFonts w:cstheme="minorHAnsi"/>
          <w:szCs w:val="16"/>
        </w:rPr>
        <w:t>(File no. COR 2017/3566)</w:t>
      </w:r>
      <w:r w:rsidR="008206A7">
        <w:rPr>
          <w:rFonts w:cstheme="minorHAnsi"/>
          <w:szCs w:val="16"/>
        </w:rPr>
        <w:t>.</w:t>
      </w:r>
    </w:p>
  </w:footnote>
  <w:footnote w:id="59">
    <w:p w14:paraId="7C8FE3AA" w14:textId="5CF811D4" w:rsidR="0082085F" w:rsidRPr="00CC4A0B" w:rsidRDefault="0082085F" w:rsidP="00474B85">
      <w:pPr>
        <w:pStyle w:val="FootnoteText"/>
        <w:rPr>
          <w:sz w:val="14"/>
          <w:szCs w:val="14"/>
        </w:rPr>
      </w:pPr>
      <w:r w:rsidRPr="00D20CA4">
        <w:rPr>
          <w:rStyle w:val="FootnoteReference"/>
          <w:szCs w:val="16"/>
        </w:rPr>
        <w:footnoteRef/>
      </w:r>
      <w:r w:rsidRPr="00CC4A0B">
        <w:rPr>
          <w:sz w:val="14"/>
          <w:szCs w:val="14"/>
        </w:rPr>
        <w:t xml:space="preserve"> </w:t>
      </w:r>
      <w:r>
        <w:rPr>
          <w:szCs w:val="16"/>
        </w:rPr>
        <w:t>Ibid.</w:t>
      </w:r>
    </w:p>
  </w:footnote>
  <w:footnote w:id="60">
    <w:p w14:paraId="371DEBDE" w14:textId="77777777" w:rsidR="0082085F" w:rsidRDefault="0082085F" w:rsidP="00474B85">
      <w:pPr>
        <w:pStyle w:val="FootnoteText"/>
      </w:pPr>
      <w:r w:rsidRPr="00D20CA4">
        <w:rPr>
          <w:rStyle w:val="FootnoteReference"/>
          <w:szCs w:val="16"/>
        </w:rPr>
        <w:footnoteRef/>
      </w:r>
      <w:r w:rsidRPr="00D20CA4">
        <w:rPr>
          <w:szCs w:val="16"/>
        </w:rPr>
        <w:t xml:space="preserve"> </w:t>
      </w:r>
      <w:r w:rsidRPr="00096B3A">
        <w:rPr>
          <w:szCs w:val="16"/>
        </w:rPr>
        <w:t>This certification enables the legal sale of these appliances.</w:t>
      </w:r>
    </w:p>
  </w:footnote>
  <w:footnote w:id="61">
    <w:p w14:paraId="00161BFD" w14:textId="77777777" w:rsidR="0082085F" w:rsidRDefault="0082085F" w:rsidP="00805C80">
      <w:pPr>
        <w:pStyle w:val="FootnoteText"/>
      </w:pPr>
      <w:r w:rsidRPr="00BB56FF">
        <w:rPr>
          <w:rStyle w:val="FootnoteReference"/>
        </w:rPr>
        <w:footnoteRef/>
      </w:r>
      <w:r w:rsidRPr="00BB56FF">
        <w:t xml:space="preserve"> </w:t>
      </w:r>
      <w:r w:rsidRPr="009F7691">
        <w:t>In fan assisted appliances the combustion fan typically can only operate while the burner is in operation. In other words, the consumer cannot turn off the combustion fan.</w:t>
      </w:r>
    </w:p>
  </w:footnote>
  <w:footnote w:id="62">
    <w:p w14:paraId="6B3C72D4" w14:textId="77777777" w:rsidR="0082085F" w:rsidRPr="00CC4A0B" w:rsidRDefault="0082085F" w:rsidP="00805C80">
      <w:pPr>
        <w:pStyle w:val="FootnoteText"/>
        <w:rPr>
          <w:sz w:val="14"/>
          <w:szCs w:val="14"/>
        </w:rPr>
      </w:pPr>
      <w:r w:rsidRPr="006E2CE9">
        <w:rPr>
          <w:rStyle w:val="FootnoteReference"/>
          <w:szCs w:val="16"/>
        </w:rPr>
        <w:footnoteRef/>
      </w:r>
      <w:r w:rsidRPr="006E2CE9">
        <w:rPr>
          <w:szCs w:val="16"/>
        </w:rPr>
        <w:t xml:space="preserve"> </w:t>
      </w:r>
      <w:r w:rsidRPr="004458B1">
        <w:rPr>
          <w:szCs w:val="16"/>
        </w:rPr>
        <w:t>A flue is a passage through which combustion products generated by a gas appliance are expelled to the outside of a building</w:t>
      </w:r>
      <w:r w:rsidRPr="006E2CE9">
        <w:rPr>
          <w:szCs w:val="16"/>
        </w:rPr>
        <w:t>.</w:t>
      </w:r>
    </w:p>
  </w:footnote>
  <w:footnote w:id="63">
    <w:p w14:paraId="090E1885" w14:textId="77777777" w:rsidR="0082085F" w:rsidRPr="00827E2D" w:rsidRDefault="0082085F" w:rsidP="00805C80">
      <w:pPr>
        <w:spacing w:after="0"/>
        <w:rPr>
          <w:sz w:val="16"/>
          <w:szCs w:val="16"/>
        </w:rPr>
      </w:pPr>
      <w:r w:rsidRPr="00774397">
        <w:rPr>
          <w:rStyle w:val="FootnoteReference"/>
          <w:sz w:val="16"/>
          <w:szCs w:val="16"/>
        </w:rPr>
        <w:footnoteRef/>
      </w:r>
      <w:r w:rsidRPr="00774397">
        <w:rPr>
          <w:sz w:val="16"/>
          <w:szCs w:val="16"/>
        </w:rPr>
        <w:t xml:space="preserve"> </w:t>
      </w:r>
      <w:r w:rsidRPr="00827E2D">
        <w:rPr>
          <w:sz w:val="16"/>
          <w:szCs w:val="16"/>
        </w:rPr>
        <w:t xml:space="preserve">There are two types of decorative effect appliances: </w:t>
      </w:r>
    </w:p>
    <w:p w14:paraId="7CCF5DFC" w14:textId="61A6FCD8" w:rsidR="0082085F" w:rsidRPr="00B066FA" w:rsidRDefault="0082085F" w:rsidP="00096B3A">
      <w:pPr>
        <w:pStyle w:val="Footer"/>
        <w:numPr>
          <w:ilvl w:val="0"/>
          <w:numId w:val="171"/>
        </w:numPr>
        <w:rPr>
          <w:szCs w:val="16"/>
        </w:rPr>
      </w:pPr>
      <w:r w:rsidRPr="00B066FA">
        <w:t xml:space="preserve">Type 1 decorative effect appliances: are open flame appliances which can </w:t>
      </w:r>
      <w:r w:rsidRPr="00B066FA">
        <w:rPr>
          <w:szCs w:val="16"/>
        </w:rPr>
        <w:t>be installed in a masonry chimney</w:t>
      </w:r>
      <w:r>
        <w:rPr>
          <w:szCs w:val="16"/>
        </w:rPr>
        <w:t>.</w:t>
      </w:r>
    </w:p>
    <w:p w14:paraId="3A558B2D" w14:textId="57F13DCA" w:rsidR="0082085F" w:rsidRDefault="0082085F" w:rsidP="00096B3A">
      <w:pPr>
        <w:pStyle w:val="Footer"/>
        <w:numPr>
          <w:ilvl w:val="0"/>
          <w:numId w:val="171"/>
        </w:numPr>
      </w:pPr>
      <w:r w:rsidRPr="00B066FA">
        <w:t xml:space="preserve">Type 2 decorative effect appliances, which can be open flame or glass fronted appliances, and which must be installed with a full metal flue. As decorative effect appliances are not space heaters, they must conform to a different standard than </w:t>
      </w:r>
      <w:r>
        <w:t xml:space="preserve">OFGSHs </w:t>
      </w:r>
      <w:r w:rsidRPr="00B066FA">
        <w:t>(AS/NZS 5263.1.8 - Gas Appliances - Decorative Effect Gas Appliances). Unlike OFGSH, decorative effect heaters must be installed with permanent ventilation, regardless of room size.</w:t>
      </w:r>
      <w:r w:rsidRPr="00774397">
        <w:t xml:space="preserve"> </w:t>
      </w:r>
    </w:p>
  </w:footnote>
  <w:footnote w:id="64">
    <w:p w14:paraId="61E1ECE5" w14:textId="5FFF4319" w:rsidR="0082085F" w:rsidRDefault="0082085F">
      <w:pPr>
        <w:pStyle w:val="FootnoteText"/>
      </w:pPr>
      <w:r>
        <w:rPr>
          <w:rStyle w:val="FootnoteReference"/>
        </w:rPr>
        <w:footnoteRef/>
      </w:r>
      <w:r>
        <w:t xml:space="preserve"> Note that any definition subsequently adopted for </w:t>
      </w:r>
      <w:r w:rsidRPr="00E1778B">
        <w:t>amendments to the relevant Australian Standards (AS/NZS5263.1.3</w:t>
      </w:r>
      <w:r>
        <w:t xml:space="preserve"> and AS/NZS5263.1.8</w:t>
      </w:r>
      <w:r w:rsidRPr="00E1778B">
        <w:t>)</w:t>
      </w:r>
      <w:r>
        <w:t xml:space="preserve"> under the preferred option may differ from this definition.</w:t>
      </w:r>
    </w:p>
  </w:footnote>
  <w:footnote w:id="65">
    <w:p w14:paraId="2F0249F8" w14:textId="052861D9" w:rsidR="0082085F" w:rsidRDefault="0082085F">
      <w:pPr>
        <w:pStyle w:val="FootnoteText"/>
      </w:pPr>
      <w:r>
        <w:rPr>
          <w:rStyle w:val="FootnoteReference"/>
        </w:rPr>
        <w:footnoteRef/>
      </w:r>
      <w:r>
        <w:t xml:space="preserve"> </w:t>
      </w:r>
      <w:r w:rsidRPr="004F7E34">
        <w:t>Uncontrolled ventilation or infiltration refers to air movement through gaps in the building shell that is dependent on wind speeds and temperature differences between the outside and the inside and cannot be controlled by the occupant.</w:t>
      </w:r>
    </w:p>
  </w:footnote>
  <w:footnote w:id="66">
    <w:p w14:paraId="50511FB9" w14:textId="7D950E64" w:rsidR="0082085F" w:rsidRPr="00E050F6" w:rsidRDefault="0082085F" w:rsidP="00536606">
      <w:pPr>
        <w:pStyle w:val="FootnoteText"/>
      </w:pPr>
      <w:r w:rsidRPr="4032E5C1">
        <w:rPr>
          <w:rStyle w:val="FootnoteReference"/>
        </w:rPr>
        <w:footnoteRef/>
      </w:r>
      <w:r w:rsidRPr="009D5538">
        <w:rPr>
          <w:szCs w:val="16"/>
        </w:rPr>
        <w:t xml:space="preserve"> </w:t>
      </w:r>
      <w:r w:rsidRPr="4032E5C1">
        <w:t xml:space="preserve">Sustainability Victoria </w:t>
      </w:r>
      <w:r w:rsidR="4032E5C1" w:rsidRPr="4032E5C1">
        <w:t xml:space="preserve">(2020) </w:t>
      </w:r>
      <w:r w:rsidRPr="009602AF">
        <w:t>Energy ratings, construction codes and standards</w:t>
      </w:r>
      <w:r w:rsidR="4032E5C1" w:rsidRPr="009602AF">
        <w:t xml:space="preserve">. </w:t>
      </w:r>
      <w:r w:rsidR="4032E5C1" w:rsidRPr="4032E5C1">
        <w:t>Accessed at:</w:t>
      </w:r>
      <w:r w:rsidR="4032E5C1" w:rsidRPr="009602AF">
        <w:t xml:space="preserve"> </w:t>
      </w:r>
      <w:hyperlink r:id="rId12" w:history="1">
        <w:r w:rsidR="00345E01" w:rsidRPr="005702B0">
          <w:rPr>
            <w:rStyle w:val="Hyperlink"/>
          </w:rPr>
          <w:t>https://www.sustainability.vic.gov.au/You-and-Your-Home/Building-and-renovating/Planning-and-design/Energy-ratings-construction-codes-and-standards</w:t>
        </w:r>
      </w:hyperlink>
    </w:p>
  </w:footnote>
  <w:footnote w:id="67">
    <w:p w14:paraId="533AEB1A" w14:textId="3306371F" w:rsidR="0082085F" w:rsidRPr="009D5538" w:rsidRDefault="0082085F" w:rsidP="00536606">
      <w:pPr>
        <w:spacing w:after="0" w:line="240" w:lineRule="auto"/>
        <w:rPr>
          <w:sz w:val="16"/>
          <w:szCs w:val="16"/>
        </w:rPr>
      </w:pPr>
      <w:r w:rsidRPr="00437172">
        <w:rPr>
          <w:rStyle w:val="FootnoteReference"/>
          <w:sz w:val="16"/>
          <w:szCs w:val="16"/>
        </w:rPr>
        <w:footnoteRef/>
      </w:r>
      <w:r w:rsidRPr="00437172">
        <w:rPr>
          <w:sz w:val="16"/>
          <w:szCs w:val="16"/>
        </w:rPr>
        <w:t xml:space="preserve"> </w:t>
      </w:r>
      <w:r w:rsidRPr="000276F0">
        <w:rPr>
          <w:sz w:val="16"/>
          <w:szCs w:val="16"/>
        </w:rPr>
        <w:t>Sustainability Victoria</w:t>
      </w:r>
      <w:r w:rsidR="4032E5C1" w:rsidRPr="4032E5C1">
        <w:rPr>
          <w:sz w:val="16"/>
          <w:szCs w:val="16"/>
        </w:rPr>
        <w:t xml:space="preserve"> (2020)</w:t>
      </w:r>
      <w:r w:rsidRPr="000276F0">
        <w:rPr>
          <w:sz w:val="16"/>
          <w:szCs w:val="16"/>
        </w:rPr>
        <w:t xml:space="preserve"> </w:t>
      </w:r>
      <w:r w:rsidRPr="009602AF">
        <w:rPr>
          <w:sz w:val="16"/>
          <w:szCs w:val="16"/>
        </w:rPr>
        <w:t xml:space="preserve">Energy ratings, construction codes and standards, </w:t>
      </w:r>
      <w:r w:rsidR="4032E5C1" w:rsidRPr="009602AF">
        <w:rPr>
          <w:sz w:val="16"/>
          <w:szCs w:val="16"/>
        </w:rPr>
        <w:t xml:space="preserve">Accessed </w:t>
      </w:r>
      <w:r w:rsidR="00BA0613">
        <w:rPr>
          <w:sz w:val="16"/>
          <w:szCs w:val="16"/>
        </w:rPr>
        <w:t>at</w:t>
      </w:r>
      <w:r w:rsidR="4032E5C1" w:rsidRPr="009602AF">
        <w:rPr>
          <w:sz w:val="16"/>
          <w:szCs w:val="16"/>
        </w:rPr>
        <w:t xml:space="preserve">:  </w:t>
      </w:r>
      <w:hyperlink r:id="rId13" w:history="1">
        <w:r w:rsidR="00345E01" w:rsidRPr="009602AF">
          <w:rPr>
            <w:rStyle w:val="Hyperlink"/>
            <w:sz w:val="16"/>
            <w:szCs w:val="16"/>
          </w:rPr>
          <w:t>https://www.sustainability.vic.gov.au/You-and-your-home/Building-and-renovating/Planning-and-design/Energy-ratings-construction-codes-and-standards</w:t>
        </w:r>
      </w:hyperlink>
      <w:r w:rsidR="00345E01">
        <w:t xml:space="preserve"> </w:t>
      </w:r>
    </w:p>
  </w:footnote>
  <w:footnote w:id="68">
    <w:p w14:paraId="165A17B2" w14:textId="63B5F8CB" w:rsidR="0082085F" w:rsidRPr="009D5538" w:rsidRDefault="0082085F" w:rsidP="00536606">
      <w:pPr>
        <w:pStyle w:val="FootnoteText"/>
      </w:pPr>
      <w:r w:rsidRPr="00263450">
        <w:rPr>
          <w:rStyle w:val="FootnoteReference"/>
        </w:rPr>
        <w:footnoteRef/>
      </w:r>
      <w:r w:rsidRPr="00263450">
        <w:rPr>
          <w:szCs w:val="16"/>
        </w:rPr>
        <w:t xml:space="preserve"> Nationwide House Energy Rating Scheme</w:t>
      </w:r>
      <w:r w:rsidR="4032E5C1" w:rsidRPr="00263450">
        <w:rPr>
          <w:szCs w:val="16"/>
        </w:rPr>
        <w:t xml:space="preserve"> (2020)</w:t>
      </w:r>
      <w:r w:rsidRPr="00674F8D">
        <w:rPr>
          <w:szCs w:val="16"/>
        </w:rPr>
        <w:t xml:space="preserve"> </w:t>
      </w:r>
      <w:r w:rsidRPr="009602AF">
        <w:rPr>
          <w:szCs w:val="16"/>
        </w:rPr>
        <w:t>Home energy star ratings</w:t>
      </w:r>
      <w:r w:rsidR="00266E6A" w:rsidRPr="00263450">
        <w:rPr>
          <w:szCs w:val="16"/>
        </w:rPr>
        <w:t>,</w:t>
      </w:r>
      <w:r w:rsidR="00B02A39" w:rsidRPr="00674F8D">
        <w:rPr>
          <w:szCs w:val="16"/>
        </w:rPr>
        <w:t xml:space="preserve"> </w:t>
      </w:r>
      <w:r w:rsidR="4032E5C1" w:rsidRPr="009602AF">
        <w:rPr>
          <w:szCs w:val="16"/>
        </w:rPr>
        <w:t xml:space="preserve">Accessed </w:t>
      </w:r>
      <w:r w:rsidR="00BA0613" w:rsidRPr="00263450">
        <w:rPr>
          <w:szCs w:val="16"/>
        </w:rPr>
        <w:t>at</w:t>
      </w:r>
      <w:r w:rsidR="4032E5C1" w:rsidRPr="009602AF">
        <w:rPr>
          <w:szCs w:val="16"/>
        </w:rPr>
        <w:t>:</w:t>
      </w:r>
      <w:r w:rsidR="4032E5C1">
        <w:rPr>
          <w:szCs w:val="16"/>
        </w:rPr>
        <w:t xml:space="preserve"> </w:t>
      </w:r>
      <w:hyperlink r:id="rId14" w:history="1">
        <w:r w:rsidR="00674F8D">
          <w:rPr>
            <w:rStyle w:val="Hyperlink"/>
          </w:rPr>
          <w:t>https://www.nathers.gov.au/owners-and-builders/home-energy-star-ratings</w:t>
        </w:r>
      </w:hyperlink>
    </w:p>
  </w:footnote>
  <w:footnote w:id="69">
    <w:p w14:paraId="194BB393" w14:textId="5649AD7F" w:rsidR="0082085F" w:rsidRPr="00E050F6" w:rsidRDefault="0082085F" w:rsidP="00CF7342">
      <w:pPr>
        <w:pStyle w:val="FootnoteText"/>
      </w:pPr>
      <w:r w:rsidRPr="4032E5C1">
        <w:rPr>
          <w:rStyle w:val="FootnoteReference"/>
        </w:rPr>
        <w:footnoteRef/>
      </w:r>
      <w:r w:rsidRPr="00E050F6">
        <w:rPr>
          <w:szCs w:val="16"/>
        </w:rPr>
        <w:t xml:space="preserve"> </w:t>
      </w:r>
      <w:r w:rsidRPr="4032E5C1">
        <w:t>V</w:t>
      </w:r>
      <w:r>
        <w:rPr>
          <w:szCs w:val="16"/>
        </w:rPr>
        <w:t>ictorian State Government</w:t>
      </w:r>
      <w:r w:rsidR="4032E5C1" w:rsidRPr="00ED0058">
        <w:rPr>
          <w:szCs w:val="16"/>
        </w:rPr>
        <w:t xml:space="preserve"> (2020)</w:t>
      </w:r>
      <w:r w:rsidR="4032E5C1" w:rsidRPr="009B1BE8">
        <w:rPr>
          <w:szCs w:val="16"/>
        </w:rPr>
        <w:t xml:space="preserve"> ’Information</w:t>
      </w:r>
      <w:r w:rsidRPr="009B1BE8">
        <w:rPr>
          <w:szCs w:val="16"/>
        </w:rPr>
        <w:t xml:space="preserve"> on doorknocking, telemarketing and other advertising </w:t>
      </w:r>
      <w:r w:rsidR="4032E5C1" w:rsidRPr="009B1BE8">
        <w:rPr>
          <w:szCs w:val="16"/>
        </w:rPr>
        <w:t>practices</w:t>
      </w:r>
      <w:r w:rsidR="00CA5529">
        <w:rPr>
          <w:szCs w:val="16"/>
        </w:rPr>
        <w:t>,</w:t>
      </w:r>
      <w:r w:rsidR="4032E5C1" w:rsidRPr="00CF7342">
        <w:rPr>
          <w:szCs w:val="16"/>
        </w:rPr>
        <w:t>’</w:t>
      </w:r>
      <w:r w:rsidR="00CA5529">
        <w:rPr>
          <w:szCs w:val="16"/>
        </w:rPr>
        <w:t xml:space="preserve"> Accessed at:</w:t>
      </w:r>
      <w:r w:rsidR="4032E5C1" w:rsidRPr="009B1BE8">
        <w:rPr>
          <w:szCs w:val="16"/>
        </w:rPr>
        <w:t xml:space="preserve"> </w:t>
      </w:r>
      <w:hyperlink r:id="rId15" w:history="1">
        <w:r w:rsidR="00CA5529" w:rsidRPr="009B1BE8">
          <w:rPr>
            <w:rStyle w:val="Hyperlink"/>
          </w:rPr>
          <w:t>https://www.victorianenergysaver.vic.gov.au/__data/assets/pdf_file/0022/428017/VEU-doorknocking-and-telesales-info.pdf</w:t>
        </w:r>
      </w:hyperlink>
    </w:p>
  </w:footnote>
  <w:footnote w:id="70">
    <w:p w14:paraId="0834D2D1" w14:textId="1886CA4A" w:rsidR="0082085F" w:rsidRPr="003E26FC" w:rsidRDefault="0082085F" w:rsidP="00CF7342">
      <w:pPr>
        <w:spacing w:after="0" w:line="240" w:lineRule="auto"/>
        <w:rPr>
          <w:sz w:val="16"/>
          <w:szCs w:val="16"/>
        </w:rPr>
      </w:pPr>
      <w:r w:rsidRPr="003E26FC">
        <w:rPr>
          <w:rStyle w:val="FootnoteReference"/>
          <w:sz w:val="16"/>
          <w:szCs w:val="16"/>
        </w:rPr>
        <w:footnoteRef/>
      </w:r>
      <w:r w:rsidRPr="003E26FC">
        <w:rPr>
          <w:sz w:val="16"/>
          <w:szCs w:val="16"/>
        </w:rPr>
        <w:t xml:space="preserve"> </w:t>
      </w:r>
      <w:r>
        <w:rPr>
          <w:sz w:val="16"/>
          <w:szCs w:val="16"/>
        </w:rPr>
        <w:t>Sustainability</w:t>
      </w:r>
      <w:r w:rsidRPr="00F632FE">
        <w:rPr>
          <w:sz w:val="16"/>
          <w:szCs w:val="16"/>
        </w:rPr>
        <w:t xml:space="preserve"> Victoria</w:t>
      </w:r>
      <w:r w:rsidR="4032E5C1" w:rsidRPr="4032E5C1">
        <w:rPr>
          <w:sz w:val="16"/>
          <w:szCs w:val="16"/>
        </w:rPr>
        <w:t xml:space="preserve"> (2020)</w:t>
      </w:r>
      <w:r w:rsidRPr="00F632FE">
        <w:rPr>
          <w:sz w:val="16"/>
          <w:szCs w:val="16"/>
        </w:rPr>
        <w:t xml:space="preserve"> </w:t>
      </w:r>
      <w:r w:rsidRPr="009B1BE8">
        <w:rPr>
          <w:sz w:val="16"/>
          <w:szCs w:val="16"/>
        </w:rPr>
        <w:t xml:space="preserve">Victorian Healthy Homes Program </w:t>
      </w:r>
      <w:r w:rsidR="4032E5C1" w:rsidRPr="009B1BE8">
        <w:rPr>
          <w:sz w:val="16"/>
          <w:szCs w:val="16"/>
        </w:rPr>
        <w:t xml:space="preserve">Accessed </w:t>
      </w:r>
      <w:r w:rsidR="00456D91">
        <w:rPr>
          <w:sz w:val="16"/>
          <w:szCs w:val="16"/>
        </w:rPr>
        <w:t>at</w:t>
      </w:r>
      <w:r w:rsidR="4032E5C1" w:rsidRPr="00CF7342">
        <w:rPr>
          <w:sz w:val="16"/>
          <w:szCs w:val="16"/>
        </w:rPr>
        <w:t>:</w:t>
      </w:r>
      <w:r w:rsidR="00456D91">
        <w:rPr>
          <w:sz w:val="16"/>
          <w:szCs w:val="16"/>
        </w:rPr>
        <w:t xml:space="preserve"> </w:t>
      </w:r>
      <w:hyperlink r:id="rId16" w:history="1">
        <w:r w:rsidR="00CD64F1" w:rsidRPr="009B1BE8">
          <w:rPr>
            <w:rStyle w:val="Hyperlink"/>
            <w:sz w:val="16"/>
            <w:szCs w:val="16"/>
          </w:rPr>
          <w:t>https://www.sustainability.vic.gov.au/Grants-and-funding/Victorian-Healthy-Homes-Program</w:t>
        </w:r>
      </w:hyperlink>
      <w:r w:rsidR="00CD64F1">
        <w:t xml:space="preserve"> </w:t>
      </w:r>
      <w:r w:rsidR="00456D91">
        <w:rPr>
          <w:sz w:val="16"/>
          <w:szCs w:val="16"/>
        </w:rPr>
        <w:t xml:space="preserve"> </w:t>
      </w:r>
    </w:p>
  </w:footnote>
  <w:footnote w:id="71">
    <w:p w14:paraId="4234EDA9" w14:textId="77777777" w:rsidR="0082085F" w:rsidRPr="00943C48" w:rsidRDefault="0082085F" w:rsidP="005F096F">
      <w:pPr>
        <w:pStyle w:val="FootnoteText"/>
        <w:rPr>
          <w:szCs w:val="16"/>
        </w:rPr>
      </w:pPr>
      <w:r w:rsidRPr="00E050F6">
        <w:rPr>
          <w:rStyle w:val="FootnoteReference"/>
          <w:szCs w:val="16"/>
        </w:rPr>
        <w:footnoteRef/>
      </w:r>
      <w:r w:rsidRPr="00E050F6">
        <w:rPr>
          <w:szCs w:val="16"/>
        </w:rPr>
        <w:t xml:space="preserve"> Molloy, S.B., Cheng, M., Galbally I.E., Keywood, M.D., Lawson, S.J. Powell, J.C., Gillett, R., Dunne, E., Selleck, P.W. (2012). Indoor air quality in typical temperate zone Australian dwellings. Elsevier: Atmospheric Environment </w:t>
      </w:r>
      <w:r w:rsidRPr="00D75C14">
        <w:rPr>
          <w:szCs w:val="16"/>
        </w:rPr>
        <w:t>54(2012) p400-407.</w:t>
      </w:r>
    </w:p>
  </w:footnote>
  <w:footnote w:id="72">
    <w:p w14:paraId="038E3946" w14:textId="75E554C3" w:rsidR="0082085F" w:rsidRPr="00E050F6" w:rsidRDefault="0082085F">
      <w:pPr>
        <w:pStyle w:val="FootnoteText"/>
      </w:pPr>
      <w:r w:rsidRPr="4032E5C1">
        <w:rPr>
          <w:rStyle w:val="FootnoteReference"/>
        </w:rPr>
        <w:footnoteRef/>
      </w:r>
      <w:r w:rsidRPr="00E050F6">
        <w:rPr>
          <w:szCs w:val="16"/>
        </w:rPr>
        <w:t xml:space="preserve"> </w:t>
      </w:r>
      <w:r w:rsidRPr="4032E5C1">
        <w:t>Sustainability Victoria</w:t>
      </w:r>
      <w:r w:rsidR="4032E5C1" w:rsidRPr="4032E5C1">
        <w:t xml:space="preserve"> (2015)</w:t>
      </w:r>
      <w:r w:rsidR="009B1BE8">
        <w:t xml:space="preserve">. </w:t>
      </w:r>
      <w:r w:rsidRPr="009B1BE8">
        <w:rPr>
          <w:szCs w:val="16"/>
        </w:rPr>
        <w:t>Energy Efficiency Upgrade Potential of Existing Victorian Houses</w:t>
      </w:r>
    </w:p>
  </w:footnote>
  <w:footnote w:id="73">
    <w:p w14:paraId="0237F3D9" w14:textId="2A6D797E" w:rsidR="0082085F" w:rsidRPr="00F5282A" w:rsidRDefault="0082085F" w:rsidP="005F096F">
      <w:pPr>
        <w:pStyle w:val="FootnoteText"/>
        <w:rPr>
          <w:iCs/>
        </w:rPr>
      </w:pPr>
      <w:r w:rsidRPr="00E050F6">
        <w:rPr>
          <w:rStyle w:val="FootnoteReference"/>
          <w:szCs w:val="16"/>
        </w:rPr>
        <w:footnoteRef/>
      </w:r>
      <w:r w:rsidRPr="00E050F6">
        <w:rPr>
          <w:szCs w:val="16"/>
        </w:rPr>
        <w:t xml:space="preserve"> Quantum Market Research.</w:t>
      </w:r>
      <w:r w:rsidRPr="00943C48">
        <w:rPr>
          <w:szCs w:val="16"/>
        </w:rPr>
        <w:t xml:space="preserve"> </w:t>
      </w:r>
      <w:r w:rsidRPr="00943C48">
        <w:rPr>
          <w:i/>
          <w:szCs w:val="16"/>
        </w:rPr>
        <w:t xml:space="preserve">Energy Safe Victoria Gas Heaters </w:t>
      </w:r>
      <w:r w:rsidRPr="00415401">
        <w:rPr>
          <w:i/>
          <w:szCs w:val="16"/>
        </w:rPr>
        <w:t>Research</w:t>
      </w:r>
      <w:r>
        <w:rPr>
          <w:i/>
          <w:szCs w:val="16"/>
        </w:rPr>
        <w:t xml:space="preserve"> (July 2018)</w:t>
      </w:r>
      <w:r>
        <w:rPr>
          <w:iCs/>
          <w:szCs w:val="16"/>
        </w:rPr>
        <w:t>.</w:t>
      </w:r>
    </w:p>
  </w:footnote>
  <w:footnote w:id="74">
    <w:p w14:paraId="6AAF56B0" w14:textId="4747680C" w:rsidR="0082085F" w:rsidRPr="00CC2E99" w:rsidRDefault="0082085F" w:rsidP="005F096F">
      <w:pPr>
        <w:pStyle w:val="FootnoteText"/>
        <w:rPr>
          <w:rStyle w:val="Hyperlink"/>
        </w:rPr>
      </w:pPr>
      <w:r w:rsidRPr="00166343">
        <w:rPr>
          <w:rStyle w:val="FootnoteReference"/>
        </w:rPr>
        <w:footnoteRef/>
      </w:r>
      <w:r w:rsidRPr="00166343">
        <w:t xml:space="preserve"> ESV. (2019).</w:t>
      </w:r>
      <w:r w:rsidR="00760F39" w:rsidRPr="009B1BE8">
        <w:t xml:space="preserve"> </w:t>
      </w:r>
      <w:r w:rsidR="007E4322" w:rsidRPr="009B1BE8">
        <w:rPr>
          <w:i/>
          <w:iCs/>
        </w:rPr>
        <w:t>Victorians need to ‘Be Sure’ their gas heaters are safe ahead of winter</w:t>
      </w:r>
      <w:r w:rsidR="00C54DC0" w:rsidRPr="009B1BE8">
        <w:rPr>
          <w:i/>
          <w:iCs/>
        </w:rPr>
        <w:t xml:space="preserve">. </w:t>
      </w:r>
      <w:r w:rsidR="4032E5C1" w:rsidRPr="009B1BE8">
        <w:t>Accessed at:</w:t>
      </w:r>
      <w:r w:rsidR="4032E5C1" w:rsidRPr="00166343">
        <w:rPr>
          <w:rStyle w:val="Hyperlink"/>
        </w:rPr>
        <w:t xml:space="preserve"> </w:t>
      </w:r>
      <w:r w:rsidR="007A7B74" w:rsidDel="00C54DC0">
        <w:fldChar w:fldCharType="begin"/>
      </w:r>
      <w:r w:rsidR="007A7B74" w:rsidDel="00C54DC0">
        <w:fldChar w:fldCharType="separate"/>
      </w:r>
      <w:r w:rsidR="4032E5C1" w:rsidRPr="00166343">
        <w:rPr>
          <w:rStyle w:val="Hyperlink"/>
        </w:rPr>
        <w:t>https://esv.vic.gov.au/news/be-sure-co-launch/</w:t>
      </w:r>
      <w:r w:rsidR="007A7B74" w:rsidDel="00C54DC0">
        <w:rPr>
          <w:rStyle w:val="Hyperlink"/>
        </w:rPr>
        <w:fldChar w:fldCharType="end"/>
      </w:r>
      <w:r w:rsidR="4032E5C1" w:rsidRPr="4032E5C1">
        <w:rPr>
          <w:rStyle w:val="Hyperlink"/>
        </w:rPr>
        <w:t xml:space="preserve"> </w:t>
      </w:r>
    </w:p>
  </w:footnote>
  <w:footnote w:id="75">
    <w:p w14:paraId="26259457" w14:textId="77777777" w:rsidR="0082085F" w:rsidRPr="00C62CE5" w:rsidRDefault="0082085F" w:rsidP="005A4DD7">
      <w:pPr>
        <w:pStyle w:val="FootnoteText"/>
        <w:rPr>
          <w:szCs w:val="16"/>
        </w:rPr>
      </w:pPr>
      <w:r w:rsidRPr="00CC2E99">
        <w:rPr>
          <w:rStyle w:val="FootnoteReference"/>
          <w:szCs w:val="16"/>
        </w:rPr>
        <w:footnoteRef/>
      </w:r>
      <w:r w:rsidRPr="00CC2E99">
        <w:rPr>
          <w:szCs w:val="16"/>
        </w:rPr>
        <w:t xml:space="preserve"> Quantum Market Research. (2018, July). </w:t>
      </w:r>
      <w:r w:rsidRPr="00CC2E99">
        <w:rPr>
          <w:i/>
          <w:szCs w:val="16"/>
        </w:rPr>
        <w:t>Energy Safe Victoria Gas Heaters Research.</w:t>
      </w:r>
    </w:p>
  </w:footnote>
  <w:footnote w:id="76">
    <w:p w14:paraId="181FB08E" w14:textId="59BF51F4" w:rsidR="0082085F" w:rsidRPr="00F5282A" w:rsidRDefault="0082085F" w:rsidP="00E942CC">
      <w:pPr>
        <w:pStyle w:val="FootnoteText"/>
        <w:rPr>
          <w:color w:val="00A3E0" w:themeColor="hyperlink"/>
          <w:u w:val="single"/>
        </w:rPr>
      </w:pPr>
      <w:r w:rsidRPr="4032E5C1">
        <w:rPr>
          <w:rStyle w:val="FootnoteReference"/>
        </w:rPr>
        <w:footnoteRef/>
      </w:r>
      <w:r w:rsidRPr="4032E5C1">
        <w:t xml:space="preserve"> ESV. (2019).</w:t>
      </w:r>
      <w:r w:rsidR="00B956C6">
        <w:t xml:space="preserve"> </w:t>
      </w:r>
      <w:r w:rsidR="00CF7342" w:rsidRPr="00421025">
        <w:rPr>
          <w:i/>
          <w:iCs/>
        </w:rPr>
        <w:t>FAQs – Open-flued gas heaters</w:t>
      </w:r>
      <w:r w:rsidRPr="00CF7342">
        <w:t>.</w:t>
      </w:r>
      <w:r w:rsidR="4032E5C1" w:rsidRPr="00CF7342">
        <w:rPr>
          <w:i/>
          <w:iCs/>
        </w:rPr>
        <w:t xml:space="preserve"> </w:t>
      </w:r>
      <w:r w:rsidR="4032E5C1" w:rsidRPr="00CF7342">
        <w:t>Accessed at:</w:t>
      </w:r>
      <w:r w:rsidR="4032E5C1" w:rsidRPr="00CF7342">
        <w:rPr>
          <w:i/>
          <w:iCs/>
        </w:rPr>
        <w:t xml:space="preserve"> </w:t>
      </w:r>
      <w:hyperlink r:id="rId17" w:history="1">
        <w:r w:rsidR="00CF7342" w:rsidRPr="00CF7342">
          <w:rPr>
            <w:rStyle w:val="Hyperlink"/>
          </w:rPr>
          <w:t>https://esv.vic.gov.au/safety-education/gas-safety-at-home/heating-your-home-with-gas/open-flued-heaters-faqs/</w:t>
        </w:r>
      </w:hyperlink>
      <w:r w:rsidR="4032E5C1" w:rsidRPr="4032E5C1">
        <w:rPr>
          <w:rStyle w:val="Hyperlink"/>
        </w:rPr>
        <w:t xml:space="preserve"> </w:t>
      </w:r>
    </w:p>
  </w:footnote>
  <w:footnote w:id="77">
    <w:p w14:paraId="3F2E194C" w14:textId="7CACB5AC" w:rsidR="0082085F" w:rsidRPr="00302A91" w:rsidRDefault="0082085F" w:rsidP="005F096F">
      <w:pPr>
        <w:pStyle w:val="FootnoteText"/>
        <w:rPr>
          <w:i/>
        </w:rPr>
      </w:pPr>
      <w:r w:rsidRPr="00C62CE5">
        <w:rPr>
          <w:rStyle w:val="FootnoteReference"/>
          <w:szCs w:val="16"/>
        </w:rPr>
        <w:footnoteRef/>
      </w:r>
      <w:r w:rsidRPr="00C62CE5">
        <w:rPr>
          <w:szCs w:val="16"/>
        </w:rPr>
        <w:t xml:space="preserve"> Ibid.</w:t>
      </w:r>
    </w:p>
  </w:footnote>
  <w:footnote w:id="78">
    <w:p w14:paraId="1D5F293E" w14:textId="10B3D006" w:rsidR="0082085F" w:rsidRPr="00467C75" w:rsidRDefault="0082085F" w:rsidP="000276F0">
      <w:pPr>
        <w:pStyle w:val="CommentText"/>
        <w:spacing w:after="0"/>
      </w:pPr>
      <w:r w:rsidRPr="00CF7342">
        <w:rPr>
          <w:rStyle w:val="FootnoteReference"/>
          <w:sz w:val="16"/>
          <w:szCs w:val="16"/>
        </w:rPr>
        <w:footnoteRef/>
      </w:r>
      <w:r w:rsidRPr="00CF7342">
        <w:rPr>
          <w:rStyle w:val="FootnoteReference"/>
          <w:sz w:val="16"/>
          <w:szCs w:val="16"/>
        </w:rPr>
        <w:t xml:space="preserve"> </w:t>
      </w:r>
      <w:r w:rsidRPr="000276F0">
        <w:rPr>
          <w:sz w:val="16"/>
          <w:szCs w:val="16"/>
        </w:rPr>
        <w:t xml:space="preserve">Note that the Cold Feet campaign </w:t>
      </w:r>
      <w:r>
        <w:rPr>
          <w:sz w:val="16"/>
          <w:szCs w:val="16"/>
        </w:rPr>
        <w:t xml:space="preserve">did </w:t>
      </w:r>
      <w:r w:rsidRPr="000276F0">
        <w:rPr>
          <w:sz w:val="16"/>
          <w:szCs w:val="16"/>
        </w:rPr>
        <w:t xml:space="preserve">not </w:t>
      </w:r>
      <w:r>
        <w:rPr>
          <w:sz w:val="16"/>
          <w:szCs w:val="16"/>
        </w:rPr>
        <w:t>specifically</w:t>
      </w:r>
      <w:r w:rsidRPr="000276F0">
        <w:rPr>
          <w:sz w:val="16"/>
          <w:szCs w:val="16"/>
        </w:rPr>
        <w:t xml:space="preserve"> target OFGSH</w:t>
      </w:r>
      <w:r>
        <w:rPr>
          <w:sz w:val="16"/>
          <w:szCs w:val="16"/>
        </w:rPr>
        <w:t>s and it is unclear h</w:t>
      </w:r>
      <w:r w:rsidRPr="000276F0">
        <w:rPr>
          <w:sz w:val="16"/>
          <w:szCs w:val="16"/>
        </w:rPr>
        <w:t xml:space="preserve">ow many survey respondents had OFGSHs. </w:t>
      </w:r>
    </w:p>
  </w:footnote>
  <w:footnote w:id="79">
    <w:p w14:paraId="28367896" w14:textId="1F14DBCC" w:rsidR="0082085F" w:rsidRPr="00943C48" w:rsidRDefault="0082085F" w:rsidP="003F0ED3">
      <w:pPr>
        <w:pStyle w:val="FootnoteText"/>
        <w:rPr>
          <w:szCs w:val="16"/>
        </w:rPr>
      </w:pPr>
      <w:r w:rsidRPr="00E050F6">
        <w:rPr>
          <w:rStyle w:val="FootnoteReference"/>
          <w:szCs w:val="16"/>
        </w:rPr>
        <w:footnoteRef/>
      </w:r>
      <w:r w:rsidRPr="00E050F6">
        <w:rPr>
          <w:szCs w:val="16"/>
        </w:rPr>
        <w:t xml:space="preserve"> Quantum Market Research. (2018, July). </w:t>
      </w:r>
      <w:r w:rsidRPr="00D75C14">
        <w:rPr>
          <w:i/>
          <w:szCs w:val="16"/>
        </w:rPr>
        <w:t>Energy Safe Victoria Gas Heaters Research</w:t>
      </w:r>
      <w:r>
        <w:rPr>
          <w:i/>
          <w:szCs w:val="16"/>
        </w:rPr>
        <w:t>.</w:t>
      </w:r>
    </w:p>
  </w:footnote>
  <w:footnote w:id="80">
    <w:p w14:paraId="05AF56F8" w14:textId="3C0336A4" w:rsidR="0082085F" w:rsidRPr="00CC4A0B" w:rsidRDefault="0082085F" w:rsidP="003F0ED3">
      <w:pPr>
        <w:pStyle w:val="FootnoteText"/>
        <w:rPr>
          <w:sz w:val="14"/>
          <w:szCs w:val="14"/>
        </w:rPr>
      </w:pPr>
      <w:r w:rsidRPr="00D7340A">
        <w:rPr>
          <w:rStyle w:val="FootnoteReference"/>
          <w:szCs w:val="16"/>
        </w:rPr>
        <w:footnoteRef/>
      </w:r>
      <w:r w:rsidRPr="00D7340A">
        <w:rPr>
          <w:szCs w:val="16"/>
        </w:rPr>
        <w:t xml:space="preserve"> Essence (2019, August), </w:t>
      </w:r>
      <w:r w:rsidRPr="00D7340A">
        <w:rPr>
          <w:i/>
          <w:szCs w:val="16"/>
        </w:rPr>
        <w:t>Energy Safe Victoria’s ‘Be Sure’ Campaign Evaluation Campaign Evaluation Report.</w:t>
      </w:r>
    </w:p>
  </w:footnote>
  <w:footnote w:id="81">
    <w:p w14:paraId="2AC810C6" w14:textId="77777777" w:rsidR="0082085F" w:rsidRPr="00580E2A" w:rsidRDefault="0082085F" w:rsidP="005F096F">
      <w:pPr>
        <w:pStyle w:val="FootnoteText"/>
      </w:pPr>
      <w:r w:rsidRPr="00302A91">
        <w:rPr>
          <w:rStyle w:val="FootnoteReference"/>
        </w:rPr>
        <w:footnoteRef/>
      </w:r>
      <w:r w:rsidRPr="00302A91">
        <w:t xml:space="preserve"> Quantum Market Research. (2018, July). </w:t>
      </w:r>
      <w:r w:rsidRPr="00CF6BDE">
        <w:rPr>
          <w:i/>
        </w:rPr>
        <w:t>Energy Safe Victoria Gas Heaters Research.</w:t>
      </w:r>
    </w:p>
  </w:footnote>
  <w:footnote w:id="82">
    <w:p w14:paraId="58384C2D" w14:textId="6F345F2E" w:rsidR="0082085F" w:rsidRPr="00CF6BDE" w:rsidRDefault="0082085F" w:rsidP="005F096F">
      <w:pPr>
        <w:pStyle w:val="FootnoteText"/>
      </w:pPr>
      <w:r w:rsidRPr="00302A91">
        <w:rPr>
          <w:rStyle w:val="FootnoteReference"/>
        </w:rPr>
        <w:footnoteRef/>
      </w:r>
      <w:r w:rsidRPr="00302A91">
        <w:t xml:space="preserve"> Coroners Court of Victoria. (2013). </w:t>
      </w:r>
      <w:r w:rsidRPr="00C05212">
        <w:rPr>
          <w:i/>
        </w:rPr>
        <w:t>Inquest into the death of Tyler Robinson</w:t>
      </w:r>
      <w:r w:rsidRPr="00302A91">
        <w:t xml:space="preserve"> </w:t>
      </w:r>
      <w:r>
        <w:t xml:space="preserve">(File no. </w:t>
      </w:r>
      <w:r w:rsidRPr="00302A91">
        <w:t>COR 2010</w:t>
      </w:r>
      <w:r>
        <w:t>/</w:t>
      </w:r>
      <w:r w:rsidRPr="00302A91">
        <w:t>2037.</w:t>
      </w:r>
    </w:p>
  </w:footnote>
  <w:footnote w:id="83">
    <w:p w14:paraId="02CF48CC" w14:textId="1BB7D83B" w:rsidR="0082085F" w:rsidRDefault="0082085F" w:rsidP="005F096F">
      <w:pPr>
        <w:pStyle w:val="FootnoteText"/>
      </w:pPr>
      <w:r w:rsidRPr="00302A91">
        <w:rPr>
          <w:rStyle w:val="FootnoteReference"/>
        </w:rPr>
        <w:footnoteRef/>
      </w:r>
      <w:r w:rsidRPr="00302A91">
        <w:t xml:space="preserve"> Energy Safe Victoria (2019). Landlords and tenancy. </w:t>
      </w:r>
      <w:r w:rsidR="4032E5C1" w:rsidRPr="00302A91">
        <w:t>Accessed at</w:t>
      </w:r>
      <w:r w:rsidRPr="00302A91">
        <w:t xml:space="preserve">: </w:t>
      </w:r>
      <w:hyperlink r:id="rId18" w:history="1">
        <w:r w:rsidRPr="00CF6BDE">
          <w:rPr>
            <w:rStyle w:val="Hyperlink"/>
          </w:rPr>
          <w:t>https://esv.vic.gov.au/safety-education/choosing-and-using-a-tradesperson/making-a-complaint-about-a-tradesperson/landl</w:t>
        </w:r>
        <w:r w:rsidRPr="00302A91">
          <w:rPr>
            <w:rStyle w:val="Hyperlink"/>
          </w:rPr>
          <w:t>ords-and-tenancy/</w:t>
        </w:r>
      </w:hyperlink>
    </w:p>
  </w:footnote>
  <w:footnote w:id="84">
    <w:p w14:paraId="6528638B" w14:textId="77777777" w:rsidR="0082085F" w:rsidRDefault="0082085F" w:rsidP="005F096F">
      <w:pPr>
        <w:pStyle w:val="FootnoteText"/>
        <w:rPr>
          <w:i/>
        </w:rPr>
      </w:pPr>
      <w:r>
        <w:rPr>
          <w:rStyle w:val="FootnoteReference"/>
        </w:rPr>
        <w:footnoteRef/>
      </w:r>
      <w:r w:rsidRPr="00CF7342">
        <w:rPr>
          <w:i/>
        </w:rPr>
        <w:t xml:space="preserve"> Residential Tenancies Act 1997.</w:t>
      </w:r>
    </w:p>
  </w:footnote>
  <w:footnote w:id="85">
    <w:p w14:paraId="597FB67F" w14:textId="0078AB1C" w:rsidR="0082085F" w:rsidRPr="00387E1D" w:rsidRDefault="0082085F" w:rsidP="005F096F">
      <w:pPr>
        <w:pStyle w:val="FootnoteText"/>
        <w:rPr>
          <w:i/>
        </w:rPr>
      </w:pPr>
      <w:r>
        <w:rPr>
          <w:rStyle w:val="FootnoteReference"/>
        </w:rPr>
        <w:footnoteRef/>
      </w:r>
      <w:r>
        <w:t xml:space="preserve"> Department of Environment, Land, Water and Planning. (2019). </w:t>
      </w:r>
      <w:r w:rsidR="4032E5C1" w:rsidRPr="003238FA">
        <w:rPr>
          <w:i/>
        </w:rPr>
        <w:t>Background on OFGSHs</w:t>
      </w:r>
      <w:r w:rsidR="003238FA">
        <w:t>.</w:t>
      </w:r>
    </w:p>
  </w:footnote>
  <w:footnote w:id="86">
    <w:p w14:paraId="1388FF4E" w14:textId="304900AD" w:rsidR="0082085F" w:rsidRDefault="0082085F" w:rsidP="005F096F">
      <w:pPr>
        <w:pStyle w:val="FootnoteText"/>
      </w:pPr>
      <w:r w:rsidRPr="0035569B">
        <w:rPr>
          <w:rStyle w:val="FootnoteReference"/>
        </w:rPr>
        <w:footnoteRef/>
      </w:r>
      <w:r w:rsidRPr="0035569B">
        <w:t xml:space="preserve"> Victorian Building Association. (n.d.).</w:t>
      </w:r>
      <w:r w:rsidR="00D37C53" w:rsidRPr="00166343">
        <w:rPr>
          <w:i/>
        </w:rPr>
        <w:t xml:space="preserve"> Negative air pressure and carbon monoxide spillage training video</w:t>
      </w:r>
      <w:r w:rsidR="006E4E45" w:rsidRPr="00166343">
        <w:rPr>
          <w:i/>
        </w:rPr>
        <w:t xml:space="preserve">. </w:t>
      </w:r>
      <w:r w:rsidR="006E4E45" w:rsidRPr="0035569B">
        <w:t>Accessed at:</w:t>
      </w:r>
      <w:r w:rsidRPr="0035569B">
        <w:t xml:space="preserve"> </w:t>
      </w:r>
      <w:r w:rsidR="00D37C53" w:rsidRPr="0035569B">
        <w:rPr>
          <w:rStyle w:val="Hyperlink"/>
        </w:rPr>
        <w:t>https://www.chaseandtyler.org.au/information-for-professsionals/gasfitters-and-plumbers/</w:t>
      </w:r>
    </w:p>
  </w:footnote>
  <w:footnote w:id="87">
    <w:p w14:paraId="09B70CA9" w14:textId="6ACAFCDC" w:rsidR="0082085F" w:rsidRDefault="0082085F" w:rsidP="005F096F">
      <w:pPr>
        <w:pStyle w:val="FootnoteText"/>
      </w:pPr>
      <w:r>
        <w:rPr>
          <w:rStyle w:val="FootnoteReference"/>
        </w:rPr>
        <w:footnoteRef/>
      </w:r>
      <w:r>
        <w:t xml:space="preserve"> Essence. (2018). </w:t>
      </w:r>
      <w:r w:rsidRPr="000E6D98">
        <w:t>Energy Safe Victoria’s ‘Be SURE’ campaign</w:t>
      </w:r>
      <w:r w:rsidR="001D0632">
        <w:t>.</w:t>
      </w:r>
    </w:p>
  </w:footnote>
  <w:footnote w:id="88">
    <w:p w14:paraId="4E6D6125" w14:textId="3FCE35D4" w:rsidR="0082085F" w:rsidRDefault="0082085F" w:rsidP="005F096F">
      <w:pPr>
        <w:pStyle w:val="FootnoteText"/>
      </w:pPr>
      <w:r>
        <w:rPr>
          <w:rStyle w:val="FootnoteReference"/>
        </w:rPr>
        <w:footnoteRef/>
      </w:r>
      <w:r>
        <w:t xml:space="preserve"> Coroners Court of Victoria. (2013). </w:t>
      </w:r>
      <w:r w:rsidRPr="00C05212">
        <w:rPr>
          <w:i/>
        </w:rPr>
        <w:t>Inquest into the death of Tyler Robinson</w:t>
      </w:r>
      <w:r>
        <w:t xml:space="preserve"> (File no. COR 2010/2037).</w:t>
      </w:r>
    </w:p>
  </w:footnote>
  <w:footnote w:id="89">
    <w:p w14:paraId="5534B9A8" w14:textId="5ACF992C" w:rsidR="0082085F" w:rsidRDefault="0082085F" w:rsidP="005F096F">
      <w:pPr>
        <w:pStyle w:val="FootnoteText"/>
      </w:pPr>
      <w:r>
        <w:rPr>
          <w:rStyle w:val="FootnoteReference"/>
        </w:rPr>
        <w:footnoteRef/>
      </w:r>
      <w:r>
        <w:t xml:space="preserve"> Ibid.</w:t>
      </w:r>
    </w:p>
  </w:footnote>
  <w:footnote w:id="90">
    <w:p w14:paraId="2AD889F0" w14:textId="2CB9F8CA" w:rsidR="0082085F" w:rsidRPr="00C50D1B" w:rsidRDefault="0082085F" w:rsidP="005F096F">
      <w:pPr>
        <w:pStyle w:val="FootnoteText"/>
        <w:rPr>
          <w:i/>
          <w:szCs w:val="16"/>
        </w:rPr>
      </w:pPr>
      <w:r w:rsidRPr="00C50D1B">
        <w:rPr>
          <w:rStyle w:val="FootnoteReference"/>
          <w:szCs w:val="16"/>
        </w:rPr>
        <w:footnoteRef/>
      </w:r>
      <w:r w:rsidRPr="00C50D1B">
        <w:rPr>
          <w:szCs w:val="16"/>
        </w:rPr>
        <w:t xml:space="preserve"> Energy Efficient Strategies Pty. Ltd. (2018). </w:t>
      </w:r>
      <w:r w:rsidRPr="00C50D1B">
        <w:rPr>
          <w:i/>
          <w:szCs w:val="16"/>
        </w:rPr>
        <w:t xml:space="preserve">Victorian Housing Stock Open Flued Space Heater Estimates. </w:t>
      </w:r>
    </w:p>
  </w:footnote>
  <w:footnote w:id="91">
    <w:p w14:paraId="7023FCCD" w14:textId="05D60C5F" w:rsidR="0082085F" w:rsidRDefault="0082085F" w:rsidP="005F096F">
      <w:pPr>
        <w:pStyle w:val="FootnoteText"/>
      </w:pPr>
      <w:r w:rsidRPr="00EF03B3">
        <w:rPr>
          <w:rStyle w:val="FootnoteReference"/>
          <w:szCs w:val="16"/>
        </w:rPr>
        <w:footnoteRef/>
      </w:r>
      <w:r w:rsidRPr="00EF03B3">
        <w:rPr>
          <w:szCs w:val="16"/>
        </w:rPr>
        <w:t xml:space="preserve"> </w:t>
      </w:r>
      <w:r>
        <w:rPr>
          <w:szCs w:val="16"/>
        </w:rPr>
        <w:t>Ibid.</w:t>
      </w:r>
      <w:r w:rsidRPr="00C50D1B">
        <w:rPr>
          <w:i/>
          <w:szCs w:val="16"/>
        </w:rPr>
        <w:t xml:space="preserve"> </w:t>
      </w:r>
    </w:p>
  </w:footnote>
  <w:footnote w:id="92">
    <w:p w14:paraId="3C6345EA" w14:textId="77777777" w:rsidR="0082085F" w:rsidRPr="0029091C" w:rsidRDefault="0082085F" w:rsidP="0046036D">
      <w:pPr>
        <w:pStyle w:val="FootnoteText"/>
        <w:rPr>
          <w:i/>
        </w:rPr>
      </w:pPr>
      <w:r>
        <w:rPr>
          <w:rStyle w:val="FootnoteReference"/>
        </w:rPr>
        <w:footnoteRef/>
      </w:r>
      <w:r>
        <w:t xml:space="preserve"> Victorian Admitted Episode Dataset, T58 ‘Toxic effect of carbon monoxide’. (2018). </w:t>
      </w:r>
      <w:r>
        <w:rPr>
          <w:i/>
        </w:rPr>
        <w:t xml:space="preserve">Victorian Carbon Monoxide Admission Analysis </w:t>
      </w:r>
      <w:r>
        <w:t>(provided by DHHS).</w:t>
      </w:r>
    </w:p>
  </w:footnote>
  <w:footnote w:id="93">
    <w:p w14:paraId="556F7582" w14:textId="77777777" w:rsidR="0082085F" w:rsidRDefault="0082085F" w:rsidP="00B63A90">
      <w:pPr>
        <w:pStyle w:val="FootnoteText"/>
      </w:pPr>
      <w:r>
        <w:rPr>
          <w:rStyle w:val="FootnoteReference"/>
        </w:rPr>
        <w:footnoteRef/>
      </w:r>
      <w:r>
        <w:t xml:space="preserve"> Ibid.</w:t>
      </w:r>
    </w:p>
  </w:footnote>
  <w:footnote w:id="94">
    <w:p w14:paraId="4F0A356A" w14:textId="736C9CB6" w:rsidR="0082085F" w:rsidRDefault="0082085F" w:rsidP="0046036D">
      <w:pPr>
        <w:pStyle w:val="FootnoteText"/>
      </w:pPr>
      <w:r>
        <w:rPr>
          <w:rStyle w:val="FootnoteReference"/>
        </w:rPr>
        <w:footnoteRef/>
      </w:r>
      <w:r>
        <w:t xml:space="preserve"> Austin Health</w:t>
      </w:r>
      <w:r w:rsidR="4032E5C1">
        <w:t xml:space="preserve"> (2020)</w:t>
      </w:r>
      <w:r w:rsidR="00CF7342">
        <w:t xml:space="preserve"> </w:t>
      </w:r>
      <w:r>
        <w:t>Victorian Poisons Information Centre</w:t>
      </w:r>
      <w:r w:rsidR="4032E5C1">
        <w:t>. Accessed at:</w:t>
      </w:r>
      <w:r w:rsidR="00D56996">
        <w:t xml:space="preserve"> </w:t>
      </w:r>
      <w:hyperlink r:id="rId19" w:history="1">
        <w:r w:rsidRPr="00AB7369">
          <w:rPr>
            <w:rStyle w:val="Hyperlink"/>
          </w:rPr>
          <w:t>https://www.austin.org.au/poisons</w:t>
        </w:r>
      </w:hyperlink>
    </w:p>
  </w:footnote>
  <w:footnote w:id="95">
    <w:p w14:paraId="4611A98F" w14:textId="29B7E9B2" w:rsidR="0082085F" w:rsidRDefault="0082085F" w:rsidP="005E7B9E">
      <w:pPr>
        <w:pStyle w:val="FootnoteText"/>
      </w:pPr>
      <w:r>
        <w:rPr>
          <w:rStyle w:val="FootnoteReference"/>
        </w:rPr>
        <w:footnoteRef/>
      </w:r>
      <w:r>
        <w:t xml:space="preserve"> Allen Consulting Group, </w:t>
      </w:r>
      <w:r w:rsidRPr="000276F0">
        <w:rPr>
          <w:i/>
          <w:iCs/>
        </w:rPr>
        <w:t>The risk of carbon monoxide poisoning from domestic gas appliances</w:t>
      </w:r>
      <w:r>
        <w:t xml:space="preserve">, Decision RIS prepared for the Department of Resources, Energy and Tourism, 2012, p. 10. </w:t>
      </w:r>
    </w:p>
  </w:footnote>
  <w:footnote w:id="96">
    <w:p w14:paraId="12FB25DD" w14:textId="28D32F53" w:rsidR="0082085F" w:rsidRPr="00797944" w:rsidRDefault="0082085F" w:rsidP="4032E5C1">
      <w:pPr>
        <w:pStyle w:val="Heading1"/>
        <w:numPr>
          <w:ilvl w:val="0"/>
          <w:numId w:val="0"/>
        </w:numPr>
        <w:shd w:val="clear" w:color="auto" w:fill="FFFFFF" w:themeFill="background1"/>
        <w:spacing w:after="0" w:line="240" w:lineRule="auto"/>
        <w:contextualSpacing w:val="0"/>
        <w:textAlignment w:val="baseline"/>
      </w:pPr>
      <w:r w:rsidRPr="000276F0">
        <w:rPr>
          <w:rStyle w:val="FootnoteReference"/>
          <w:sz w:val="16"/>
          <w:szCs w:val="16"/>
        </w:rPr>
        <w:footnoteRef/>
      </w:r>
      <w:r w:rsidRPr="4032E5C1">
        <w:rPr>
          <w:rStyle w:val="FootnoteReference"/>
        </w:rPr>
        <w:t xml:space="preserve"> </w:t>
      </w:r>
      <w:r w:rsidRPr="4032E5C1">
        <w:rPr>
          <w:rFonts w:eastAsiaTheme="minorEastAsia" w:cstheme="minorBidi"/>
          <w:i/>
          <w:sz w:val="16"/>
          <w:szCs w:val="16"/>
        </w:rPr>
        <w:t>Analysis of hospital admissions due to accidental non-fire-related carbon monoxide poisoning in England, between 2001 and 2010</w:t>
      </w:r>
      <w:r w:rsidRPr="4032E5C1">
        <w:rPr>
          <w:rFonts w:eastAsiaTheme="minorEastAsia" w:cstheme="minorBidi"/>
          <w:sz w:val="16"/>
          <w:szCs w:val="16"/>
        </w:rPr>
        <w:t xml:space="preserve"> , </w:t>
      </w:r>
      <w:hyperlink r:id="rId20" w:history="1">
        <w:r w:rsidRPr="000276F0">
          <w:rPr>
            <w:sz w:val="16"/>
            <w:szCs w:val="16"/>
          </w:rPr>
          <w:t>Rebecca E. Ghosh</w:t>
        </w:r>
      </w:hyperlink>
      <w:r w:rsidRPr="000276F0">
        <w:rPr>
          <w:sz w:val="16"/>
          <w:szCs w:val="16"/>
        </w:rPr>
        <w:t>, </w:t>
      </w:r>
      <w:hyperlink r:id="rId21" w:history="1">
        <w:r w:rsidRPr="000276F0">
          <w:rPr>
            <w:sz w:val="16"/>
            <w:szCs w:val="16"/>
          </w:rPr>
          <w:t>Rebecca Close</w:t>
        </w:r>
      </w:hyperlink>
      <w:r w:rsidRPr="000276F0">
        <w:rPr>
          <w:sz w:val="16"/>
          <w:szCs w:val="16"/>
        </w:rPr>
        <w:t>, </w:t>
      </w:r>
      <w:hyperlink r:id="rId22" w:history="1">
        <w:r w:rsidRPr="000276F0">
          <w:rPr>
            <w:sz w:val="16"/>
            <w:szCs w:val="16"/>
          </w:rPr>
          <w:t>Lucy J. McCann</w:t>
        </w:r>
      </w:hyperlink>
      <w:r w:rsidRPr="000276F0">
        <w:rPr>
          <w:sz w:val="16"/>
          <w:szCs w:val="16"/>
        </w:rPr>
        <w:t>, </w:t>
      </w:r>
      <w:hyperlink r:id="rId23" w:history="1">
        <w:r w:rsidRPr="000276F0">
          <w:rPr>
            <w:sz w:val="16"/>
            <w:szCs w:val="16"/>
          </w:rPr>
          <w:t>Helen Crabbe</w:t>
        </w:r>
      </w:hyperlink>
      <w:r w:rsidRPr="000276F0">
        <w:rPr>
          <w:sz w:val="16"/>
          <w:szCs w:val="16"/>
        </w:rPr>
        <w:t>, </w:t>
      </w:r>
      <w:hyperlink r:id="rId24" w:history="1">
        <w:r w:rsidRPr="000276F0">
          <w:rPr>
            <w:sz w:val="16"/>
            <w:szCs w:val="16"/>
          </w:rPr>
          <w:t>Kevin Garwood</w:t>
        </w:r>
      </w:hyperlink>
      <w:r w:rsidRPr="000276F0">
        <w:rPr>
          <w:sz w:val="16"/>
          <w:szCs w:val="16"/>
        </w:rPr>
        <w:t>, </w:t>
      </w:r>
      <w:hyperlink r:id="rId25" w:history="1">
        <w:r w:rsidRPr="000276F0">
          <w:rPr>
            <w:sz w:val="16"/>
            <w:szCs w:val="16"/>
          </w:rPr>
          <w:t>Anna L. Hansell</w:t>
        </w:r>
      </w:hyperlink>
      <w:r w:rsidRPr="000276F0">
        <w:rPr>
          <w:sz w:val="16"/>
          <w:szCs w:val="16"/>
        </w:rPr>
        <w:t>, </w:t>
      </w:r>
      <w:hyperlink r:id="rId26" w:history="1">
        <w:r w:rsidRPr="000276F0">
          <w:rPr>
            <w:sz w:val="16"/>
            <w:szCs w:val="16"/>
          </w:rPr>
          <w:t>Giovanni Leonardi</w:t>
        </w:r>
      </w:hyperlink>
      <w:r>
        <w:rPr>
          <w:sz w:val="16"/>
          <w:szCs w:val="16"/>
        </w:rPr>
        <w:t xml:space="preserve">, </w:t>
      </w:r>
      <w:r w:rsidRPr="000276F0">
        <w:rPr>
          <w:sz w:val="16"/>
          <w:szCs w:val="16"/>
        </w:rPr>
        <w:t xml:space="preserve">Journal of Public Health, Volume 38, Issue 1, March 2016, </w:t>
      </w:r>
      <w:r>
        <w:rPr>
          <w:sz w:val="16"/>
          <w:szCs w:val="16"/>
        </w:rPr>
        <w:t xml:space="preserve">pp. </w:t>
      </w:r>
      <w:r w:rsidRPr="000276F0">
        <w:rPr>
          <w:sz w:val="16"/>
          <w:szCs w:val="16"/>
        </w:rPr>
        <w:t>76–83</w:t>
      </w:r>
      <w:r w:rsidR="00D56996">
        <w:rPr>
          <w:sz w:val="16"/>
          <w:szCs w:val="16"/>
        </w:rPr>
        <w:t>.</w:t>
      </w:r>
    </w:p>
  </w:footnote>
  <w:footnote w:id="97">
    <w:p w14:paraId="7FD58443" w14:textId="779EF969" w:rsidR="0082085F" w:rsidRDefault="0082085F">
      <w:pPr>
        <w:pStyle w:val="FootnoteText"/>
      </w:pPr>
      <w:r>
        <w:rPr>
          <w:rStyle w:val="FootnoteReference"/>
        </w:rPr>
        <w:footnoteRef/>
      </w:r>
      <w:r>
        <w:t xml:space="preserve"> </w:t>
      </w:r>
      <w:r w:rsidRPr="000276F0">
        <w:rPr>
          <w:i/>
          <w:iCs/>
        </w:rPr>
        <w:t>Cost of accidental carbon monoxide poisoning: A preventable expense</w:t>
      </w:r>
      <w:r>
        <w:t>, Neil B Hampson, Preventative Medicine Reports, Volume 3, June 2016, pp. 21-24</w:t>
      </w:r>
      <w:r w:rsidR="00D56996">
        <w:t>.</w:t>
      </w:r>
    </w:p>
  </w:footnote>
  <w:footnote w:id="98">
    <w:p w14:paraId="55AFF75A" w14:textId="69BC4B3B" w:rsidR="0082085F" w:rsidRDefault="0082085F" w:rsidP="0046036D">
      <w:pPr>
        <w:pStyle w:val="FootnoteText"/>
      </w:pPr>
      <w:r>
        <w:rPr>
          <w:rStyle w:val="FootnoteReference"/>
        </w:rPr>
        <w:footnoteRef/>
      </w:r>
      <w:r>
        <w:t xml:space="preserve"> Advice from DHHS</w:t>
      </w:r>
      <w:r w:rsidR="00D56996">
        <w:t>.</w:t>
      </w:r>
    </w:p>
  </w:footnote>
  <w:footnote w:id="99">
    <w:p w14:paraId="5DE6144F" w14:textId="7EC9C57C" w:rsidR="0082085F" w:rsidRDefault="0082085F">
      <w:pPr>
        <w:pStyle w:val="FootnoteText"/>
      </w:pPr>
      <w:r>
        <w:rPr>
          <w:rStyle w:val="FootnoteReference"/>
        </w:rPr>
        <w:footnoteRef/>
      </w:r>
      <w:r>
        <w:t xml:space="preserve"> Note that it is unclear exactly how households were selected to take part in this non-random audit program.</w:t>
      </w:r>
    </w:p>
  </w:footnote>
  <w:footnote w:id="100">
    <w:p w14:paraId="6710D8AA" w14:textId="1D766276" w:rsidR="0082085F" w:rsidRPr="00610329" w:rsidRDefault="0082085F">
      <w:pPr>
        <w:pStyle w:val="FootnoteText"/>
      </w:pPr>
      <w:r w:rsidRPr="00610329">
        <w:rPr>
          <w:rStyle w:val="FootnoteReference"/>
        </w:rPr>
        <w:footnoteRef/>
      </w:r>
      <w:r w:rsidRPr="00610329">
        <w:t xml:space="preserve"> ESV audit data.</w:t>
      </w:r>
    </w:p>
  </w:footnote>
  <w:footnote w:id="101">
    <w:p w14:paraId="00F49AB1" w14:textId="4C9D412C" w:rsidR="0082085F" w:rsidRDefault="0082085F">
      <w:pPr>
        <w:pStyle w:val="FootnoteText"/>
      </w:pPr>
      <w:r w:rsidRPr="00C933FC">
        <w:rPr>
          <w:rStyle w:val="FootnoteReference"/>
        </w:rPr>
        <w:footnoteRef/>
      </w:r>
      <w:r w:rsidRPr="00C933FC">
        <w:t xml:space="preserve"> In undertaking this analysis, it is noted there could be selection bias because the audit program was non-random, which means these numbers could represent an upper bound of CO exposure and illness. Note that neither the 11.2 per cent nor 60 per cent figures are directly used as modelling inputs. Further assumptions (described in Chapter 4) have been made to ensure estimates of avoided low level CO exposures remain conservative.</w:t>
      </w:r>
    </w:p>
  </w:footnote>
  <w:footnote w:id="102">
    <w:p w14:paraId="2A922534" w14:textId="77777777" w:rsidR="0082085F" w:rsidRPr="008272EE" w:rsidRDefault="0082085F" w:rsidP="00F513A5">
      <w:pPr>
        <w:pStyle w:val="FootnoteText"/>
      </w:pPr>
      <w:r>
        <w:rPr>
          <w:rStyle w:val="FootnoteReference"/>
        </w:rPr>
        <w:footnoteRef/>
      </w:r>
      <w:r>
        <w:t xml:space="preserve"> </w:t>
      </w:r>
      <w:r w:rsidRPr="008272EE">
        <w:t>Office of the Chief Parliamentary Counsel</w:t>
      </w:r>
      <w:r>
        <w:t xml:space="preserve">, </w:t>
      </w:r>
      <w:r w:rsidRPr="006825D7">
        <w:rPr>
          <w:rFonts w:cs="Segoe UI Light"/>
          <w:i/>
        </w:rPr>
        <w:t>Subordinate Legislation Act Guidelines</w:t>
      </w:r>
      <w:r>
        <w:rPr>
          <w:rFonts w:cs="Segoe UI Light"/>
        </w:rPr>
        <w:t>.</w:t>
      </w:r>
    </w:p>
  </w:footnote>
  <w:footnote w:id="103">
    <w:p w14:paraId="1354EC51" w14:textId="578C2680" w:rsidR="0082085F" w:rsidRDefault="0082085F" w:rsidP="00ED3164">
      <w:pPr>
        <w:pStyle w:val="FootnoteText"/>
      </w:pPr>
      <w:r>
        <w:rPr>
          <w:rStyle w:val="FootnoteReference"/>
        </w:rPr>
        <w:footnoteRef/>
      </w:r>
      <w:r>
        <w:t xml:space="preserve"> Lily D’Ambrosio (2020) </w:t>
      </w:r>
      <w:r w:rsidR="4032E5C1">
        <w:t>’</w:t>
      </w:r>
      <w:r w:rsidR="4032E5C1" w:rsidRPr="0053515D">
        <w:t>Helping</w:t>
      </w:r>
      <w:r w:rsidRPr="0053515D">
        <w:t xml:space="preserve"> Victorians Pay Their Power Bills</w:t>
      </w:r>
      <w:r>
        <w:t>.</w:t>
      </w:r>
      <w:r w:rsidR="4032E5C1">
        <w:t>’</w:t>
      </w:r>
      <w:r>
        <w:t xml:space="preserve"> </w:t>
      </w:r>
      <w:r w:rsidRPr="4032E5C1">
        <w:t>Accessed at:</w:t>
      </w:r>
      <w:r w:rsidRPr="00FD0072">
        <w:t xml:space="preserve"> </w:t>
      </w:r>
      <w:hyperlink r:id="rId27" w:history="1">
        <w:r w:rsidR="00A671C4" w:rsidRPr="005702B0">
          <w:rPr>
            <w:rStyle w:val="Hyperlink"/>
          </w:rPr>
          <w:t>https://www.lilydambrosio.com.au/media-releases/helping-victorians-pay-their-power-bills/</w:t>
        </w:r>
      </w:hyperlink>
    </w:p>
  </w:footnote>
  <w:footnote w:id="104">
    <w:p w14:paraId="693BDC3C" w14:textId="4EE8CFE1" w:rsidR="0082085F" w:rsidRDefault="0082085F">
      <w:pPr>
        <w:pStyle w:val="FootnoteText"/>
      </w:pPr>
      <w:r>
        <w:rPr>
          <w:rStyle w:val="FootnoteReference"/>
        </w:rPr>
        <w:footnoteRef/>
      </w:r>
      <w:r>
        <w:t xml:space="preserve"> It is the VBA’s responsibility to enforce this. </w:t>
      </w:r>
    </w:p>
  </w:footnote>
  <w:footnote w:id="105">
    <w:p w14:paraId="295BE63D" w14:textId="77777777" w:rsidR="0082085F" w:rsidRDefault="0082085F" w:rsidP="006F30A5">
      <w:pPr>
        <w:pStyle w:val="FootnoteText"/>
      </w:pPr>
      <w:r>
        <w:rPr>
          <w:rStyle w:val="FootnoteReference"/>
        </w:rPr>
        <w:footnoteRef/>
      </w:r>
      <w:r>
        <w:t xml:space="preserve"> </w:t>
      </w:r>
      <w:r>
        <w:rPr>
          <w:rFonts w:asciiTheme="minorHAnsi" w:eastAsiaTheme="minorEastAsia" w:hAnsi="Arial"/>
          <w:color w:val="000000" w:themeColor="dark1"/>
          <w:kern w:val="24"/>
          <w:szCs w:val="16"/>
        </w:rPr>
        <w:t>Industry has indicated it is unlikely any new OFGSHs would be developed under the revised standards.</w:t>
      </w:r>
    </w:p>
  </w:footnote>
  <w:footnote w:id="106">
    <w:p w14:paraId="459C8CF9" w14:textId="4FD4CB31" w:rsidR="0082085F" w:rsidRDefault="0082085F" w:rsidP="006F30A5">
      <w:pPr>
        <w:pStyle w:val="FootnoteText"/>
      </w:pPr>
      <w:r>
        <w:rPr>
          <w:rStyle w:val="FootnoteReference"/>
        </w:rPr>
        <w:footnoteRef/>
      </w:r>
      <w:r>
        <w:t xml:space="preserve"> The normal timeline standards-based approach is discussed further in Chapter 3 as an option considered but not progressed.</w:t>
      </w:r>
    </w:p>
  </w:footnote>
  <w:footnote w:id="107">
    <w:p w14:paraId="202D1980" w14:textId="737B911A" w:rsidR="0082085F" w:rsidRDefault="0082085F">
      <w:pPr>
        <w:pStyle w:val="FootnoteText"/>
      </w:pPr>
      <w:r>
        <w:rPr>
          <w:rStyle w:val="FootnoteReference"/>
        </w:rPr>
        <w:footnoteRef/>
      </w:r>
      <w:r>
        <w:t xml:space="preserve"> Note a Technical Guidance Bulletin is defined by</w:t>
      </w:r>
      <w:r w:rsidRPr="00061021">
        <w:t xml:space="preserve"> </w:t>
      </w:r>
      <w:r>
        <w:t>t</w:t>
      </w:r>
      <w:r w:rsidRPr="00061021">
        <w:t>he Gas Technical Regulators of Australia scheme rules</w:t>
      </w:r>
      <w:r>
        <w:t xml:space="preserve"> as </w:t>
      </w:r>
      <w:r w:rsidRPr="00CF04AF">
        <w:t>“</w:t>
      </w:r>
      <w:r w:rsidRPr="007B28CA">
        <w:rPr>
          <w:i/>
          <w:iCs/>
        </w:rPr>
        <w:t>A document issued by</w:t>
      </w:r>
      <w:r w:rsidRPr="007B28CA">
        <w:rPr>
          <w:i/>
        </w:rPr>
        <w:t xml:space="preserve"> the </w:t>
      </w:r>
      <w:r w:rsidRPr="007B28CA">
        <w:rPr>
          <w:i/>
          <w:iCs/>
        </w:rPr>
        <w:t>Technical Regulators acting as technical guidance to the CABs and other relevant stakeholders on a position by jurisdictions on specific issues</w:t>
      </w:r>
      <w:r w:rsidRPr="00CF04AF">
        <w:t>.”</w:t>
      </w:r>
      <w:r>
        <w:t xml:space="preserve"> </w:t>
      </w:r>
      <w:r w:rsidRPr="00785CA0">
        <w:t xml:space="preserve">GTRC </w:t>
      </w:r>
      <w:r>
        <w:t xml:space="preserve">Technical Guidance Bulletins have previously been used to address </w:t>
      </w:r>
      <w:r w:rsidRPr="00785CA0">
        <w:t>other safety issues</w:t>
      </w:r>
      <w:r>
        <w:t>.</w:t>
      </w:r>
    </w:p>
  </w:footnote>
  <w:footnote w:id="108">
    <w:p w14:paraId="7F38BD71" w14:textId="77777777" w:rsidR="0082085F" w:rsidRDefault="0082085F" w:rsidP="008D3A32">
      <w:pPr>
        <w:pStyle w:val="FootnoteText"/>
      </w:pPr>
      <w:r>
        <w:rPr>
          <w:rStyle w:val="FootnoteReference"/>
        </w:rPr>
        <w:footnoteRef/>
      </w:r>
      <w:r>
        <w:t xml:space="preserve"> Note </w:t>
      </w:r>
      <w:r w:rsidRPr="00785CA0">
        <w:t>industry has made a strong commitment to the process and ESV has provided its support for issuing a GTRC Technical Guidance Bulletin.</w:t>
      </w:r>
      <w:r>
        <w:t xml:space="preserve"> In fact, industry is </w:t>
      </w:r>
      <w:r w:rsidRPr="00785CA0">
        <w:t xml:space="preserve">expected to progress </w:t>
      </w:r>
      <w:r>
        <w:t xml:space="preserve">the development of amended standards </w:t>
      </w:r>
      <w:r w:rsidRPr="00785CA0">
        <w:t>regardless of the Victorian Government’s decision on new regulations, but is not being assessed as part of the Base Case because it is still to be finalised and was also not in progress until mid-way through the RIS process.</w:t>
      </w:r>
    </w:p>
  </w:footnote>
  <w:footnote w:id="109">
    <w:p w14:paraId="6EA1D0CC" w14:textId="51597037" w:rsidR="0082085F" w:rsidRDefault="0082085F" w:rsidP="008B4CF6">
      <w:pPr>
        <w:pStyle w:val="FootnoteText"/>
      </w:pPr>
      <w:r>
        <w:rPr>
          <w:rStyle w:val="FootnoteReference"/>
        </w:rPr>
        <w:footnoteRef/>
      </w:r>
      <w:r>
        <w:t xml:space="preserve"> In the event that a CAB</w:t>
      </w:r>
      <w:r w:rsidRPr="00557CB1">
        <w:t xml:space="preserve"> chooses not to take into account a Technical Guidance Bulletin when processing a certification</w:t>
      </w:r>
      <w:r>
        <w:t xml:space="preserve">, </w:t>
      </w:r>
      <w:r w:rsidRPr="0045200D">
        <w:t xml:space="preserve">ESV </w:t>
      </w:r>
      <w:r>
        <w:t>may</w:t>
      </w:r>
      <w:r w:rsidRPr="0045200D">
        <w:t xml:space="preserve"> cease to authorise an acceptance scheme or part of an acceptance scheme under section 68 of the Gas Safety Act 1997 (GSA)</w:t>
      </w:r>
      <w:r>
        <w:t>.</w:t>
      </w:r>
    </w:p>
  </w:footnote>
  <w:footnote w:id="110">
    <w:p w14:paraId="50D40C5B" w14:textId="64F3D67D" w:rsidR="0082085F" w:rsidRDefault="0082085F" w:rsidP="008B4CF6">
      <w:pPr>
        <w:pStyle w:val="FootnoteText"/>
      </w:pPr>
      <w:r>
        <w:rPr>
          <w:rStyle w:val="FootnoteReference"/>
        </w:rPr>
        <w:footnoteRef/>
      </w:r>
      <w:r>
        <w:t xml:space="preserve"> Note the </w:t>
      </w:r>
      <w:r w:rsidRPr="00A827FF">
        <w:t>sale or supply of an uncertified gas appliance is an offence under section 71(1) of the GSA 1997 which carries a maximum penalty following prosecution of $6,608.80 for a natural person and $33,044.00 for a body corporate</w:t>
      </w:r>
      <w:r>
        <w:t xml:space="preserve">. </w:t>
      </w:r>
      <w:r w:rsidRPr="00A827FF">
        <w:t xml:space="preserve">ESV may </w:t>
      </w:r>
      <w:r>
        <w:t xml:space="preserve">also </w:t>
      </w:r>
      <w:r w:rsidRPr="00A827FF">
        <w:t>issue an infringement notice at 10</w:t>
      </w:r>
      <w:r>
        <w:t xml:space="preserve"> per cent</w:t>
      </w:r>
      <w:r w:rsidRPr="00A827FF">
        <w:t xml:space="preserve"> of the maximum).</w:t>
      </w:r>
    </w:p>
  </w:footnote>
  <w:footnote w:id="111">
    <w:p w14:paraId="58DA5689" w14:textId="77777777" w:rsidR="0082085F" w:rsidRDefault="0082085F" w:rsidP="00C81293">
      <w:pPr>
        <w:pStyle w:val="FootnoteText"/>
      </w:pPr>
      <w:r>
        <w:rPr>
          <w:rStyle w:val="FootnoteReference"/>
        </w:rPr>
        <w:footnoteRef/>
      </w:r>
      <w:r>
        <w:t xml:space="preserve"> Like smoke alarms, CO alarms may either be hard-wired to the mains electricity supply or battery operated, with some models incorporating a 10-year lithium battery.</w:t>
      </w:r>
    </w:p>
  </w:footnote>
  <w:footnote w:id="112">
    <w:p w14:paraId="6CED9A54" w14:textId="0A84BE9D" w:rsidR="0082085F" w:rsidRPr="00CC0EEF" w:rsidRDefault="0082085F">
      <w:pPr>
        <w:pStyle w:val="FootnoteText"/>
        <w:rPr>
          <w:szCs w:val="16"/>
        </w:rPr>
      </w:pPr>
      <w:r w:rsidRPr="00FC3E13">
        <w:rPr>
          <w:rStyle w:val="FootnoteReference"/>
          <w:szCs w:val="16"/>
        </w:rPr>
        <w:footnoteRef/>
      </w:r>
      <w:r w:rsidRPr="00FC3E13">
        <w:rPr>
          <w:szCs w:val="16"/>
        </w:rPr>
        <w:t xml:space="preserve"> </w:t>
      </w:r>
      <w:r w:rsidRPr="00CC0EEF">
        <w:rPr>
          <w:szCs w:val="16"/>
        </w:rPr>
        <w:t>Assuming equal distribution of sales throughout the year, which is potentially a simplification given seasonal sales, but is used in the absence of more accurate data.</w:t>
      </w:r>
    </w:p>
  </w:footnote>
  <w:footnote w:id="113">
    <w:p w14:paraId="17B08048" w14:textId="77777777" w:rsidR="0082085F" w:rsidRPr="0042686B" w:rsidRDefault="0082085F" w:rsidP="005E37B4">
      <w:pPr>
        <w:pStyle w:val="FootnoteText"/>
      </w:pPr>
      <w:r w:rsidRPr="00E050F6">
        <w:rPr>
          <w:rStyle w:val="FootnoteReference"/>
          <w:szCs w:val="16"/>
        </w:rPr>
        <w:footnoteRef/>
      </w:r>
      <w:r w:rsidRPr="00E050F6">
        <w:rPr>
          <w:szCs w:val="16"/>
        </w:rPr>
        <w:t xml:space="preserve"> See for example Figure 5 on p.21 of Sustainability Victoria’s report </w:t>
      </w:r>
      <w:r w:rsidRPr="009C42E5">
        <w:rPr>
          <w:i/>
          <w:iCs/>
          <w:szCs w:val="16"/>
        </w:rPr>
        <w:t>Comprehensive Energy Efficiency Retrofits to Existing Victorian Houses</w:t>
      </w:r>
      <w:r w:rsidRPr="00D75C14">
        <w:rPr>
          <w:szCs w:val="16"/>
        </w:rPr>
        <w:t xml:space="preserve"> which shows a switch towards the use of reverse cycle air conditioning in Victorian homes over the period 2014 to 2020, away from room gas heating.</w:t>
      </w:r>
      <w:r>
        <w:t xml:space="preserve"> </w:t>
      </w:r>
    </w:p>
  </w:footnote>
  <w:footnote w:id="114">
    <w:p w14:paraId="3C9A5A59" w14:textId="77777777" w:rsidR="0082085F" w:rsidRDefault="0082085F" w:rsidP="00762C6C">
      <w:pPr>
        <w:pStyle w:val="FootnoteText"/>
        <w:rPr>
          <w:rFonts w:asciiTheme="majorHAnsi" w:hAnsiTheme="majorHAnsi"/>
          <w:color w:val="000000" w:themeColor="text1"/>
          <w:szCs w:val="16"/>
        </w:rPr>
      </w:pPr>
      <w:r>
        <w:rPr>
          <w:rStyle w:val="FootnoteReference"/>
          <w:rFonts w:asciiTheme="majorHAnsi" w:hAnsiTheme="majorHAnsi"/>
          <w:color w:val="000000" w:themeColor="text1"/>
          <w:szCs w:val="16"/>
        </w:rPr>
        <w:footnoteRef/>
      </w:r>
      <w:r>
        <w:rPr>
          <w:rFonts w:asciiTheme="majorHAnsi" w:hAnsiTheme="majorHAnsi"/>
          <w:color w:val="000000" w:themeColor="text1"/>
          <w:szCs w:val="16"/>
        </w:rPr>
        <w:t xml:space="preserve"> </w:t>
      </w:r>
      <w:r>
        <w:rPr>
          <w:rFonts w:asciiTheme="majorHAnsi" w:hAnsiTheme="majorHAnsi" w:cs="Helvetica"/>
          <w:color w:val="000000" w:themeColor="text1"/>
          <w:szCs w:val="16"/>
          <w:shd w:val="clear" w:color="auto" w:fill="FFFFFF"/>
        </w:rPr>
        <w:t>Murray, Christopher J. L, Lopez, Alan D. </w:t>
      </w:r>
      <w:r>
        <w:rPr>
          <w:rFonts w:asciiTheme="majorHAnsi" w:hAnsiTheme="majorHAnsi" w:cs="Helvetica"/>
          <w:i/>
          <w:color w:val="000000" w:themeColor="text1"/>
          <w:szCs w:val="16"/>
          <w:shd w:val="clear" w:color="auto" w:fill="FFFFFF"/>
        </w:rPr>
        <w:t xml:space="preserve">The Global burden of disease: a comprehensive assessment of mortality and disability from diseases, injuries, and risk factors in 1990 and projected to 2020. </w:t>
      </w:r>
      <w:r>
        <w:rPr>
          <w:rFonts w:asciiTheme="majorHAnsi" w:hAnsiTheme="majorHAnsi" w:cs="Helvetica"/>
          <w:color w:val="000000" w:themeColor="text1"/>
          <w:szCs w:val="16"/>
          <w:shd w:val="clear" w:color="auto" w:fill="FFFFFF"/>
        </w:rPr>
        <w:t>World Health Organization, World Bank &amp; Harvard School of Public Health. (</w:t>
      </w:r>
      <w:r>
        <w:rPr>
          <w:rFonts w:ascii="Arial" w:hAnsi="Arial" w:cs="Arial"/>
          <w:color w:val="000000" w:themeColor="text1"/>
          <w:szCs w:val="16"/>
          <w:shd w:val="clear" w:color="auto" w:fill="FFFFFF"/>
        </w:rPr>
        <w:t>‎</w:t>
      </w:r>
      <w:r>
        <w:rPr>
          <w:rFonts w:asciiTheme="majorHAnsi" w:hAnsiTheme="majorHAnsi" w:cs="Helvetica"/>
          <w:color w:val="000000" w:themeColor="text1"/>
          <w:szCs w:val="16"/>
          <w:shd w:val="clear" w:color="auto" w:fill="FFFFFF"/>
        </w:rPr>
        <w:t>1996)</w:t>
      </w:r>
      <w:r>
        <w:rPr>
          <w:rFonts w:ascii="Arial" w:hAnsi="Arial" w:cs="Arial"/>
          <w:color w:val="000000" w:themeColor="text1"/>
          <w:szCs w:val="16"/>
          <w:shd w:val="clear" w:color="auto" w:fill="FFFFFF"/>
        </w:rPr>
        <w:t>‎</w:t>
      </w:r>
      <w:r>
        <w:rPr>
          <w:rFonts w:asciiTheme="majorHAnsi" w:hAnsiTheme="majorHAnsi" w:cs="Helvetica"/>
          <w:color w:val="000000" w:themeColor="text1"/>
          <w:szCs w:val="16"/>
          <w:shd w:val="clear" w:color="auto" w:fill="FFFFFF"/>
        </w:rPr>
        <w:t>.</w:t>
      </w:r>
    </w:p>
  </w:footnote>
  <w:footnote w:id="115">
    <w:p w14:paraId="0888DF67" w14:textId="77777777" w:rsidR="0082085F" w:rsidRDefault="0082085F" w:rsidP="00762C6C">
      <w:pPr>
        <w:pStyle w:val="FootnoteText"/>
      </w:pPr>
      <w:r>
        <w:rPr>
          <w:rStyle w:val="FootnoteReference"/>
        </w:rPr>
        <w:footnoteRef/>
      </w:r>
      <w:r>
        <w:t xml:space="preserve"> The Australian Government’s </w:t>
      </w:r>
      <w:r>
        <w:rPr>
          <w:i/>
        </w:rPr>
        <w:t>Best Practice Regulation Guidance Note: Value of statistical life (</w:t>
      </w:r>
      <w:r>
        <w:t xml:space="preserve">August 2019) recommended that a statistical life year be valued at $213,000 in 2019 dollars. </w:t>
      </w:r>
    </w:p>
  </w:footnote>
  <w:footnote w:id="116">
    <w:p w14:paraId="6CF48669" w14:textId="5B580B48" w:rsidR="0082085F" w:rsidRDefault="0082085F">
      <w:pPr>
        <w:pStyle w:val="FootnoteText"/>
      </w:pPr>
      <w:r>
        <w:rPr>
          <w:rStyle w:val="FootnoteReference"/>
        </w:rPr>
        <w:footnoteRef/>
      </w:r>
      <w:r>
        <w:t xml:space="preserve"> Many OFGSHs are installed in low income households. Low income households are typically smaller in size and house greater numbers of people (i.e. they are characterised by higher density living arrangements). As a result, the estimated total of 2.5 residents per household is likely conservative for households where OFGSHs are installed. Due to the uncertainty in exactly which individuals within a household might be impacted by CO exposure as a result of an OFGSH, it is assumed that all residents suffer to the same extent.</w:t>
      </w:r>
    </w:p>
  </w:footnote>
  <w:footnote w:id="117">
    <w:p w14:paraId="79B11519" w14:textId="29F6001B" w:rsidR="0082085F" w:rsidRDefault="0082085F">
      <w:pPr>
        <w:pStyle w:val="FootnoteText"/>
      </w:pPr>
      <w:r>
        <w:rPr>
          <w:rStyle w:val="FootnoteReference"/>
        </w:rPr>
        <w:footnoteRef/>
      </w:r>
      <w:r>
        <w:t xml:space="preserve"> All OFGSHs installed in Victorian buildings (including future installations) are assumed to pose the same health risk. Negative pressure environments can cause all OFGSHs (both old and new) to release CO into their environment. As a result, newly installed models have been assumed to pose the same safety risk as their older counterparts.</w:t>
      </w:r>
    </w:p>
  </w:footnote>
  <w:footnote w:id="118">
    <w:p w14:paraId="42EF4F77" w14:textId="7F118987" w:rsidR="0082085F" w:rsidRDefault="0082085F" w:rsidP="00762C6C">
      <w:pPr>
        <w:pStyle w:val="FootnoteText"/>
      </w:pPr>
      <w:r>
        <w:rPr>
          <w:rStyle w:val="FootnoteReference"/>
        </w:rPr>
        <w:footnoteRef/>
      </w:r>
      <w:r>
        <w:t xml:space="preserve"> To put this into context, 0.6% is equivalent to assuming the population failure rate is half that of the 11.2% failure rate observed in the audit, and that 10% of OFGSHs that fail testing then result in CO spillage that could cause low level illness (i.e. 11.2% x 50% x 10% = 0.56% ≈ 0.6%. This has been rounded to one decimal place due to the inherent uncertainty in the estimate). The 50% and 10% adjustments are best estimates based on internal discussions as well as information made available through sources including consultations. It should be noted that these assumptions are uncertain given the lack of actual data on low level illnesses.</w:t>
      </w:r>
      <w:r w:rsidRPr="00726CE9">
        <w:t xml:space="preserve"> </w:t>
      </w:r>
    </w:p>
  </w:footnote>
  <w:footnote w:id="119">
    <w:p w14:paraId="71C86EF4" w14:textId="77777777" w:rsidR="0082085F" w:rsidRDefault="0082085F" w:rsidP="00762C6C">
      <w:pPr>
        <w:pStyle w:val="FootnoteText"/>
      </w:pPr>
      <w:r>
        <w:rPr>
          <w:rStyle w:val="FootnoteReference"/>
        </w:rPr>
        <w:footnoteRef/>
      </w:r>
      <w:r>
        <w:t xml:space="preserve"> Based on the seven months of data collected, </w:t>
      </w:r>
      <w:hyperlink r:id="rId28" w:history="1">
        <w:r>
          <w:rPr>
            <w:rStyle w:val="Hyperlink"/>
          </w:rPr>
          <w:t>Nest</w:t>
        </w:r>
      </w:hyperlink>
      <w:r>
        <w:t xml:space="preserve"> modelled a projection of the annual exposure level. Taking seasonality into account, this projection shows that approximately 0.9% of households are exposed to high CO levels, or about 1.4 million households across the US, Canada, and the UK.</w:t>
      </w:r>
    </w:p>
  </w:footnote>
  <w:footnote w:id="120">
    <w:p w14:paraId="2BBDC9BA" w14:textId="41040F11" w:rsidR="0082085F" w:rsidRDefault="0082085F" w:rsidP="008D3101">
      <w:pPr>
        <w:pStyle w:val="FootnoteText"/>
      </w:pPr>
      <w:r>
        <w:rPr>
          <w:rStyle w:val="FootnoteReference"/>
        </w:rPr>
        <w:footnoteRef/>
      </w:r>
      <w:r>
        <w:t xml:space="preserve"> Based on analysis of product information by DELWP and Deloitte. </w:t>
      </w:r>
    </w:p>
  </w:footnote>
  <w:footnote w:id="121">
    <w:p w14:paraId="58BA0635" w14:textId="68B78D08" w:rsidR="0082085F" w:rsidRDefault="0082085F">
      <w:pPr>
        <w:pStyle w:val="FootnoteText"/>
      </w:pPr>
      <w:r>
        <w:rPr>
          <w:rStyle w:val="FootnoteReference"/>
        </w:rPr>
        <w:footnoteRef/>
      </w:r>
      <w:r>
        <w:t xml:space="preserve"> A discount rate has not been applied due to the uncertainty surrounding the timing of outcomes realised over the 10-year modelling period. </w:t>
      </w:r>
    </w:p>
  </w:footnote>
  <w:footnote w:id="122">
    <w:p w14:paraId="7E08ED45" w14:textId="3CF2A38C" w:rsidR="0082085F" w:rsidRDefault="0082085F">
      <w:pPr>
        <w:pStyle w:val="FootnoteText"/>
      </w:pPr>
      <w:r>
        <w:rPr>
          <w:rStyle w:val="FootnoteReference"/>
        </w:rPr>
        <w:footnoteRef/>
      </w:r>
      <w:r>
        <w:t xml:space="preserve"> Educational costs under the Base Case are lower than historical estimates because much of the educational material has already been developed and the campaign under the Base Case will remind people annually about the importance of servicing gas heaters.</w:t>
      </w:r>
    </w:p>
  </w:footnote>
  <w:footnote w:id="123">
    <w:p w14:paraId="315587F8" w14:textId="47BCBCA6" w:rsidR="0082085F" w:rsidRPr="006F1A86" w:rsidRDefault="0082085F" w:rsidP="00762C6C">
      <w:pPr>
        <w:autoSpaceDE w:val="0"/>
        <w:autoSpaceDN w:val="0"/>
        <w:spacing w:after="0" w:line="240" w:lineRule="auto"/>
        <w:rPr>
          <w:rFonts w:asciiTheme="majorHAnsi" w:eastAsia="Times New Roman" w:hAnsiTheme="majorHAnsi" w:cs="Segoe UI"/>
          <w:color w:val="000000"/>
          <w:sz w:val="16"/>
          <w:szCs w:val="16"/>
          <w:lang w:eastAsia="en-AU"/>
        </w:rPr>
      </w:pPr>
      <w:r w:rsidRPr="005A7B96">
        <w:rPr>
          <w:rStyle w:val="FootnoteReference"/>
          <w:rFonts w:asciiTheme="majorHAnsi" w:hAnsiTheme="majorHAnsi"/>
          <w:sz w:val="16"/>
          <w:szCs w:val="16"/>
        </w:rPr>
        <w:footnoteRef/>
      </w:r>
      <w:r w:rsidRPr="005A7B96">
        <w:rPr>
          <w:rFonts w:asciiTheme="majorHAnsi" w:hAnsiTheme="majorHAnsi"/>
          <w:sz w:val="16"/>
          <w:szCs w:val="16"/>
        </w:rPr>
        <w:t xml:space="preserve"> </w:t>
      </w:r>
      <w:r w:rsidRPr="005A7B96">
        <w:rPr>
          <w:rFonts w:asciiTheme="majorHAnsi" w:eastAsia="Times New Roman" w:hAnsiTheme="majorHAnsi" w:cs="Segoe UI"/>
          <w:color w:val="000000"/>
          <w:sz w:val="16"/>
          <w:szCs w:val="16"/>
          <w:lang w:eastAsia="en-AU"/>
        </w:rPr>
        <w:t xml:space="preserve">Victorian Government value of a statistical life year </w:t>
      </w:r>
      <w:r>
        <w:rPr>
          <w:rFonts w:asciiTheme="majorHAnsi" w:eastAsia="Times New Roman" w:hAnsiTheme="majorHAnsi" w:cs="Segoe UI"/>
          <w:color w:val="000000"/>
          <w:sz w:val="16"/>
          <w:szCs w:val="16"/>
          <w:lang w:eastAsia="en-AU"/>
        </w:rPr>
        <w:t>inflated</w:t>
      </w:r>
      <w:r w:rsidRPr="005A7B96">
        <w:rPr>
          <w:rFonts w:asciiTheme="majorHAnsi" w:eastAsia="Times New Roman" w:hAnsiTheme="majorHAnsi" w:cs="Segoe UI"/>
          <w:color w:val="000000"/>
          <w:sz w:val="16"/>
          <w:szCs w:val="16"/>
          <w:lang w:eastAsia="en-AU"/>
        </w:rPr>
        <w:t xml:space="preserve"> by 3% p.a.</w:t>
      </w:r>
      <w:r>
        <w:rPr>
          <w:rFonts w:asciiTheme="majorHAnsi" w:eastAsia="Times New Roman" w:hAnsiTheme="majorHAnsi" w:cs="Segoe UI"/>
          <w:color w:val="000000"/>
          <w:sz w:val="16"/>
          <w:szCs w:val="16"/>
          <w:lang w:eastAsia="en-AU"/>
        </w:rPr>
        <w:t xml:space="preserve"> This is consistent with the discount rate used in guidance from the Commissioner for Better Regulation regarding the suggested value of a statistical life in RISs and LIAs. </w:t>
      </w:r>
      <w:r w:rsidR="00940FB9">
        <w:rPr>
          <w:rFonts w:asciiTheme="majorHAnsi" w:eastAsia="Times New Roman" w:hAnsiTheme="majorHAnsi" w:cs="Segoe UI"/>
          <w:color w:val="000000"/>
          <w:sz w:val="16"/>
          <w:szCs w:val="16"/>
          <w:lang w:eastAsia="en-AU"/>
        </w:rPr>
        <w:t>Accessed at:</w:t>
      </w:r>
      <w:r w:rsidR="006F1A86">
        <w:rPr>
          <w:rFonts w:asciiTheme="majorHAnsi" w:eastAsia="Times New Roman" w:hAnsiTheme="majorHAnsi" w:cs="Segoe UI"/>
          <w:color w:val="000000"/>
          <w:sz w:val="16"/>
          <w:szCs w:val="16"/>
          <w:lang w:eastAsia="en-AU"/>
        </w:rPr>
        <w:t xml:space="preserve"> </w:t>
      </w:r>
      <w:hyperlink r:id="rId29" w:history="1">
        <w:r w:rsidR="006F1A86" w:rsidRPr="001623CD">
          <w:rPr>
            <w:rStyle w:val="Hyperlink"/>
            <w:rFonts w:asciiTheme="majorHAnsi" w:eastAsia="Times New Roman" w:hAnsiTheme="majorHAnsi" w:cs="Segoe UI"/>
            <w:sz w:val="16"/>
            <w:szCs w:val="16"/>
            <w:lang w:eastAsia="en-AU"/>
          </w:rPr>
          <w:t>https://www.vic.gov.au/sites/default/files/2019-10/Suggested-Value-of-a-Statistical-Life-in-RISs-and-LIAs-2017-Word.docx</w:t>
        </w:r>
      </w:hyperlink>
      <w:r w:rsidR="006F1A86">
        <w:rPr>
          <w:rFonts w:asciiTheme="majorHAnsi" w:eastAsia="Times New Roman" w:hAnsiTheme="majorHAnsi" w:cs="Segoe UI"/>
          <w:color w:val="000000"/>
          <w:sz w:val="16"/>
          <w:szCs w:val="16"/>
          <w:lang w:eastAsia="en-AU"/>
        </w:rPr>
        <w:t xml:space="preserve"> </w:t>
      </w:r>
      <w:r w:rsidR="00940FB9">
        <w:rPr>
          <w:rFonts w:asciiTheme="majorHAnsi" w:eastAsia="Times New Roman" w:hAnsiTheme="majorHAnsi" w:cs="Segoe UI"/>
          <w:color w:val="000000"/>
          <w:sz w:val="16"/>
          <w:szCs w:val="16"/>
          <w:lang w:eastAsia="en-AU"/>
        </w:rPr>
        <w:t xml:space="preserve"> </w:t>
      </w:r>
    </w:p>
  </w:footnote>
  <w:footnote w:id="124">
    <w:p w14:paraId="00E6B533" w14:textId="1CC21970" w:rsidR="0082085F" w:rsidRDefault="0082085F">
      <w:pPr>
        <w:pStyle w:val="FootnoteText"/>
      </w:pPr>
      <w:r>
        <w:rPr>
          <w:rStyle w:val="FootnoteReference"/>
        </w:rPr>
        <w:footnoteRef/>
      </w:r>
      <w:r>
        <w:t xml:space="preserve"> Many of those who survive severe CO poisoning go on to experience later neurological problems (Rose et al, 2017). Due to the uncertainty in the timing and onset of these symptoms, it has been assumed that affected individuals experience them for half of their estimated remaining life (i.e. 23.16 years). </w:t>
      </w:r>
    </w:p>
  </w:footnote>
  <w:footnote w:id="125">
    <w:p w14:paraId="394DFC5A" w14:textId="77777777" w:rsidR="0082085F" w:rsidRDefault="0082085F" w:rsidP="00762C6C">
      <w:pPr>
        <w:pStyle w:val="FootnoteText"/>
      </w:pPr>
      <w:r w:rsidRPr="005A7B96">
        <w:rPr>
          <w:rStyle w:val="FootnoteReference"/>
          <w:rFonts w:asciiTheme="majorHAnsi" w:hAnsiTheme="majorHAnsi"/>
          <w:szCs w:val="16"/>
        </w:rPr>
        <w:footnoteRef/>
      </w:r>
      <w:r w:rsidRPr="005A7B96">
        <w:rPr>
          <w:rFonts w:asciiTheme="majorHAnsi" w:hAnsiTheme="majorHAnsi"/>
          <w:szCs w:val="16"/>
        </w:rPr>
        <w:t xml:space="preserve"> Murray and Lopez (1996).</w:t>
      </w:r>
    </w:p>
  </w:footnote>
  <w:footnote w:id="126">
    <w:p w14:paraId="438FBEFE" w14:textId="0D0F6696" w:rsidR="0082085F" w:rsidRDefault="0082085F">
      <w:pPr>
        <w:pStyle w:val="FootnoteText"/>
      </w:pPr>
      <w:r>
        <w:rPr>
          <w:rStyle w:val="FootnoteReference"/>
        </w:rPr>
        <w:footnoteRef/>
      </w:r>
      <w:r>
        <w:t xml:space="preserve"> As noted earlier, 0.6% is equivalent to assuming the population failure rate is half that of the 11.2% failure rate observed in the audit, and that 10% of OFGSHs that fail testing then result in CO spillage that could cause low level illness (i.e. 11.2% x 50% x 10% = 0.56% ≈ 0.6%. This has been rounded to one decimal place due to the inherent uncertainty in the estimate). The 50% and 10% adjustments are best estimates based on internal discussions as well as information available through other sources such as consultations. It should be noted that these assumptions are uncertain given the lack of actual data on low level illnesses.</w:t>
      </w:r>
    </w:p>
  </w:footnote>
  <w:footnote w:id="127">
    <w:p w14:paraId="64028C5F" w14:textId="3337C24A" w:rsidR="0082085F" w:rsidRDefault="0082085F">
      <w:pPr>
        <w:pStyle w:val="FootnoteText"/>
      </w:pPr>
      <w:r>
        <w:rPr>
          <w:rStyle w:val="FootnoteReference"/>
        </w:rPr>
        <w:footnoteRef/>
      </w:r>
      <w:r>
        <w:t xml:space="preserve"> </w:t>
      </w:r>
      <w:r w:rsidRPr="006D2E1E">
        <w:t>I</w:t>
      </w:r>
      <w:r>
        <w:t>n the absence of better information, i</w:t>
      </w:r>
      <w:r w:rsidRPr="006D2E1E">
        <w:t>t is assumed that affected individuals experience these symptoms for 6 months based on elevated heater usage during colder months.</w:t>
      </w:r>
    </w:p>
  </w:footnote>
  <w:footnote w:id="128">
    <w:p w14:paraId="7FD6D891" w14:textId="45ECF7FF" w:rsidR="0082085F" w:rsidRDefault="0082085F" w:rsidP="00762C6C">
      <w:pPr>
        <w:pStyle w:val="FootnoteText"/>
      </w:pPr>
      <w:r>
        <w:rPr>
          <w:rStyle w:val="FootnoteReference"/>
        </w:rPr>
        <w:footnoteRef/>
      </w:r>
      <w:r>
        <w:t xml:space="preserve"> </w:t>
      </w:r>
      <w:r w:rsidRPr="00054FE5">
        <w:rPr>
          <w:szCs w:val="16"/>
        </w:rPr>
        <w:t xml:space="preserve">A disability weight is a weight factor that reflects the severity of the disease on a scale from 0 (perfect health) to 1 (equivalent to death). </w:t>
      </w:r>
      <w:r w:rsidR="00940FB9">
        <w:rPr>
          <w:szCs w:val="16"/>
        </w:rPr>
        <w:t>Accessed at</w:t>
      </w:r>
      <w:r w:rsidRPr="00054FE5">
        <w:rPr>
          <w:szCs w:val="16"/>
        </w:rPr>
        <w:t xml:space="preserve">: </w:t>
      </w:r>
      <w:hyperlink r:id="rId30" w:history="1">
        <w:r w:rsidR="00940FB9" w:rsidRPr="005702B0">
          <w:rPr>
            <w:rStyle w:val="Hyperlink"/>
            <w:szCs w:val="16"/>
          </w:rPr>
          <w:t>https://www.who.int/healthinfo/global_burden_disease/daly_disability_weight/en/</w:t>
        </w:r>
      </w:hyperlink>
      <w:r w:rsidR="00940FB9">
        <w:rPr>
          <w:szCs w:val="16"/>
        </w:rPr>
        <w:t xml:space="preserve"> </w:t>
      </w:r>
    </w:p>
  </w:footnote>
  <w:footnote w:id="129">
    <w:p w14:paraId="703F24A4" w14:textId="5D56A3AB" w:rsidR="0082085F" w:rsidRDefault="0082085F" w:rsidP="00762C6C">
      <w:pPr>
        <w:pStyle w:val="FootnoteText"/>
      </w:pPr>
      <w:r>
        <w:rPr>
          <w:rStyle w:val="FootnoteReference"/>
        </w:rPr>
        <w:footnoteRef/>
      </w:r>
      <w:r>
        <w:t xml:space="preserve"> Asthma was selected as a close proxy to the cold and flu like symptoms typically experienced during low level CO exposures.</w:t>
      </w:r>
    </w:p>
  </w:footnote>
  <w:footnote w:id="130">
    <w:p w14:paraId="72D0D7EF" w14:textId="77777777" w:rsidR="0082085F" w:rsidRDefault="0082085F" w:rsidP="0062129B">
      <w:pPr>
        <w:pStyle w:val="FootnoteText"/>
      </w:pPr>
      <w:r>
        <w:rPr>
          <w:rStyle w:val="FootnoteReference"/>
        </w:rPr>
        <w:footnoteRef/>
      </w:r>
      <w:r>
        <w:t xml:space="preserve"> The cost of mandatory installations of CO alarms for all buildings with OFGSHs, not just rental buildings, would be approximately $18 million.</w:t>
      </w:r>
    </w:p>
  </w:footnote>
  <w:footnote w:id="131">
    <w:p w14:paraId="50F8D70C" w14:textId="6C6D361F" w:rsidR="0082085F" w:rsidRDefault="0082085F" w:rsidP="00250585">
      <w:pPr>
        <w:pStyle w:val="CaptionChart"/>
        <w:spacing w:after="0" w:line="240" w:lineRule="auto"/>
      </w:pPr>
      <w:r w:rsidRPr="00B92205">
        <w:rPr>
          <w:rStyle w:val="FootnoteReference"/>
          <w:rFonts w:asciiTheme="majorHAnsi" w:hAnsiTheme="majorHAnsi"/>
          <w:color w:val="auto"/>
          <w:sz w:val="16"/>
          <w:szCs w:val="16"/>
        </w:rPr>
        <w:footnoteRef/>
      </w:r>
      <w:r w:rsidRPr="00B92205">
        <w:rPr>
          <w:rFonts w:asciiTheme="majorHAnsi" w:hAnsiTheme="majorHAnsi"/>
          <w:color w:val="auto"/>
          <w:sz w:val="16"/>
          <w:szCs w:val="16"/>
        </w:rPr>
        <w:t xml:space="preserve"> Coroners Court of Victoria (2013). </w:t>
      </w:r>
      <w:r w:rsidRPr="00B92205">
        <w:rPr>
          <w:rFonts w:asciiTheme="majorHAnsi" w:hAnsiTheme="majorHAnsi"/>
          <w:i/>
          <w:color w:val="auto"/>
          <w:sz w:val="16"/>
          <w:szCs w:val="16"/>
        </w:rPr>
        <w:t>Inquest into the death of Tyler Robinson</w:t>
      </w:r>
      <w:r w:rsidRPr="00B92205">
        <w:rPr>
          <w:rFonts w:asciiTheme="majorHAnsi" w:hAnsiTheme="majorHAnsi"/>
          <w:color w:val="auto"/>
          <w:sz w:val="16"/>
          <w:szCs w:val="16"/>
        </w:rPr>
        <w:t xml:space="preserve"> (File No. COR 2010</w:t>
      </w:r>
      <w:r>
        <w:rPr>
          <w:rFonts w:asciiTheme="majorHAnsi" w:hAnsiTheme="majorHAnsi"/>
          <w:color w:val="auto"/>
          <w:sz w:val="16"/>
          <w:szCs w:val="16"/>
        </w:rPr>
        <w:t>/</w:t>
      </w:r>
      <w:r w:rsidRPr="00B92205">
        <w:rPr>
          <w:rFonts w:asciiTheme="majorHAnsi" w:hAnsiTheme="majorHAnsi"/>
          <w:color w:val="auto"/>
          <w:sz w:val="16"/>
          <w:szCs w:val="16"/>
        </w:rPr>
        <w:t>2038)</w:t>
      </w:r>
      <w:r w:rsidR="00842483">
        <w:rPr>
          <w:rFonts w:asciiTheme="majorHAnsi" w:hAnsiTheme="majorHAnsi"/>
          <w:color w:val="auto"/>
          <w:sz w:val="16"/>
          <w:szCs w:val="16"/>
        </w:rPr>
        <w:t>.</w:t>
      </w:r>
    </w:p>
  </w:footnote>
  <w:footnote w:id="132">
    <w:p w14:paraId="755EBE80" w14:textId="79C3ED22" w:rsidR="0082085F" w:rsidRDefault="0082085F" w:rsidP="00513C06">
      <w:pPr>
        <w:pStyle w:val="FootnoteText"/>
      </w:pPr>
      <w:r>
        <w:rPr>
          <w:rStyle w:val="FootnoteReference"/>
        </w:rPr>
        <w:footnoteRef/>
      </w:r>
      <w:r>
        <w:t xml:space="preserve"> </w:t>
      </w:r>
      <w:r w:rsidRPr="00BD6C39">
        <w:t>Gas Appliance (Carbon Monoxide) Safety Strategy</w:t>
      </w:r>
      <w:r w:rsidR="00842483">
        <w:t>.</w:t>
      </w:r>
    </w:p>
  </w:footnote>
  <w:footnote w:id="133">
    <w:p w14:paraId="4EBF17DB" w14:textId="77777777" w:rsidR="0082085F" w:rsidRDefault="0082085F" w:rsidP="00261D0B">
      <w:pPr>
        <w:pStyle w:val="FootnoteText"/>
      </w:pPr>
      <w:r>
        <w:rPr>
          <w:rStyle w:val="FootnoteReference"/>
        </w:rPr>
        <w:footnoteRef/>
      </w:r>
      <w:r>
        <w:t xml:space="preserve"> Risk in terms of deaths and illnesses.</w:t>
      </w:r>
    </w:p>
  </w:footnote>
  <w:footnote w:id="134">
    <w:p w14:paraId="14030101" w14:textId="77777777" w:rsidR="0082085F" w:rsidRPr="00653A69" w:rsidRDefault="0082085F" w:rsidP="0062129B">
      <w:pPr>
        <w:pStyle w:val="FootnoteText"/>
      </w:pPr>
      <w:r>
        <w:rPr>
          <w:rStyle w:val="FootnoteReference"/>
        </w:rPr>
        <w:footnoteRef/>
      </w:r>
      <w:r>
        <w:t xml:space="preserve"> Deloitte analysis of Quantum Market Research, </w:t>
      </w:r>
      <w:r>
        <w:rPr>
          <w:i/>
          <w:iCs/>
        </w:rPr>
        <w:t>Energy Safe Victoria Gas Heaters Research (</w:t>
      </w:r>
      <w:r>
        <w:t>2018).</w:t>
      </w:r>
    </w:p>
  </w:footnote>
  <w:footnote w:id="135">
    <w:p w14:paraId="4D98E2B7" w14:textId="293FBA96" w:rsidR="0082085F" w:rsidRDefault="0082085F">
      <w:pPr>
        <w:pStyle w:val="FootnoteText"/>
      </w:pPr>
      <w:r>
        <w:rPr>
          <w:rStyle w:val="FootnoteReference"/>
        </w:rPr>
        <w:footnoteRef/>
      </w:r>
      <w:r>
        <w:t xml:space="preserve"> Residual safety risk is estimated as the health cost incurred due to fatal and non-fatal CO exposures caused by OFGSHs in rental properties, after the preferred option has been implemented.</w:t>
      </w:r>
    </w:p>
  </w:footnote>
  <w:footnote w:id="136">
    <w:p w14:paraId="0C131D9D" w14:textId="77777777" w:rsidR="0082085F" w:rsidRDefault="0082085F" w:rsidP="00261D0B">
      <w:pPr>
        <w:pStyle w:val="FootnoteText"/>
      </w:pPr>
      <w:r>
        <w:rPr>
          <w:rStyle w:val="FootnoteReference"/>
        </w:rPr>
        <w:footnoteRef/>
      </w:r>
      <w:r>
        <w:t xml:space="preserve"> Based on data from DELWP.</w:t>
      </w:r>
    </w:p>
  </w:footnote>
  <w:footnote w:id="137">
    <w:p w14:paraId="5463B5B9" w14:textId="347D4D18" w:rsidR="0082085F" w:rsidRDefault="0082085F" w:rsidP="00261D0B">
      <w:pPr>
        <w:pStyle w:val="FootnoteText"/>
      </w:pPr>
      <w:r>
        <w:rPr>
          <w:rStyle w:val="FootnoteReference"/>
        </w:rPr>
        <w:footnoteRef/>
      </w:r>
      <w:r>
        <w:t xml:space="preserve"> </w:t>
      </w:r>
      <w:r w:rsidRPr="4032E5C1">
        <w:t>Electrochemical sensor CO alarms: have a limited life span of around 2 to 7 years, but their life expectancy and effectiveness will vary depending on their environment (and the relative heat, humidity, and dust), battery condition, and the level of exposure to CO</w:t>
      </w:r>
      <w:r w:rsidR="4032E5C1" w:rsidRPr="4032E5C1">
        <w:t>.</w:t>
      </w:r>
    </w:p>
  </w:footnote>
  <w:footnote w:id="138">
    <w:p w14:paraId="103F6210" w14:textId="77777777" w:rsidR="0082085F" w:rsidRDefault="0082085F" w:rsidP="00261D0B">
      <w:pPr>
        <w:pStyle w:val="FootnoteText"/>
      </w:pPr>
      <w:r>
        <w:rPr>
          <w:rStyle w:val="FootnoteReference"/>
        </w:rPr>
        <w:footnoteRef/>
      </w:r>
      <w:r>
        <w:t xml:space="preserve"> Data provided by DELWP.</w:t>
      </w:r>
    </w:p>
  </w:footnote>
  <w:footnote w:id="139">
    <w:p w14:paraId="367850F8" w14:textId="4C2193B1" w:rsidR="0082085F" w:rsidRDefault="0082085F">
      <w:pPr>
        <w:pStyle w:val="FootnoteText"/>
      </w:pPr>
      <w:r>
        <w:rPr>
          <w:rStyle w:val="FootnoteReference"/>
        </w:rPr>
        <w:footnoteRef/>
      </w:r>
      <w:r>
        <w:t xml:space="preserve"> The VBA will s</w:t>
      </w:r>
      <w:r w:rsidRPr="006D2E1E">
        <w:t>upport</w:t>
      </w:r>
      <w:r>
        <w:t xml:space="preserve"> </w:t>
      </w:r>
      <w:r w:rsidRPr="006D2E1E">
        <w:t>ESV and DELWP in communicating and informing registered/licenced practitioners on these changes and other implementation matters.</w:t>
      </w:r>
    </w:p>
  </w:footnote>
  <w:footnote w:id="140">
    <w:p w14:paraId="565917F2" w14:textId="617C6B53" w:rsidR="0082085F" w:rsidRDefault="0082085F">
      <w:pPr>
        <w:pStyle w:val="FootnoteText"/>
      </w:pPr>
      <w:r>
        <w:rPr>
          <w:rStyle w:val="FootnoteReference"/>
        </w:rPr>
        <w:footnoteRef/>
      </w:r>
      <w:r>
        <w:t xml:space="preserve"> The VBA has a </w:t>
      </w:r>
      <w:r w:rsidRPr="006D2E1E">
        <w:t>role in compliance and enforcement of standard gasfitting installations under Victorian plumbing regulatory framework.</w:t>
      </w:r>
    </w:p>
  </w:footnote>
  <w:footnote w:id="141">
    <w:p w14:paraId="2B165568" w14:textId="5E9CC3F6" w:rsidR="0082085F" w:rsidRDefault="0082085F" w:rsidP="003720D2">
      <w:pPr>
        <w:pStyle w:val="FootnoteText"/>
      </w:pPr>
      <w:r>
        <w:rPr>
          <w:rStyle w:val="FootnoteReference"/>
        </w:rPr>
        <w:footnoteRef/>
      </w:r>
      <w:r>
        <w:t xml:space="preserve"> Office of the Commissioner for Better Regulation. (2016). </w:t>
      </w:r>
      <w:r w:rsidRPr="0013388A">
        <w:rPr>
          <w:i/>
        </w:rPr>
        <w:t>Victorian Guide to Regulation: A handbook for policy-makers in Victoria</w:t>
      </w:r>
      <w:r>
        <w:t xml:space="preserve">. Melbourne, Australia. </w:t>
      </w:r>
      <w:r w:rsidR="4032E5C1">
        <w:t xml:space="preserve">Accessed at: </w:t>
      </w:r>
      <w:hyperlink r:id="rId31" w:history="1">
        <w:r w:rsidRPr="00F05239">
          <w:rPr>
            <w:rStyle w:val="Hyperlink"/>
          </w:rPr>
          <w:t>http://www.betterregulation.vic.gov.au/files/98181269-905c-4893-bff3- a6bb009df93c/Victorian-Guide-to-Regulation-PDF-final.pdf</w:t>
        </w:r>
      </w:hyperlink>
      <w:r>
        <w:t xml:space="preserve"> </w:t>
      </w:r>
    </w:p>
  </w:footnote>
  <w:footnote w:id="142">
    <w:p w14:paraId="12F02AC0" w14:textId="41D0CA08" w:rsidR="0082085F" w:rsidRDefault="0082085F">
      <w:pPr>
        <w:pStyle w:val="FootnoteText"/>
      </w:pPr>
      <w:r>
        <w:rPr>
          <w:rStyle w:val="FootnoteReference"/>
        </w:rPr>
        <w:footnoteRef/>
      </w:r>
      <w:r>
        <w:t xml:space="preserve"> </w:t>
      </w:r>
      <w:r w:rsidR="00842AD3">
        <w:rPr>
          <w:i/>
          <w:iCs/>
        </w:rPr>
        <w:t xml:space="preserve">Gas Safety Act 1997. </w:t>
      </w:r>
      <w:r w:rsidR="00842AD3" w:rsidRPr="003828F1">
        <w:t>Accessed at:</w:t>
      </w:r>
      <w:r w:rsidR="00842AD3">
        <w:rPr>
          <w:i/>
          <w:iCs/>
        </w:rPr>
        <w:t xml:space="preserve"> </w:t>
      </w:r>
      <w:hyperlink r:id="rId32" w:history="1">
        <w:r w:rsidR="00842AD3" w:rsidRPr="003828F1">
          <w:rPr>
            <w:rStyle w:val="Hyperlink"/>
          </w:rPr>
          <w:t>http://www.legislation.vic.gov.au/Domino/Web_Notes/LDMS/LTObject_Store/LTObjSt2.nsf/DDE300B846EED9C7CA257616000A3571/8CBF51BFAC2DD3CBCA25776100216E9B/$FILE/97-99a025.pdf</w:t>
        </w:r>
      </w:hyperlink>
      <w:r w:rsidR="00842AD3" w:rsidRPr="00842AD3">
        <w:rPr>
          <w:i/>
          <w:iCs/>
        </w:rPr>
        <w:t xml:space="preserve"> </w:t>
      </w:r>
      <w:r w:rsidR="00842AD3">
        <w:rPr>
          <w:i/>
          <w:iCs/>
        </w:rPr>
        <w:t xml:space="preserve"> </w:t>
      </w:r>
    </w:p>
  </w:footnote>
  <w:footnote w:id="143">
    <w:p w14:paraId="4F0C0C67" w14:textId="4E3EEB31" w:rsidR="0082085F" w:rsidRPr="00CC4A0B" w:rsidRDefault="0082085F" w:rsidP="00E50BB2">
      <w:pPr>
        <w:pStyle w:val="FootnoteText"/>
        <w:rPr>
          <w:sz w:val="14"/>
          <w:szCs w:val="14"/>
        </w:rPr>
      </w:pPr>
      <w:r w:rsidRPr="00CC4A0B">
        <w:rPr>
          <w:rStyle w:val="FootnoteReference"/>
          <w:sz w:val="14"/>
          <w:szCs w:val="14"/>
        </w:rPr>
        <w:footnoteRef/>
      </w:r>
      <w:r w:rsidRPr="00CC4A0B">
        <w:rPr>
          <w:sz w:val="14"/>
          <w:szCs w:val="14"/>
        </w:rPr>
        <w:t xml:space="preserve"> </w:t>
      </w:r>
      <w:r w:rsidRPr="003828F1">
        <w:rPr>
          <w:szCs w:val="16"/>
        </w:rPr>
        <w:t>ESV</w:t>
      </w:r>
      <w:r w:rsidR="4032E5C1" w:rsidRPr="003828F1">
        <w:rPr>
          <w:szCs w:val="16"/>
        </w:rPr>
        <w:t xml:space="preserve"> (2018)</w:t>
      </w:r>
      <w:r w:rsidR="00421025">
        <w:rPr>
          <w:szCs w:val="16"/>
        </w:rPr>
        <w:t>.</w:t>
      </w:r>
      <w:r w:rsidR="4032E5C1" w:rsidRPr="003828F1">
        <w:rPr>
          <w:szCs w:val="16"/>
        </w:rPr>
        <w:t xml:space="preserve"> </w:t>
      </w:r>
      <w:r w:rsidRPr="003828F1">
        <w:rPr>
          <w:i/>
          <w:szCs w:val="16"/>
        </w:rPr>
        <w:t>Gas information sheet 36: Carbon Monoxide Alarms for Domestic Use</w:t>
      </w:r>
      <w:r w:rsidR="4032E5C1" w:rsidRPr="003828F1">
        <w:rPr>
          <w:i/>
          <w:iCs/>
          <w:szCs w:val="16"/>
        </w:rPr>
        <w:t xml:space="preserve">. </w:t>
      </w:r>
      <w:r w:rsidR="4032E5C1" w:rsidRPr="00421025">
        <w:rPr>
          <w:szCs w:val="16"/>
        </w:rPr>
        <w:t>Accessed at:</w:t>
      </w:r>
      <w:r w:rsidRPr="00421025">
        <w:rPr>
          <w:szCs w:val="16"/>
        </w:rPr>
        <w:t xml:space="preserve"> </w:t>
      </w:r>
      <w:hyperlink r:id="rId33" w:history="1">
        <w:r w:rsidRPr="00421025">
          <w:rPr>
            <w:rStyle w:val="Hyperlink"/>
            <w:szCs w:val="16"/>
          </w:rPr>
          <w:t>https://esv.vic.gov.au/wp-content/uploads/2018/06/Gas_information_sheet_36.pdf</w:t>
        </w:r>
      </w:hyperlink>
    </w:p>
  </w:footnote>
  <w:footnote w:id="144">
    <w:p w14:paraId="1C44A496" w14:textId="77777777" w:rsidR="0082085F" w:rsidRDefault="0082085F" w:rsidP="00E50BB2">
      <w:pPr>
        <w:pStyle w:val="FootnoteText"/>
        <w:rPr>
          <w:szCs w:val="16"/>
        </w:rPr>
      </w:pPr>
      <w:r w:rsidRPr="00421025">
        <w:rPr>
          <w:rStyle w:val="FootnoteReference"/>
          <w:szCs w:val="16"/>
        </w:rPr>
        <w:footnoteRef/>
      </w:r>
      <w:r w:rsidRPr="00421025">
        <w:rPr>
          <w:szCs w:val="16"/>
        </w:rPr>
        <w:t xml:space="preserve"> 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9B403" w14:textId="77777777" w:rsidR="00465315" w:rsidRDefault="0046531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E5A8F" w14:textId="0F50D7B6" w:rsidR="0082085F" w:rsidRPr="00DB391F" w:rsidRDefault="0082085F" w:rsidP="00DA7FA4">
    <w:pPr>
      <w:pStyle w:val="Head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2250E" w14:textId="16B72189" w:rsidR="0082085F" w:rsidRDefault="00443623" w:rsidP="00474643">
    <w:pPr>
      <w:pStyle w:val="Header"/>
    </w:pPr>
    <w:sdt>
      <w:sdtPr>
        <w:rPr>
          <w:lang w:val="en-US"/>
        </w:rPr>
        <w:alias w:val="Title"/>
        <w:id w:val="122897596"/>
        <w:placeholder>
          <w:docPart w:val="96CBDA9FA7A04372B3E54EB7A3FE2844"/>
        </w:placeholder>
        <w:dataBinding w:prefixMappings="xmlns:ns0='http://purl.org/dc/elements/1.1/' xmlns:ns1='http://schemas.openxmlformats.org/package/2006/metadata/core-properties' " w:xpath="/ns1:coreProperties[1]/ns0:title[1]" w:storeItemID="{6C3C8BC8-F283-45AE-878A-BAB7291924A1}"/>
        <w:text/>
      </w:sdtPr>
      <w:sdtEndPr/>
      <w:sdtContent>
        <w:r w:rsidR="0082085F">
          <w:rPr>
            <w:lang w:val="en-US"/>
          </w:rPr>
          <w:t>Regulatory Impact Statement: Open Flued Gas Space Heaters</w:t>
        </w:r>
      </w:sdtContent>
    </w:sdt>
  </w:p>
  <w:p w14:paraId="2A92250F" w14:textId="77777777" w:rsidR="0082085F" w:rsidRPr="00474643" w:rsidRDefault="0082085F" w:rsidP="004746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AFC87" w14:textId="77777777" w:rsidR="00465315" w:rsidRDefault="004653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267D6" w14:textId="1D56B71C" w:rsidR="0082085F" w:rsidRDefault="008208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22514" w14:textId="1FCC131B" w:rsidR="0082085F" w:rsidRDefault="0082085F" w:rsidP="00612D76">
    <w:pPr>
      <w:pStyle w:val="Header"/>
      <w:spacing w:line="14" w:lineRule="exact"/>
    </w:pPr>
  </w:p>
  <w:p w14:paraId="2A922515" w14:textId="2F6AA86C" w:rsidR="0082085F" w:rsidRPr="000116B0" w:rsidRDefault="00443623" w:rsidP="00474643">
    <w:pPr>
      <w:pStyle w:val="Header"/>
    </w:pPr>
    <w:sdt>
      <w:sdtPr>
        <w:alias w:val="Title"/>
        <w:id w:val="-1019540038"/>
        <w:dataBinding w:prefixMappings="xmlns:ns0='http://purl.org/dc/elements/1.1/' xmlns:ns1='http://schemas.openxmlformats.org/package/2006/metadata/core-properties' " w:xpath="/ns1:coreProperties[1]/ns0:title[1]" w:storeItemID="{6C3C8BC8-F283-45AE-878A-BAB7291924A1}"/>
        <w:text/>
      </w:sdtPr>
      <w:sdtEndPr/>
      <w:sdtContent>
        <w:r w:rsidR="0082085F">
          <w:t>Regulatory Impact Statement: Open Flued Gas Space Heaters</w:t>
        </w:r>
      </w:sdtContent>
    </w:sdt>
  </w:p>
  <w:p w14:paraId="2A922516" w14:textId="6DC0DC0D" w:rsidR="0082085F" w:rsidRDefault="0082085F" w:rsidP="00474643">
    <w:pPr>
      <w:pStyle w:val="Header"/>
    </w:pPr>
    <w:r>
      <w:rPr>
        <w:noProof/>
        <w:lang w:eastAsia="en-AU"/>
      </w:rPr>
      <mc:AlternateContent>
        <mc:Choice Requires="wps">
          <w:drawing>
            <wp:anchor distT="0" distB="0" distL="0" distR="0" simplePos="0" relativeHeight="251658240" behindDoc="1" locked="1" layoutInCell="1" allowOverlap="1" wp14:anchorId="2A92251E" wp14:editId="0DEF89B0">
              <wp:simplePos x="0" y="0"/>
              <wp:positionH relativeFrom="page">
                <wp:posOffset>0</wp:posOffset>
              </wp:positionH>
              <wp:positionV relativeFrom="page">
                <wp:posOffset>0</wp:posOffset>
              </wp:positionV>
              <wp:extent cx="2880000" cy="770400"/>
              <wp:effectExtent l="0" t="0" r="0" b="0"/>
              <wp:wrapNone/>
              <wp:docPr id="14" name="Commercial-in-confidence_Hid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80000" cy="7704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92254E" w14:textId="1AAF966E" w:rsidR="0082085F" w:rsidRDefault="0082085F" w:rsidP="00E33B5F">
                          <w:pPr>
                            <w:pStyle w:val="Footer"/>
                          </w:pPr>
                        </w:p>
                      </w:txbxContent>
                    </wps:txbx>
                    <wps:bodyPr rot="0" spcFirstLastPara="0" vertOverflow="overflow" horzOverflow="overflow" vert="horz" wrap="square" lIns="9144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2251E" id="_x0000_t202" coordsize="21600,21600" o:spt="202" path="m,l,21600r21600,l21600,xe">
              <v:stroke joinstyle="miter"/>
              <v:path gradientshapeok="t" o:connecttype="rect"/>
            </v:shapetype>
            <v:shape id="Commercial-in-confidence_Hide" o:spid="_x0000_s1035" type="#_x0000_t202" style="position:absolute;margin-left:0;margin-top:0;width:226.75pt;height:60.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" filled="f" stroked="f" strokeweight=".5pt">
              <v:textbox inset="1in,0,0,0">
                <w:txbxContent>
                  <w:p w14:paraId="2A92254E" w14:textId="1AAF966E" w:rsidR="0082085F" w:rsidRDefault="0082085F" w:rsidP="00E33B5F">
                    <w:pPr>
                      <w:pStyle w:val="Footer"/>
                    </w:pPr>
                  </w:p>
                </w:txbxContent>
              </v:textbox>
              <w10:wrap anchorx="page" anchory="page"/>
              <w10:anchorlock/>
            </v:shape>
          </w:pict>
        </mc:Fallback>
      </mc:AlternateContent>
    </w:r>
    <w:r>
      <w:rPr>
        <w:noProof/>
        <w:lang w:eastAsia="en-AU"/>
      </w:rPr>
      <mc:AlternateContent>
        <mc:Choice Requires="wps">
          <w:drawing>
            <wp:anchor distT="0" distB="0" distL="0" distR="0" simplePos="0" relativeHeight="251658241" behindDoc="1" locked="1" layoutInCell="1" allowOverlap="1" wp14:anchorId="3E669A3A" wp14:editId="121C7FC0">
              <wp:simplePos x="0" y="0"/>
              <wp:positionH relativeFrom="page">
                <wp:posOffset>2676525</wp:posOffset>
              </wp:positionH>
              <wp:positionV relativeFrom="page">
                <wp:posOffset>190500</wp:posOffset>
              </wp:positionV>
              <wp:extent cx="2879725" cy="770255"/>
              <wp:effectExtent l="0" t="0" r="0" b="10795"/>
              <wp:wrapNone/>
              <wp:docPr id="38" name="Commercial-in-confidence_Hid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79725" cy="77025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04DC94" w14:textId="1A62222E" w:rsidR="0082085F" w:rsidRDefault="0082085F" w:rsidP="00E33B5F">
                          <w:pPr>
                            <w:pStyle w:val="Footer"/>
                          </w:pPr>
                        </w:p>
                      </w:txbxContent>
                    </wps:txbx>
                    <wps:bodyPr rot="0" spcFirstLastPara="0" vertOverflow="overflow" horzOverflow="overflow" vert="horz" wrap="square" lIns="9144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69A3A" id="_x0000_s1036" type="#_x0000_t202" style="position:absolute;margin-left:210.75pt;margin-top:15pt;width:226.75pt;height:60.6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" filled="f" stroked="f" strokeweight=".5pt">
              <v:textbox inset="1in,0,0,0">
                <w:txbxContent>
                  <w:p w14:paraId="6704DC94" w14:textId="1A62222E" w:rsidR="0082085F" w:rsidRDefault="0082085F" w:rsidP="00E33B5F">
                    <w:pPr>
                      <w:pStyle w:val="Footer"/>
                    </w:pPr>
                  </w:p>
                </w:txbxContent>
              </v:textbox>
              <w10:wrap anchorx="page" anchory="page"/>
              <w10:anchorlock/>
            </v:shape>
          </w:pict>
        </mc:Fallback>
      </mc:AlternateContent>
    </w:r>
  </w:p>
  <w:p w14:paraId="2A922517" w14:textId="77777777" w:rsidR="0082085F" w:rsidRDefault="0082085F" w:rsidP="0047464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070CE" w14:textId="5A1972D2" w:rsidR="0082085F" w:rsidRDefault="0082085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9EB1E" w14:textId="0D03E91D" w:rsidR="0082085F" w:rsidRDefault="0082085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22519" w14:textId="1143AA32" w:rsidR="0082085F" w:rsidRPr="000116B0" w:rsidRDefault="00443623" w:rsidP="00E33B5F">
    <w:pPr>
      <w:pStyle w:val="Header"/>
    </w:pPr>
    <w:sdt>
      <w:sdtPr>
        <w:alias w:val="Title"/>
        <w:id w:val="-768001879"/>
        <w:dataBinding w:prefixMappings="xmlns:ns0='http://purl.org/dc/elements/1.1/' xmlns:ns1='http://schemas.openxmlformats.org/package/2006/metadata/core-properties' " w:xpath="/ns1:coreProperties[1]/ns0:title[1]" w:storeItemID="{6C3C8BC8-F283-45AE-878A-BAB7291924A1}"/>
        <w:text/>
      </w:sdtPr>
      <w:sdtEndPr/>
      <w:sdtContent>
        <w:r w:rsidR="0082085F">
          <w:t>Regulatory Impact Statement: Open Flued Gas Space Heaters</w:t>
        </w:r>
      </w:sdtContent>
    </w:sdt>
  </w:p>
  <w:p w14:paraId="2A92251A" w14:textId="46E2C4CD" w:rsidR="0082085F" w:rsidRDefault="0082085F" w:rsidP="00E33B5F">
    <w:pPr>
      <w:pStyle w:val="Header"/>
    </w:pPr>
  </w:p>
  <w:p w14:paraId="2A92251B" w14:textId="12E95B97" w:rsidR="0082085F" w:rsidRPr="00E33B5F" w:rsidRDefault="0082085F" w:rsidP="00E33B5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30B6C" w14:textId="22BB7854" w:rsidR="0082085F" w:rsidRDefault="008208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42CAA2C8"/>
    <w:lvl w:ilvl="0" w:tplc="E9E46F34">
      <w:start w:val="1"/>
      <w:numFmt w:val="decimal"/>
      <w:pStyle w:val="ListNumber4"/>
      <w:lvlText w:val="%1."/>
      <w:lvlJc w:val="left"/>
      <w:pPr>
        <w:tabs>
          <w:tab w:val="num" w:pos="1209"/>
        </w:tabs>
        <w:ind w:left="1209" w:hanging="360"/>
      </w:pPr>
    </w:lvl>
    <w:lvl w:ilvl="1" w:tplc="7C7ABD78">
      <w:numFmt w:val="decimal"/>
      <w:lvlText w:val=""/>
      <w:lvlJc w:val="left"/>
    </w:lvl>
    <w:lvl w:ilvl="2" w:tplc="55F4F92E">
      <w:numFmt w:val="decimal"/>
      <w:lvlText w:val=""/>
      <w:lvlJc w:val="left"/>
    </w:lvl>
    <w:lvl w:ilvl="3" w:tplc="1646D31E">
      <w:numFmt w:val="decimal"/>
      <w:lvlText w:val=""/>
      <w:lvlJc w:val="left"/>
    </w:lvl>
    <w:lvl w:ilvl="4" w:tplc="CF3CC43C">
      <w:numFmt w:val="decimal"/>
      <w:lvlText w:val=""/>
      <w:lvlJc w:val="left"/>
    </w:lvl>
    <w:lvl w:ilvl="5" w:tplc="B1548C4C">
      <w:numFmt w:val="decimal"/>
      <w:lvlText w:val=""/>
      <w:lvlJc w:val="left"/>
    </w:lvl>
    <w:lvl w:ilvl="6" w:tplc="C492CDD4">
      <w:numFmt w:val="decimal"/>
      <w:lvlText w:val=""/>
      <w:lvlJc w:val="left"/>
    </w:lvl>
    <w:lvl w:ilvl="7" w:tplc="B56A353A">
      <w:numFmt w:val="decimal"/>
      <w:lvlText w:val=""/>
      <w:lvlJc w:val="left"/>
    </w:lvl>
    <w:lvl w:ilvl="8" w:tplc="662879F8">
      <w:numFmt w:val="decimal"/>
      <w:lvlText w:val=""/>
      <w:lvlJc w:val="left"/>
    </w:lvl>
  </w:abstractNum>
  <w:abstractNum w:abstractNumId="2"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A6A322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0527E7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19978AC"/>
    <w:multiLevelType w:val="hybridMultilevel"/>
    <w:tmpl w:val="6A2A5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1B06F8E"/>
    <w:multiLevelType w:val="hybridMultilevel"/>
    <w:tmpl w:val="C3BEC4DE"/>
    <w:lvl w:ilvl="0" w:tplc="2BEEB0F0">
      <w:start w:val="9"/>
      <w:numFmt w:val="lowerRoman"/>
      <w:lvlText w:val="%1."/>
      <w:lvlJc w:val="right"/>
      <w:pPr>
        <w:tabs>
          <w:tab w:val="num" w:pos="720"/>
        </w:tabs>
        <w:ind w:left="720" w:hanging="360"/>
      </w:pPr>
    </w:lvl>
    <w:lvl w:ilvl="1" w:tplc="6BF049E8" w:tentative="1">
      <w:start w:val="1"/>
      <w:numFmt w:val="lowerRoman"/>
      <w:lvlText w:val="%2."/>
      <w:lvlJc w:val="right"/>
      <w:pPr>
        <w:tabs>
          <w:tab w:val="num" w:pos="1440"/>
        </w:tabs>
        <w:ind w:left="1440" w:hanging="360"/>
      </w:pPr>
    </w:lvl>
    <w:lvl w:ilvl="2" w:tplc="A644F32C" w:tentative="1">
      <w:start w:val="1"/>
      <w:numFmt w:val="lowerRoman"/>
      <w:lvlText w:val="%3."/>
      <w:lvlJc w:val="right"/>
      <w:pPr>
        <w:tabs>
          <w:tab w:val="num" w:pos="2160"/>
        </w:tabs>
        <w:ind w:left="2160" w:hanging="360"/>
      </w:pPr>
    </w:lvl>
    <w:lvl w:ilvl="3" w:tplc="8C76120A" w:tentative="1">
      <w:start w:val="1"/>
      <w:numFmt w:val="lowerRoman"/>
      <w:lvlText w:val="%4."/>
      <w:lvlJc w:val="right"/>
      <w:pPr>
        <w:tabs>
          <w:tab w:val="num" w:pos="2880"/>
        </w:tabs>
        <w:ind w:left="2880" w:hanging="360"/>
      </w:pPr>
    </w:lvl>
    <w:lvl w:ilvl="4" w:tplc="890C059E" w:tentative="1">
      <w:start w:val="1"/>
      <w:numFmt w:val="lowerRoman"/>
      <w:lvlText w:val="%5."/>
      <w:lvlJc w:val="right"/>
      <w:pPr>
        <w:tabs>
          <w:tab w:val="num" w:pos="3600"/>
        </w:tabs>
        <w:ind w:left="3600" w:hanging="360"/>
      </w:pPr>
    </w:lvl>
    <w:lvl w:ilvl="5" w:tplc="E27C6FF8" w:tentative="1">
      <w:start w:val="1"/>
      <w:numFmt w:val="lowerRoman"/>
      <w:lvlText w:val="%6."/>
      <w:lvlJc w:val="right"/>
      <w:pPr>
        <w:tabs>
          <w:tab w:val="num" w:pos="4320"/>
        </w:tabs>
        <w:ind w:left="4320" w:hanging="360"/>
      </w:pPr>
    </w:lvl>
    <w:lvl w:ilvl="6" w:tplc="0BECB8E2" w:tentative="1">
      <w:start w:val="1"/>
      <w:numFmt w:val="lowerRoman"/>
      <w:lvlText w:val="%7."/>
      <w:lvlJc w:val="right"/>
      <w:pPr>
        <w:tabs>
          <w:tab w:val="num" w:pos="5040"/>
        </w:tabs>
        <w:ind w:left="5040" w:hanging="360"/>
      </w:pPr>
    </w:lvl>
    <w:lvl w:ilvl="7" w:tplc="2F9246EC" w:tentative="1">
      <w:start w:val="1"/>
      <w:numFmt w:val="lowerRoman"/>
      <w:lvlText w:val="%8."/>
      <w:lvlJc w:val="right"/>
      <w:pPr>
        <w:tabs>
          <w:tab w:val="num" w:pos="5760"/>
        </w:tabs>
        <w:ind w:left="5760" w:hanging="360"/>
      </w:pPr>
    </w:lvl>
    <w:lvl w:ilvl="8" w:tplc="3822C8F2" w:tentative="1">
      <w:start w:val="1"/>
      <w:numFmt w:val="lowerRoman"/>
      <w:lvlText w:val="%9."/>
      <w:lvlJc w:val="right"/>
      <w:pPr>
        <w:tabs>
          <w:tab w:val="num" w:pos="6480"/>
        </w:tabs>
        <w:ind w:left="6480" w:hanging="360"/>
      </w:pPr>
    </w:lvl>
  </w:abstractNum>
  <w:abstractNum w:abstractNumId="7" w15:restartNumberingAfterBreak="0">
    <w:nsid w:val="02DB2827"/>
    <w:multiLevelType w:val="hybridMultilevel"/>
    <w:tmpl w:val="E0023528"/>
    <w:lvl w:ilvl="0" w:tplc="7812DFE2">
      <w:start w:val="1"/>
      <w:numFmt w:val="upperLetter"/>
      <w:pStyle w:val="AlphabeticList"/>
      <w:lvlText w:val="%1"/>
      <w:lvlJc w:val="left"/>
      <w:pPr>
        <w:ind w:left="340" w:hanging="340"/>
      </w:pPr>
      <w:rPr>
        <w:rFonts w:hint="default"/>
      </w:rPr>
    </w:lvl>
    <w:lvl w:ilvl="1" w:tplc="735AE792">
      <w:start w:val="1"/>
      <w:numFmt w:val="lowerLetter"/>
      <w:pStyle w:val="AlphabeticList2"/>
      <w:lvlText w:val="%2"/>
      <w:lvlJc w:val="left"/>
      <w:pPr>
        <w:ind w:left="680" w:hanging="340"/>
      </w:pPr>
      <w:rPr>
        <w:rFonts w:hint="default"/>
      </w:rPr>
    </w:lvl>
    <w:lvl w:ilvl="2" w:tplc="5AB07ABA">
      <w:start w:val="1"/>
      <w:numFmt w:val="lowerRoman"/>
      <w:lvlText w:val="%3."/>
      <w:lvlJc w:val="left"/>
      <w:pPr>
        <w:ind w:left="1020" w:hanging="340"/>
      </w:pPr>
      <w:rPr>
        <w:rFonts w:hint="default"/>
      </w:rPr>
    </w:lvl>
    <w:lvl w:ilvl="3" w:tplc="9ADC5602">
      <w:start w:val="1"/>
      <w:numFmt w:val="decimal"/>
      <w:lvlText w:val="(%4)"/>
      <w:lvlJc w:val="left"/>
      <w:pPr>
        <w:ind w:left="1360" w:hanging="340"/>
      </w:pPr>
      <w:rPr>
        <w:rFonts w:hint="default"/>
      </w:rPr>
    </w:lvl>
    <w:lvl w:ilvl="4" w:tplc="FE5A86CE">
      <w:start w:val="1"/>
      <w:numFmt w:val="lowerLetter"/>
      <w:lvlText w:val="(%5)"/>
      <w:lvlJc w:val="left"/>
      <w:pPr>
        <w:ind w:left="1700" w:hanging="340"/>
      </w:pPr>
      <w:rPr>
        <w:rFonts w:hint="default"/>
      </w:rPr>
    </w:lvl>
    <w:lvl w:ilvl="5" w:tplc="15CECF6A">
      <w:start w:val="1"/>
      <w:numFmt w:val="lowerRoman"/>
      <w:lvlText w:val="(%6)"/>
      <w:lvlJc w:val="left"/>
      <w:pPr>
        <w:ind w:left="2040" w:hanging="340"/>
      </w:pPr>
      <w:rPr>
        <w:rFonts w:hint="default"/>
      </w:rPr>
    </w:lvl>
    <w:lvl w:ilvl="6" w:tplc="91387D3C">
      <w:start w:val="1"/>
      <w:numFmt w:val="decimal"/>
      <w:lvlText w:val="%7."/>
      <w:lvlJc w:val="left"/>
      <w:pPr>
        <w:ind w:left="2380" w:hanging="340"/>
      </w:pPr>
      <w:rPr>
        <w:rFonts w:hint="default"/>
      </w:rPr>
    </w:lvl>
    <w:lvl w:ilvl="7" w:tplc="EC42340A">
      <w:start w:val="1"/>
      <w:numFmt w:val="lowerLetter"/>
      <w:lvlText w:val="%8."/>
      <w:lvlJc w:val="left"/>
      <w:pPr>
        <w:ind w:left="2720" w:hanging="340"/>
      </w:pPr>
      <w:rPr>
        <w:rFonts w:hint="default"/>
      </w:rPr>
    </w:lvl>
    <w:lvl w:ilvl="8" w:tplc="DA127A2E">
      <w:start w:val="1"/>
      <w:numFmt w:val="lowerRoman"/>
      <w:lvlText w:val="%9."/>
      <w:lvlJc w:val="left"/>
      <w:pPr>
        <w:ind w:left="3060" w:hanging="340"/>
      </w:pPr>
      <w:rPr>
        <w:rFonts w:hint="default"/>
      </w:rPr>
    </w:lvl>
  </w:abstractNum>
  <w:abstractNum w:abstractNumId="8" w15:restartNumberingAfterBreak="0">
    <w:nsid w:val="032F4967"/>
    <w:multiLevelType w:val="hybridMultilevel"/>
    <w:tmpl w:val="D070E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33A7D3F"/>
    <w:multiLevelType w:val="hybridMultilevel"/>
    <w:tmpl w:val="71346CE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4D50D8A"/>
    <w:multiLevelType w:val="hybridMultilevel"/>
    <w:tmpl w:val="274258F0"/>
    <w:lvl w:ilvl="0" w:tplc="4B56A71C">
      <w:start w:val="1"/>
      <w:numFmt w:val="decimal"/>
      <w:lvlText w:val="%1"/>
      <w:lvlJc w:val="left"/>
      <w:pPr>
        <w:ind w:left="720" w:hanging="360"/>
      </w:pPr>
    </w:lvl>
    <w:lvl w:ilvl="1" w:tplc="8F74CB42">
      <w:start w:val="1"/>
      <w:numFmt w:val="lowerLetter"/>
      <w:lvlText w:val="%2."/>
      <w:lvlJc w:val="left"/>
      <w:pPr>
        <w:ind w:left="1440" w:hanging="360"/>
      </w:pPr>
    </w:lvl>
    <w:lvl w:ilvl="2" w:tplc="53FC83CA">
      <w:start w:val="1"/>
      <w:numFmt w:val="lowerRoman"/>
      <w:lvlText w:val="%3."/>
      <w:lvlJc w:val="right"/>
      <w:pPr>
        <w:ind w:left="2160" w:hanging="180"/>
      </w:pPr>
    </w:lvl>
    <w:lvl w:ilvl="3" w:tplc="57782740">
      <w:start w:val="1"/>
      <w:numFmt w:val="decimal"/>
      <w:lvlText w:val="%4."/>
      <w:lvlJc w:val="left"/>
      <w:pPr>
        <w:ind w:left="2880" w:hanging="360"/>
      </w:pPr>
    </w:lvl>
    <w:lvl w:ilvl="4" w:tplc="2B2696E4">
      <w:start w:val="1"/>
      <w:numFmt w:val="lowerLetter"/>
      <w:lvlText w:val="%5."/>
      <w:lvlJc w:val="left"/>
      <w:pPr>
        <w:ind w:left="3600" w:hanging="360"/>
      </w:pPr>
    </w:lvl>
    <w:lvl w:ilvl="5" w:tplc="3B800502">
      <w:start w:val="1"/>
      <w:numFmt w:val="lowerRoman"/>
      <w:lvlText w:val="%6."/>
      <w:lvlJc w:val="right"/>
      <w:pPr>
        <w:ind w:left="4320" w:hanging="180"/>
      </w:pPr>
    </w:lvl>
    <w:lvl w:ilvl="6" w:tplc="6B7281C0">
      <w:start w:val="1"/>
      <w:numFmt w:val="decimal"/>
      <w:lvlText w:val="%7."/>
      <w:lvlJc w:val="left"/>
      <w:pPr>
        <w:ind w:left="5040" w:hanging="360"/>
      </w:pPr>
    </w:lvl>
    <w:lvl w:ilvl="7" w:tplc="196A69F4">
      <w:start w:val="1"/>
      <w:numFmt w:val="lowerLetter"/>
      <w:lvlText w:val="%8."/>
      <w:lvlJc w:val="left"/>
      <w:pPr>
        <w:ind w:left="5760" w:hanging="360"/>
      </w:pPr>
    </w:lvl>
    <w:lvl w:ilvl="8" w:tplc="2F424A52">
      <w:start w:val="1"/>
      <w:numFmt w:val="lowerRoman"/>
      <w:lvlText w:val="%9."/>
      <w:lvlJc w:val="right"/>
      <w:pPr>
        <w:ind w:left="6480" w:hanging="180"/>
      </w:pPr>
    </w:lvl>
  </w:abstractNum>
  <w:abstractNum w:abstractNumId="11" w15:restartNumberingAfterBreak="0">
    <w:nsid w:val="054C5575"/>
    <w:multiLevelType w:val="hybridMultilevel"/>
    <w:tmpl w:val="85546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6868F0"/>
    <w:multiLevelType w:val="hybridMultilevel"/>
    <w:tmpl w:val="0D4C9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BA4F6C"/>
    <w:multiLevelType w:val="hybridMultilevel"/>
    <w:tmpl w:val="5C94F40A"/>
    <w:lvl w:ilvl="0" w:tplc="DB364D40">
      <w:start w:val="1"/>
      <w:numFmt w:val="decimal"/>
      <w:lvlText w:val="%1"/>
      <w:lvlJc w:val="left"/>
      <w:pPr>
        <w:ind w:left="720" w:hanging="360"/>
      </w:pPr>
    </w:lvl>
    <w:lvl w:ilvl="1" w:tplc="E5E64B5A">
      <w:start w:val="1"/>
      <w:numFmt w:val="lowerLetter"/>
      <w:lvlText w:val="%2."/>
      <w:lvlJc w:val="left"/>
      <w:pPr>
        <w:ind w:left="1440" w:hanging="360"/>
      </w:pPr>
    </w:lvl>
    <w:lvl w:ilvl="2" w:tplc="32E6EADE">
      <w:start w:val="1"/>
      <w:numFmt w:val="lowerRoman"/>
      <w:lvlText w:val="%3."/>
      <w:lvlJc w:val="right"/>
      <w:pPr>
        <w:ind w:left="2160" w:hanging="180"/>
      </w:pPr>
    </w:lvl>
    <w:lvl w:ilvl="3" w:tplc="ECE0F602">
      <w:start w:val="1"/>
      <w:numFmt w:val="decimal"/>
      <w:lvlText w:val="%4."/>
      <w:lvlJc w:val="left"/>
      <w:pPr>
        <w:ind w:left="2880" w:hanging="360"/>
      </w:pPr>
    </w:lvl>
    <w:lvl w:ilvl="4" w:tplc="44B40BC6">
      <w:start w:val="1"/>
      <w:numFmt w:val="lowerLetter"/>
      <w:lvlText w:val="%5."/>
      <w:lvlJc w:val="left"/>
      <w:pPr>
        <w:ind w:left="3600" w:hanging="360"/>
      </w:pPr>
    </w:lvl>
    <w:lvl w:ilvl="5" w:tplc="FA90ED78">
      <w:start w:val="1"/>
      <w:numFmt w:val="lowerRoman"/>
      <w:lvlText w:val="%6."/>
      <w:lvlJc w:val="right"/>
      <w:pPr>
        <w:ind w:left="4320" w:hanging="180"/>
      </w:pPr>
    </w:lvl>
    <w:lvl w:ilvl="6" w:tplc="9FFAE278">
      <w:start w:val="1"/>
      <w:numFmt w:val="decimal"/>
      <w:lvlText w:val="%7."/>
      <w:lvlJc w:val="left"/>
      <w:pPr>
        <w:ind w:left="5040" w:hanging="360"/>
      </w:pPr>
    </w:lvl>
    <w:lvl w:ilvl="7" w:tplc="C43E1CC8">
      <w:start w:val="1"/>
      <w:numFmt w:val="lowerLetter"/>
      <w:lvlText w:val="%8."/>
      <w:lvlJc w:val="left"/>
      <w:pPr>
        <w:ind w:left="5760" w:hanging="360"/>
      </w:pPr>
    </w:lvl>
    <w:lvl w:ilvl="8" w:tplc="972E31F6">
      <w:start w:val="1"/>
      <w:numFmt w:val="lowerRoman"/>
      <w:lvlText w:val="%9."/>
      <w:lvlJc w:val="right"/>
      <w:pPr>
        <w:ind w:left="6480" w:hanging="180"/>
      </w:pPr>
    </w:lvl>
  </w:abstractNum>
  <w:abstractNum w:abstractNumId="14" w15:restartNumberingAfterBreak="0">
    <w:nsid w:val="076D13D9"/>
    <w:multiLevelType w:val="hybridMultilevel"/>
    <w:tmpl w:val="34A2AB38"/>
    <w:lvl w:ilvl="0" w:tplc="FABC9AA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81A7017"/>
    <w:multiLevelType w:val="hybridMultilevel"/>
    <w:tmpl w:val="D4B003FE"/>
    <w:lvl w:ilvl="0" w:tplc="920E97CA">
      <w:start w:val="5"/>
      <w:numFmt w:val="lowerRoman"/>
      <w:lvlText w:val="%1."/>
      <w:lvlJc w:val="right"/>
      <w:pPr>
        <w:tabs>
          <w:tab w:val="num" w:pos="720"/>
        </w:tabs>
        <w:ind w:left="720" w:hanging="360"/>
      </w:pPr>
    </w:lvl>
    <w:lvl w:ilvl="1" w:tplc="C63EE750" w:tentative="1">
      <w:start w:val="1"/>
      <w:numFmt w:val="lowerRoman"/>
      <w:lvlText w:val="%2."/>
      <w:lvlJc w:val="right"/>
      <w:pPr>
        <w:tabs>
          <w:tab w:val="num" w:pos="1440"/>
        </w:tabs>
        <w:ind w:left="1440" w:hanging="360"/>
      </w:pPr>
    </w:lvl>
    <w:lvl w:ilvl="2" w:tplc="93E8CDD0" w:tentative="1">
      <w:start w:val="1"/>
      <w:numFmt w:val="lowerRoman"/>
      <w:lvlText w:val="%3."/>
      <w:lvlJc w:val="right"/>
      <w:pPr>
        <w:tabs>
          <w:tab w:val="num" w:pos="2160"/>
        </w:tabs>
        <w:ind w:left="2160" w:hanging="360"/>
      </w:pPr>
    </w:lvl>
    <w:lvl w:ilvl="3" w:tplc="49C81582" w:tentative="1">
      <w:start w:val="1"/>
      <w:numFmt w:val="lowerRoman"/>
      <w:lvlText w:val="%4."/>
      <w:lvlJc w:val="right"/>
      <w:pPr>
        <w:tabs>
          <w:tab w:val="num" w:pos="2880"/>
        </w:tabs>
        <w:ind w:left="2880" w:hanging="360"/>
      </w:pPr>
    </w:lvl>
    <w:lvl w:ilvl="4" w:tplc="756C4016" w:tentative="1">
      <w:start w:val="1"/>
      <w:numFmt w:val="lowerRoman"/>
      <w:lvlText w:val="%5."/>
      <w:lvlJc w:val="right"/>
      <w:pPr>
        <w:tabs>
          <w:tab w:val="num" w:pos="3600"/>
        </w:tabs>
        <w:ind w:left="3600" w:hanging="360"/>
      </w:pPr>
    </w:lvl>
    <w:lvl w:ilvl="5" w:tplc="127C6DB6" w:tentative="1">
      <w:start w:val="1"/>
      <w:numFmt w:val="lowerRoman"/>
      <w:lvlText w:val="%6."/>
      <w:lvlJc w:val="right"/>
      <w:pPr>
        <w:tabs>
          <w:tab w:val="num" w:pos="4320"/>
        </w:tabs>
        <w:ind w:left="4320" w:hanging="360"/>
      </w:pPr>
    </w:lvl>
    <w:lvl w:ilvl="6" w:tplc="5D980F9E" w:tentative="1">
      <w:start w:val="1"/>
      <w:numFmt w:val="lowerRoman"/>
      <w:lvlText w:val="%7."/>
      <w:lvlJc w:val="right"/>
      <w:pPr>
        <w:tabs>
          <w:tab w:val="num" w:pos="5040"/>
        </w:tabs>
        <w:ind w:left="5040" w:hanging="360"/>
      </w:pPr>
    </w:lvl>
    <w:lvl w:ilvl="7" w:tplc="7A6E3EDE" w:tentative="1">
      <w:start w:val="1"/>
      <w:numFmt w:val="lowerRoman"/>
      <w:lvlText w:val="%8."/>
      <w:lvlJc w:val="right"/>
      <w:pPr>
        <w:tabs>
          <w:tab w:val="num" w:pos="5760"/>
        </w:tabs>
        <w:ind w:left="5760" w:hanging="360"/>
      </w:pPr>
    </w:lvl>
    <w:lvl w:ilvl="8" w:tplc="18BAF48A" w:tentative="1">
      <w:start w:val="1"/>
      <w:numFmt w:val="lowerRoman"/>
      <w:lvlText w:val="%9."/>
      <w:lvlJc w:val="right"/>
      <w:pPr>
        <w:tabs>
          <w:tab w:val="num" w:pos="6480"/>
        </w:tabs>
        <w:ind w:left="6480" w:hanging="360"/>
      </w:pPr>
    </w:lvl>
  </w:abstractNum>
  <w:abstractNum w:abstractNumId="16" w15:restartNumberingAfterBreak="0">
    <w:nsid w:val="086821B8"/>
    <w:multiLevelType w:val="multilevel"/>
    <w:tmpl w:val="942A8DE0"/>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08DA4069"/>
    <w:multiLevelType w:val="hybridMultilevel"/>
    <w:tmpl w:val="7EA02A5E"/>
    <w:lvl w:ilvl="0" w:tplc="9E6E8616">
      <w:start w:val="1"/>
      <w:numFmt w:val="lowerRoman"/>
      <w:lvlText w:val="%1."/>
      <w:lvlJc w:val="right"/>
      <w:pPr>
        <w:tabs>
          <w:tab w:val="num" w:pos="720"/>
        </w:tabs>
        <w:ind w:left="720" w:hanging="360"/>
      </w:pPr>
    </w:lvl>
    <w:lvl w:ilvl="1" w:tplc="9952528A" w:tentative="1">
      <w:start w:val="1"/>
      <w:numFmt w:val="lowerRoman"/>
      <w:lvlText w:val="%2."/>
      <w:lvlJc w:val="right"/>
      <w:pPr>
        <w:tabs>
          <w:tab w:val="num" w:pos="1440"/>
        </w:tabs>
        <w:ind w:left="1440" w:hanging="360"/>
      </w:pPr>
    </w:lvl>
    <w:lvl w:ilvl="2" w:tplc="08003264" w:tentative="1">
      <w:start w:val="1"/>
      <w:numFmt w:val="lowerRoman"/>
      <w:lvlText w:val="%3."/>
      <w:lvlJc w:val="right"/>
      <w:pPr>
        <w:tabs>
          <w:tab w:val="num" w:pos="2160"/>
        </w:tabs>
        <w:ind w:left="2160" w:hanging="360"/>
      </w:pPr>
    </w:lvl>
    <w:lvl w:ilvl="3" w:tplc="8A16117C" w:tentative="1">
      <w:start w:val="1"/>
      <w:numFmt w:val="lowerRoman"/>
      <w:lvlText w:val="%4."/>
      <w:lvlJc w:val="right"/>
      <w:pPr>
        <w:tabs>
          <w:tab w:val="num" w:pos="2880"/>
        </w:tabs>
        <w:ind w:left="2880" w:hanging="360"/>
      </w:pPr>
    </w:lvl>
    <w:lvl w:ilvl="4" w:tplc="0FF6BB74" w:tentative="1">
      <w:start w:val="1"/>
      <w:numFmt w:val="lowerRoman"/>
      <w:lvlText w:val="%5."/>
      <w:lvlJc w:val="right"/>
      <w:pPr>
        <w:tabs>
          <w:tab w:val="num" w:pos="3600"/>
        </w:tabs>
        <w:ind w:left="3600" w:hanging="360"/>
      </w:pPr>
    </w:lvl>
    <w:lvl w:ilvl="5" w:tplc="E43A33AE" w:tentative="1">
      <w:start w:val="1"/>
      <w:numFmt w:val="lowerRoman"/>
      <w:lvlText w:val="%6."/>
      <w:lvlJc w:val="right"/>
      <w:pPr>
        <w:tabs>
          <w:tab w:val="num" w:pos="4320"/>
        </w:tabs>
        <w:ind w:left="4320" w:hanging="360"/>
      </w:pPr>
    </w:lvl>
    <w:lvl w:ilvl="6" w:tplc="F52EA65A" w:tentative="1">
      <w:start w:val="1"/>
      <w:numFmt w:val="lowerRoman"/>
      <w:lvlText w:val="%7."/>
      <w:lvlJc w:val="right"/>
      <w:pPr>
        <w:tabs>
          <w:tab w:val="num" w:pos="5040"/>
        </w:tabs>
        <w:ind w:left="5040" w:hanging="360"/>
      </w:pPr>
    </w:lvl>
    <w:lvl w:ilvl="7" w:tplc="75BE58FE" w:tentative="1">
      <w:start w:val="1"/>
      <w:numFmt w:val="lowerRoman"/>
      <w:lvlText w:val="%8."/>
      <w:lvlJc w:val="right"/>
      <w:pPr>
        <w:tabs>
          <w:tab w:val="num" w:pos="5760"/>
        </w:tabs>
        <w:ind w:left="5760" w:hanging="360"/>
      </w:pPr>
    </w:lvl>
    <w:lvl w:ilvl="8" w:tplc="796A4578" w:tentative="1">
      <w:start w:val="1"/>
      <w:numFmt w:val="lowerRoman"/>
      <w:lvlText w:val="%9."/>
      <w:lvlJc w:val="right"/>
      <w:pPr>
        <w:tabs>
          <w:tab w:val="num" w:pos="6480"/>
        </w:tabs>
        <w:ind w:left="6480" w:hanging="360"/>
      </w:pPr>
    </w:lvl>
  </w:abstractNum>
  <w:abstractNum w:abstractNumId="18" w15:restartNumberingAfterBreak="0">
    <w:nsid w:val="09B22172"/>
    <w:multiLevelType w:val="hybridMultilevel"/>
    <w:tmpl w:val="8FD0A54E"/>
    <w:lvl w:ilvl="0" w:tplc="79F4E778">
      <w:start w:val="1"/>
      <w:numFmt w:val="none"/>
      <w:lvlRestart w:val="0"/>
      <w:lvlText w:val="4."/>
      <w:lvlJc w:val="right"/>
      <w:pPr>
        <w:tabs>
          <w:tab w:val="num" w:pos="964"/>
        </w:tabs>
        <w:ind w:left="964" w:hanging="108"/>
      </w:pPr>
      <w:rPr>
        <w:i w:val="0"/>
      </w:rPr>
    </w:lvl>
    <w:lvl w:ilvl="1" w:tplc="9FF03E20">
      <w:numFmt w:val="decimal"/>
      <w:lvlText w:val=""/>
      <w:lvlJc w:val="left"/>
    </w:lvl>
    <w:lvl w:ilvl="2" w:tplc="E6F631A0">
      <w:numFmt w:val="decimal"/>
      <w:lvlText w:val=""/>
      <w:lvlJc w:val="left"/>
    </w:lvl>
    <w:lvl w:ilvl="3" w:tplc="2C2E4FAE">
      <w:numFmt w:val="decimal"/>
      <w:lvlText w:val=""/>
      <w:lvlJc w:val="left"/>
    </w:lvl>
    <w:lvl w:ilvl="4" w:tplc="3DA68BFA">
      <w:numFmt w:val="decimal"/>
      <w:lvlText w:val=""/>
      <w:lvlJc w:val="left"/>
    </w:lvl>
    <w:lvl w:ilvl="5" w:tplc="70501A58">
      <w:numFmt w:val="decimal"/>
      <w:lvlText w:val=""/>
      <w:lvlJc w:val="left"/>
    </w:lvl>
    <w:lvl w:ilvl="6" w:tplc="EBE67336">
      <w:numFmt w:val="decimal"/>
      <w:lvlText w:val=""/>
      <w:lvlJc w:val="left"/>
    </w:lvl>
    <w:lvl w:ilvl="7" w:tplc="4CB2BF1A">
      <w:numFmt w:val="decimal"/>
      <w:lvlText w:val=""/>
      <w:lvlJc w:val="left"/>
    </w:lvl>
    <w:lvl w:ilvl="8" w:tplc="C448AED2">
      <w:numFmt w:val="decimal"/>
      <w:lvlText w:val=""/>
      <w:lvlJc w:val="left"/>
    </w:lvl>
  </w:abstractNum>
  <w:abstractNum w:abstractNumId="19" w15:restartNumberingAfterBreak="0">
    <w:nsid w:val="0B405794"/>
    <w:multiLevelType w:val="hybridMultilevel"/>
    <w:tmpl w:val="21E21EFA"/>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20" w15:restartNumberingAfterBreak="0">
    <w:nsid w:val="0BBD7E58"/>
    <w:multiLevelType w:val="multilevel"/>
    <w:tmpl w:val="D4A07A58"/>
    <w:lvl w:ilvl="0">
      <w:start w:val="1"/>
      <w:numFmt w:val="decimal"/>
      <w:pStyle w:val="Heading1"/>
      <w:lvlText w:val="%1"/>
      <w:lvlJc w:val="left"/>
      <w:pPr>
        <w:ind w:left="432" w:hanging="432"/>
      </w:pPr>
    </w:lvl>
    <w:lvl w:ilvl="1">
      <w:start w:val="1"/>
      <w:numFmt w:val="decimal"/>
      <w:lvlText w:val="%1.%2"/>
      <w:lvlJc w:val="left"/>
      <w:pPr>
        <w:ind w:left="576" w:hanging="576"/>
      </w:pPr>
      <w:rPr>
        <w:color w:val="62B5E5" w:themeColor="accent3"/>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0BE805CD"/>
    <w:multiLevelType w:val="multilevel"/>
    <w:tmpl w:val="BE0A3C7C"/>
    <w:lvl w:ilvl="0">
      <w:start w:val="1"/>
      <w:numFmt w:val="upperLetter"/>
      <w:pStyle w:val="Appendixhead1"/>
      <w:suff w:val="nothing"/>
      <w:lvlText w:val="Appendix %1"/>
      <w:lvlJc w:val="left"/>
      <w:pPr>
        <w:ind w:left="0" w:firstLine="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suff w:val="nothing"/>
      <w:lvlText w:val="Table %1.%7"/>
      <w:lvlJc w:val="left"/>
      <w:pPr>
        <w:ind w:left="0" w:firstLine="0"/>
      </w:pPr>
      <w:rPr>
        <w:rFonts w:hint="default"/>
      </w:rPr>
    </w:lvl>
    <w:lvl w:ilvl="7">
      <w:start w:val="1"/>
      <w:numFmt w:val="decimal"/>
      <w:lvlRestart w:val="1"/>
      <w:suff w:val="nothing"/>
      <w:lvlText w:val="Chart %1.%8"/>
      <w:lvlJc w:val="left"/>
      <w:pPr>
        <w:ind w:left="0" w:firstLine="0"/>
      </w:pPr>
      <w:rPr>
        <w:rFonts w:hint="default"/>
      </w:rPr>
    </w:lvl>
    <w:lvl w:ilvl="8">
      <w:start w:val="1"/>
      <w:numFmt w:val="decimal"/>
      <w:lvlRestart w:val="1"/>
      <w:suff w:val="nothing"/>
      <w:lvlText w:val="Figure %1.%9"/>
      <w:lvlJc w:val="left"/>
      <w:pPr>
        <w:ind w:left="0" w:firstLine="0"/>
      </w:pPr>
      <w:rPr>
        <w:rFonts w:hint="default"/>
      </w:rPr>
    </w:lvl>
  </w:abstractNum>
  <w:abstractNum w:abstractNumId="22" w15:restartNumberingAfterBreak="0">
    <w:nsid w:val="0C8A4BF3"/>
    <w:multiLevelType w:val="hybridMultilevel"/>
    <w:tmpl w:val="F3F6D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ECB4124"/>
    <w:multiLevelType w:val="hybridMultilevel"/>
    <w:tmpl w:val="6B1225F2"/>
    <w:lvl w:ilvl="0" w:tplc="E11C79E8">
      <w:start w:val="6"/>
      <w:numFmt w:val="lowerRoman"/>
      <w:lvlText w:val="%1."/>
      <w:lvlJc w:val="right"/>
      <w:pPr>
        <w:tabs>
          <w:tab w:val="num" w:pos="720"/>
        </w:tabs>
        <w:ind w:left="720" w:hanging="360"/>
      </w:pPr>
    </w:lvl>
    <w:lvl w:ilvl="1" w:tplc="4BE648AA" w:tentative="1">
      <w:start w:val="1"/>
      <w:numFmt w:val="lowerRoman"/>
      <w:lvlText w:val="%2."/>
      <w:lvlJc w:val="right"/>
      <w:pPr>
        <w:tabs>
          <w:tab w:val="num" w:pos="1440"/>
        </w:tabs>
        <w:ind w:left="1440" w:hanging="360"/>
      </w:pPr>
    </w:lvl>
    <w:lvl w:ilvl="2" w:tplc="15BC1A58" w:tentative="1">
      <w:start w:val="1"/>
      <w:numFmt w:val="lowerRoman"/>
      <w:lvlText w:val="%3."/>
      <w:lvlJc w:val="right"/>
      <w:pPr>
        <w:tabs>
          <w:tab w:val="num" w:pos="2160"/>
        </w:tabs>
        <w:ind w:left="2160" w:hanging="360"/>
      </w:pPr>
    </w:lvl>
    <w:lvl w:ilvl="3" w:tplc="FBA4671A" w:tentative="1">
      <w:start w:val="1"/>
      <w:numFmt w:val="lowerRoman"/>
      <w:lvlText w:val="%4."/>
      <w:lvlJc w:val="right"/>
      <w:pPr>
        <w:tabs>
          <w:tab w:val="num" w:pos="2880"/>
        </w:tabs>
        <w:ind w:left="2880" w:hanging="360"/>
      </w:pPr>
    </w:lvl>
    <w:lvl w:ilvl="4" w:tplc="BA1C3C4C" w:tentative="1">
      <w:start w:val="1"/>
      <w:numFmt w:val="lowerRoman"/>
      <w:lvlText w:val="%5."/>
      <w:lvlJc w:val="right"/>
      <w:pPr>
        <w:tabs>
          <w:tab w:val="num" w:pos="3600"/>
        </w:tabs>
        <w:ind w:left="3600" w:hanging="360"/>
      </w:pPr>
    </w:lvl>
    <w:lvl w:ilvl="5" w:tplc="B6E88D5C" w:tentative="1">
      <w:start w:val="1"/>
      <w:numFmt w:val="lowerRoman"/>
      <w:lvlText w:val="%6."/>
      <w:lvlJc w:val="right"/>
      <w:pPr>
        <w:tabs>
          <w:tab w:val="num" w:pos="4320"/>
        </w:tabs>
        <w:ind w:left="4320" w:hanging="360"/>
      </w:pPr>
    </w:lvl>
    <w:lvl w:ilvl="6" w:tplc="82522CF4" w:tentative="1">
      <w:start w:val="1"/>
      <w:numFmt w:val="lowerRoman"/>
      <w:lvlText w:val="%7."/>
      <w:lvlJc w:val="right"/>
      <w:pPr>
        <w:tabs>
          <w:tab w:val="num" w:pos="5040"/>
        </w:tabs>
        <w:ind w:left="5040" w:hanging="360"/>
      </w:pPr>
    </w:lvl>
    <w:lvl w:ilvl="7" w:tplc="D7A8E27E" w:tentative="1">
      <w:start w:val="1"/>
      <w:numFmt w:val="lowerRoman"/>
      <w:lvlText w:val="%8."/>
      <w:lvlJc w:val="right"/>
      <w:pPr>
        <w:tabs>
          <w:tab w:val="num" w:pos="5760"/>
        </w:tabs>
        <w:ind w:left="5760" w:hanging="360"/>
      </w:pPr>
    </w:lvl>
    <w:lvl w:ilvl="8" w:tplc="ADD2D8FE" w:tentative="1">
      <w:start w:val="1"/>
      <w:numFmt w:val="lowerRoman"/>
      <w:lvlText w:val="%9."/>
      <w:lvlJc w:val="right"/>
      <w:pPr>
        <w:tabs>
          <w:tab w:val="num" w:pos="6480"/>
        </w:tabs>
        <w:ind w:left="6480" w:hanging="360"/>
      </w:pPr>
    </w:lvl>
  </w:abstractNum>
  <w:abstractNum w:abstractNumId="24" w15:restartNumberingAfterBreak="0">
    <w:nsid w:val="0F747E2C"/>
    <w:multiLevelType w:val="hybridMultilevel"/>
    <w:tmpl w:val="70F84D42"/>
    <w:lvl w:ilvl="0" w:tplc="7E947BBE">
      <w:start w:val="1"/>
      <w:numFmt w:val="decimal"/>
      <w:lvlText w:val="%1."/>
      <w:lvlJc w:val="left"/>
      <w:pPr>
        <w:tabs>
          <w:tab w:val="num" w:pos="720"/>
        </w:tabs>
        <w:ind w:left="720" w:hanging="720"/>
      </w:pPr>
    </w:lvl>
    <w:lvl w:ilvl="1" w:tplc="B3C40634">
      <w:start w:val="1"/>
      <w:numFmt w:val="decimal"/>
      <w:lvlText w:val="%2."/>
      <w:lvlJc w:val="left"/>
      <w:pPr>
        <w:tabs>
          <w:tab w:val="num" w:pos="1440"/>
        </w:tabs>
        <w:ind w:left="1440" w:hanging="720"/>
      </w:pPr>
    </w:lvl>
    <w:lvl w:ilvl="2" w:tplc="38322C0C">
      <w:start w:val="1"/>
      <w:numFmt w:val="decimal"/>
      <w:lvlText w:val="%3."/>
      <w:lvlJc w:val="left"/>
      <w:pPr>
        <w:tabs>
          <w:tab w:val="num" w:pos="2160"/>
        </w:tabs>
        <w:ind w:left="2160" w:hanging="720"/>
      </w:pPr>
    </w:lvl>
    <w:lvl w:ilvl="3" w:tplc="32461BEA">
      <w:start w:val="1"/>
      <w:numFmt w:val="decimal"/>
      <w:lvlText w:val="%4."/>
      <w:lvlJc w:val="left"/>
      <w:pPr>
        <w:tabs>
          <w:tab w:val="num" w:pos="2880"/>
        </w:tabs>
        <w:ind w:left="2880" w:hanging="720"/>
      </w:pPr>
    </w:lvl>
    <w:lvl w:ilvl="4" w:tplc="5238993A">
      <w:start w:val="1"/>
      <w:numFmt w:val="decimal"/>
      <w:lvlText w:val="%5."/>
      <w:lvlJc w:val="left"/>
      <w:pPr>
        <w:tabs>
          <w:tab w:val="num" w:pos="3600"/>
        </w:tabs>
        <w:ind w:left="3600" w:hanging="720"/>
      </w:pPr>
    </w:lvl>
    <w:lvl w:ilvl="5" w:tplc="B5224988">
      <w:start w:val="1"/>
      <w:numFmt w:val="decimal"/>
      <w:lvlText w:val="%6."/>
      <w:lvlJc w:val="left"/>
      <w:pPr>
        <w:tabs>
          <w:tab w:val="num" w:pos="4320"/>
        </w:tabs>
        <w:ind w:left="4320" w:hanging="720"/>
      </w:pPr>
    </w:lvl>
    <w:lvl w:ilvl="6" w:tplc="65585E0A">
      <w:start w:val="1"/>
      <w:numFmt w:val="decimal"/>
      <w:lvlText w:val="%7."/>
      <w:lvlJc w:val="left"/>
      <w:pPr>
        <w:tabs>
          <w:tab w:val="num" w:pos="5040"/>
        </w:tabs>
        <w:ind w:left="5040" w:hanging="720"/>
      </w:pPr>
    </w:lvl>
    <w:lvl w:ilvl="7" w:tplc="36CC82D0">
      <w:start w:val="1"/>
      <w:numFmt w:val="decimal"/>
      <w:lvlText w:val="%8."/>
      <w:lvlJc w:val="left"/>
      <w:pPr>
        <w:tabs>
          <w:tab w:val="num" w:pos="5760"/>
        </w:tabs>
        <w:ind w:left="5760" w:hanging="720"/>
      </w:pPr>
    </w:lvl>
    <w:lvl w:ilvl="8" w:tplc="F3580E9E">
      <w:start w:val="1"/>
      <w:numFmt w:val="decimal"/>
      <w:lvlText w:val="%9."/>
      <w:lvlJc w:val="left"/>
      <w:pPr>
        <w:tabs>
          <w:tab w:val="num" w:pos="6480"/>
        </w:tabs>
        <w:ind w:left="6480" w:hanging="720"/>
      </w:pPr>
    </w:lvl>
  </w:abstractNum>
  <w:abstractNum w:abstractNumId="25" w15:restartNumberingAfterBreak="0">
    <w:nsid w:val="0FC767EE"/>
    <w:multiLevelType w:val="hybridMultilevel"/>
    <w:tmpl w:val="9578B17A"/>
    <w:lvl w:ilvl="0" w:tplc="0C090001">
      <w:start w:val="10"/>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22A77E8"/>
    <w:multiLevelType w:val="hybridMultilevel"/>
    <w:tmpl w:val="8A42AF4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4B23825"/>
    <w:multiLevelType w:val="hybridMultilevel"/>
    <w:tmpl w:val="2580F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50B7783"/>
    <w:multiLevelType w:val="hybridMultilevel"/>
    <w:tmpl w:val="4D808F64"/>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29" w15:restartNumberingAfterBreak="0">
    <w:nsid w:val="1544742E"/>
    <w:multiLevelType w:val="hybridMultilevel"/>
    <w:tmpl w:val="D7961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5633716"/>
    <w:multiLevelType w:val="hybridMultilevel"/>
    <w:tmpl w:val="2F24E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579747A"/>
    <w:multiLevelType w:val="hybridMultilevel"/>
    <w:tmpl w:val="8BF83372"/>
    <w:lvl w:ilvl="0" w:tplc="7A3CE3F2">
      <w:start w:val="1"/>
      <w:numFmt w:val="none"/>
      <w:pStyle w:val="ExecutiveHeading"/>
      <w:suff w:val="nothing"/>
      <w:lvlText w:val=""/>
      <w:lvlJc w:val="left"/>
      <w:pPr>
        <w:ind w:left="0" w:firstLine="0"/>
      </w:pPr>
      <w:rPr>
        <w:rFonts w:hint="default"/>
      </w:rPr>
    </w:lvl>
    <w:lvl w:ilvl="1" w:tplc="58DEA250">
      <w:start w:val="1"/>
      <w:numFmt w:val="lowerRoman"/>
      <w:lvlRestart w:val="0"/>
      <w:pStyle w:val="ExecTableCaption"/>
      <w:suff w:val="nothing"/>
      <w:lvlText w:val="Table %2"/>
      <w:lvlJc w:val="left"/>
      <w:pPr>
        <w:ind w:left="0" w:firstLine="0"/>
      </w:pPr>
      <w:rPr>
        <w:rFonts w:hint="default"/>
      </w:rPr>
    </w:lvl>
    <w:lvl w:ilvl="2" w:tplc="513E2502">
      <w:start w:val="1"/>
      <w:numFmt w:val="lowerRoman"/>
      <w:lvlRestart w:val="0"/>
      <w:pStyle w:val="ExecChartCaption"/>
      <w:suff w:val="nothing"/>
      <w:lvlText w:val="Chart %3"/>
      <w:lvlJc w:val="left"/>
      <w:pPr>
        <w:ind w:left="0" w:firstLine="0"/>
      </w:pPr>
      <w:rPr>
        <w:rFonts w:hint="default"/>
      </w:rPr>
    </w:lvl>
    <w:lvl w:ilvl="3" w:tplc="00C62E0A">
      <w:start w:val="1"/>
      <w:numFmt w:val="lowerRoman"/>
      <w:lvlRestart w:val="0"/>
      <w:pStyle w:val="ExecFigureCaption"/>
      <w:suff w:val="nothing"/>
      <w:lvlText w:val="Figure %4"/>
      <w:lvlJc w:val="left"/>
      <w:pPr>
        <w:ind w:left="0" w:firstLine="0"/>
      </w:pPr>
      <w:rPr>
        <w:rFonts w:hint="default"/>
      </w:rPr>
    </w:lvl>
    <w:lvl w:ilvl="4" w:tplc="A964E57A">
      <w:start w:val="1"/>
      <w:numFmt w:val="none"/>
      <w:lvlText w:val=""/>
      <w:lvlJc w:val="left"/>
      <w:pPr>
        <w:ind w:left="0" w:firstLine="0"/>
      </w:pPr>
      <w:rPr>
        <w:rFonts w:hint="default"/>
      </w:rPr>
    </w:lvl>
    <w:lvl w:ilvl="5" w:tplc="FAD8C6CA">
      <w:start w:val="1"/>
      <w:numFmt w:val="none"/>
      <w:lvlText w:val=""/>
      <w:lvlJc w:val="left"/>
      <w:pPr>
        <w:ind w:left="0" w:firstLine="0"/>
      </w:pPr>
      <w:rPr>
        <w:rFonts w:hint="default"/>
      </w:rPr>
    </w:lvl>
    <w:lvl w:ilvl="6" w:tplc="B1941AF6">
      <w:start w:val="1"/>
      <w:numFmt w:val="none"/>
      <w:lvlText w:val="%7"/>
      <w:lvlJc w:val="left"/>
      <w:pPr>
        <w:ind w:left="0" w:firstLine="0"/>
      </w:pPr>
      <w:rPr>
        <w:rFonts w:hint="default"/>
      </w:rPr>
    </w:lvl>
    <w:lvl w:ilvl="7" w:tplc="D1847220">
      <w:start w:val="1"/>
      <w:numFmt w:val="none"/>
      <w:lvlText w:val="%8"/>
      <w:lvlJc w:val="left"/>
      <w:pPr>
        <w:ind w:left="0" w:firstLine="0"/>
      </w:pPr>
      <w:rPr>
        <w:rFonts w:hint="default"/>
      </w:rPr>
    </w:lvl>
    <w:lvl w:ilvl="8" w:tplc="A42E0D8C">
      <w:start w:val="1"/>
      <w:numFmt w:val="none"/>
      <w:lvlText w:val="%9"/>
      <w:lvlJc w:val="left"/>
      <w:pPr>
        <w:ind w:left="0" w:firstLine="0"/>
      </w:pPr>
      <w:rPr>
        <w:rFonts w:hint="default"/>
      </w:rPr>
    </w:lvl>
  </w:abstractNum>
  <w:abstractNum w:abstractNumId="32" w15:restartNumberingAfterBreak="0">
    <w:nsid w:val="16696638"/>
    <w:multiLevelType w:val="hybridMultilevel"/>
    <w:tmpl w:val="69E0238A"/>
    <w:lvl w:ilvl="0" w:tplc="0C090001">
      <w:start w:val="1"/>
      <w:numFmt w:val="bullet"/>
      <w:lvlText w:val=""/>
      <w:lvlJc w:val="left"/>
      <w:pPr>
        <w:ind w:left="720" w:hanging="360"/>
      </w:pPr>
      <w:rPr>
        <w:rFonts w:ascii="Symbol" w:hAnsi="Symbol" w:hint="default"/>
      </w:rPr>
    </w:lvl>
    <w:lvl w:ilvl="1" w:tplc="0AC6B528">
      <w:start w:val="4"/>
      <w:numFmt w:val="bullet"/>
      <w:lvlText w:val="-"/>
      <w:lvlJc w:val="left"/>
      <w:pPr>
        <w:ind w:left="1440" w:hanging="360"/>
      </w:pPr>
      <w:rPr>
        <w:rFonts w:ascii="Segoe UI Light" w:eastAsiaTheme="minorHAnsi" w:hAnsi="Segoe UI Light" w:cs="Segoe UI Light"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6E62CBE"/>
    <w:multiLevelType w:val="hybridMultilevel"/>
    <w:tmpl w:val="6E0E765C"/>
    <w:lvl w:ilvl="0" w:tplc="CFD264E6">
      <w:start w:val="1"/>
      <w:numFmt w:val="decimal"/>
      <w:lvlText w:val="%1."/>
      <w:lvlJc w:val="left"/>
      <w:pPr>
        <w:tabs>
          <w:tab w:val="num" w:pos="720"/>
        </w:tabs>
        <w:ind w:left="720" w:hanging="720"/>
      </w:pPr>
    </w:lvl>
    <w:lvl w:ilvl="1" w:tplc="576410F0">
      <w:start w:val="1"/>
      <w:numFmt w:val="decimal"/>
      <w:lvlText w:val="%2."/>
      <w:lvlJc w:val="left"/>
      <w:pPr>
        <w:tabs>
          <w:tab w:val="num" w:pos="1440"/>
        </w:tabs>
        <w:ind w:left="1440" w:hanging="720"/>
      </w:pPr>
    </w:lvl>
    <w:lvl w:ilvl="2" w:tplc="4BA8FA4C">
      <w:start w:val="1"/>
      <w:numFmt w:val="decimal"/>
      <w:lvlText w:val="%3."/>
      <w:lvlJc w:val="left"/>
      <w:pPr>
        <w:tabs>
          <w:tab w:val="num" w:pos="2160"/>
        </w:tabs>
        <w:ind w:left="2160" w:hanging="720"/>
      </w:pPr>
    </w:lvl>
    <w:lvl w:ilvl="3" w:tplc="FF08975E">
      <w:start w:val="1"/>
      <w:numFmt w:val="decimal"/>
      <w:lvlText w:val="%4."/>
      <w:lvlJc w:val="left"/>
      <w:pPr>
        <w:tabs>
          <w:tab w:val="num" w:pos="2880"/>
        </w:tabs>
        <w:ind w:left="2880" w:hanging="720"/>
      </w:pPr>
    </w:lvl>
    <w:lvl w:ilvl="4" w:tplc="6B1A3690">
      <w:start w:val="1"/>
      <w:numFmt w:val="decimal"/>
      <w:lvlText w:val="%5."/>
      <w:lvlJc w:val="left"/>
      <w:pPr>
        <w:tabs>
          <w:tab w:val="num" w:pos="3600"/>
        </w:tabs>
        <w:ind w:left="3600" w:hanging="720"/>
      </w:pPr>
    </w:lvl>
    <w:lvl w:ilvl="5" w:tplc="8E44396E">
      <w:start w:val="1"/>
      <w:numFmt w:val="decimal"/>
      <w:lvlText w:val="%6."/>
      <w:lvlJc w:val="left"/>
      <w:pPr>
        <w:tabs>
          <w:tab w:val="num" w:pos="4320"/>
        </w:tabs>
        <w:ind w:left="4320" w:hanging="720"/>
      </w:pPr>
    </w:lvl>
    <w:lvl w:ilvl="6" w:tplc="B7BE72F2">
      <w:start w:val="1"/>
      <w:numFmt w:val="decimal"/>
      <w:lvlText w:val="%7."/>
      <w:lvlJc w:val="left"/>
      <w:pPr>
        <w:tabs>
          <w:tab w:val="num" w:pos="5040"/>
        </w:tabs>
        <w:ind w:left="5040" w:hanging="720"/>
      </w:pPr>
    </w:lvl>
    <w:lvl w:ilvl="7" w:tplc="13AAA368">
      <w:start w:val="1"/>
      <w:numFmt w:val="decimal"/>
      <w:lvlText w:val="%8."/>
      <w:lvlJc w:val="left"/>
      <w:pPr>
        <w:tabs>
          <w:tab w:val="num" w:pos="5760"/>
        </w:tabs>
        <w:ind w:left="5760" w:hanging="720"/>
      </w:pPr>
    </w:lvl>
    <w:lvl w:ilvl="8" w:tplc="61A2FF98">
      <w:start w:val="1"/>
      <w:numFmt w:val="decimal"/>
      <w:lvlText w:val="%9."/>
      <w:lvlJc w:val="left"/>
      <w:pPr>
        <w:tabs>
          <w:tab w:val="num" w:pos="6480"/>
        </w:tabs>
        <w:ind w:left="6480" w:hanging="720"/>
      </w:pPr>
    </w:lvl>
  </w:abstractNum>
  <w:abstractNum w:abstractNumId="34" w15:restartNumberingAfterBreak="0">
    <w:nsid w:val="177C1359"/>
    <w:multiLevelType w:val="hybridMultilevel"/>
    <w:tmpl w:val="E0ACC4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7914685"/>
    <w:multiLevelType w:val="hybridMultilevel"/>
    <w:tmpl w:val="98187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795580E"/>
    <w:multiLevelType w:val="hybridMultilevel"/>
    <w:tmpl w:val="D95AE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7C04AAC"/>
    <w:multiLevelType w:val="hybridMultilevel"/>
    <w:tmpl w:val="C870F5A8"/>
    <w:lvl w:ilvl="0" w:tplc="03F8BEB4">
      <w:start w:val="3"/>
      <w:numFmt w:val="lowerRoman"/>
      <w:lvlText w:val="%1."/>
      <w:lvlJc w:val="right"/>
      <w:pPr>
        <w:tabs>
          <w:tab w:val="num" w:pos="720"/>
        </w:tabs>
        <w:ind w:left="720" w:hanging="360"/>
      </w:pPr>
    </w:lvl>
    <w:lvl w:ilvl="1" w:tplc="AC245CE2" w:tentative="1">
      <w:start w:val="1"/>
      <w:numFmt w:val="lowerRoman"/>
      <w:lvlText w:val="%2."/>
      <w:lvlJc w:val="right"/>
      <w:pPr>
        <w:tabs>
          <w:tab w:val="num" w:pos="1440"/>
        </w:tabs>
        <w:ind w:left="1440" w:hanging="360"/>
      </w:pPr>
    </w:lvl>
    <w:lvl w:ilvl="2" w:tplc="D2303CA6" w:tentative="1">
      <w:start w:val="1"/>
      <w:numFmt w:val="lowerRoman"/>
      <w:lvlText w:val="%3."/>
      <w:lvlJc w:val="right"/>
      <w:pPr>
        <w:tabs>
          <w:tab w:val="num" w:pos="2160"/>
        </w:tabs>
        <w:ind w:left="2160" w:hanging="360"/>
      </w:pPr>
    </w:lvl>
    <w:lvl w:ilvl="3" w:tplc="0038E6BC" w:tentative="1">
      <w:start w:val="1"/>
      <w:numFmt w:val="lowerRoman"/>
      <w:lvlText w:val="%4."/>
      <w:lvlJc w:val="right"/>
      <w:pPr>
        <w:tabs>
          <w:tab w:val="num" w:pos="2880"/>
        </w:tabs>
        <w:ind w:left="2880" w:hanging="360"/>
      </w:pPr>
    </w:lvl>
    <w:lvl w:ilvl="4" w:tplc="7688CBE6" w:tentative="1">
      <w:start w:val="1"/>
      <w:numFmt w:val="lowerRoman"/>
      <w:lvlText w:val="%5."/>
      <w:lvlJc w:val="right"/>
      <w:pPr>
        <w:tabs>
          <w:tab w:val="num" w:pos="3600"/>
        </w:tabs>
        <w:ind w:left="3600" w:hanging="360"/>
      </w:pPr>
    </w:lvl>
    <w:lvl w:ilvl="5" w:tplc="C1FC6DE2" w:tentative="1">
      <w:start w:val="1"/>
      <w:numFmt w:val="lowerRoman"/>
      <w:lvlText w:val="%6."/>
      <w:lvlJc w:val="right"/>
      <w:pPr>
        <w:tabs>
          <w:tab w:val="num" w:pos="4320"/>
        </w:tabs>
        <w:ind w:left="4320" w:hanging="360"/>
      </w:pPr>
    </w:lvl>
    <w:lvl w:ilvl="6" w:tplc="D012F482" w:tentative="1">
      <w:start w:val="1"/>
      <w:numFmt w:val="lowerRoman"/>
      <w:lvlText w:val="%7."/>
      <w:lvlJc w:val="right"/>
      <w:pPr>
        <w:tabs>
          <w:tab w:val="num" w:pos="5040"/>
        </w:tabs>
        <w:ind w:left="5040" w:hanging="360"/>
      </w:pPr>
    </w:lvl>
    <w:lvl w:ilvl="7" w:tplc="CEDC61DC" w:tentative="1">
      <w:start w:val="1"/>
      <w:numFmt w:val="lowerRoman"/>
      <w:lvlText w:val="%8."/>
      <w:lvlJc w:val="right"/>
      <w:pPr>
        <w:tabs>
          <w:tab w:val="num" w:pos="5760"/>
        </w:tabs>
        <w:ind w:left="5760" w:hanging="360"/>
      </w:pPr>
    </w:lvl>
    <w:lvl w:ilvl="8" w:tplc="94C8522A" w:tentative="1">
      <w:start w:val="1"/>
      <w:numFmt w:val="lowerRoman"/>
      <w:lvlText w:val="%9."/>
      <w:lvlJc w:val="right"/>
      <w:pPr>
        <w:tabs>
          <w:tab w:val="num" w:pos="6480"/>
        </w:tabs>
        <w:ind w:left="6480" w:hanging="360"/>
      </w:pPr>
    </w:lvl>
  </w:abstractNum>
  <w:abstractNum w:abstractNumId="38" w15:restartNumberingAfterBreak="0">
    <w:nsid w:val="17D03FA7"/>
    <w:multiLevelType w:val="hybridMultilevel"/>
    <w:tmpl w:val="553408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18E0104F"/>
    <w:multiLevelType w:val="hybridMultilevel"/>
    <w:tmpl w:val="57629E32"/>
    <w:lvl w:ilvl="0" w:tplc="1A1E4EC8">
      <w:start w:val="1"/>
      <w:numFmt w:val="bullet"/>
      <w:pStyle w:val="ListBullet3"/>
      <w:lvlText w:val=""/>
      <w:lvlJc w:val="left"/>
      <w:pPr>
        <w:ind w:left="1021" w:hanging="341"/>
      </w:pPr>
      <w:rPr>
        <w:rFonts w:ascii="Symbol" w:hAnsi="Symbol" w:hint="default"/>
      </w:rPr>
    </w:lvl>
    <w:lvl w:ilvl="1" w:tplc="AAE0D534">
      <w:start w:val="1"/>
      <w:numFmt w:val="bullet"/>
      <w:lvlText w:val="–"/>
      <w:lvlJc w:val="left"/>
      <w:pPr>
        <w:ind w:left="1361" w:hanging="341"/>
      </w:pPr>
      <w:rPr>
        <w:rFonts w:ascii="Verdana" w:hAnsi="Verdana" w:hint="default"/>
      </w:rPr>
    </w:lvl>
    <w:lvl w:ilvl="2" w:tplc="CDA2389A">
      <w:start w:val="1"/>
      <w:numFmt w:val="bullet"/>
      <w:lvlText w:val=""/>
      <w:lvlJc w:val="left"/>
      <w:pPr>
        <w:ind w:left="1701" w:hanging="341"/>
      </w:pPr>
      <w:rPr>
        <w:rFonts w:ascii="Symbol" w:hAnsi="Symbol" w:hint="default"/>
      </w:rPr>
    </w:lvl>
    <w:lvl w:ilvl="3" w:tplc="D9AAEFEC">
      <w:start w:val="1"/>
      <w:numFmt w:val="bullet"/>
      <w:lvlText w:val="–"/>
      <w:lvlJc w:val="left"/>
      <w:pPr>
        <w:ind w:left="2041" w:hanging="341"/>
      </w:pPr>
      <w:rPr>
        <w:rFonts w:ascii="Verdana" w:hAnsi="Verdana" w:hint="default"/>
      </w:rPr>
    </w:lvl>
    <w:lvl w:ilvl="4" w:tplc="B1268D40">
      <w:start w:val="1"/>
      <w:numFmt w:val="bullet"/>
      <w:lvlText w:val=""/>
      <w:lvlJc w:val="left"/>
      <w:pPr>
        <w:ind w:left="2381" w:hanging="341"/>
      </w:pPr>
      <w:rPr>
        <w:rFonts w:ascii="Symbol" w:hAnsi="Symbol" w:hint="default"/>
      </w:rPr>
    </w:lvl>
    <w:lvl w:ilvl="5" w:tplc="3CB0B54E">
      <w:start w:val="1"/>
      <w:numFmt w:val="bullet"/>
      <w:lvlText w:val="–"/>
      <w:lvlJc w:val="left"/>
      <w:pPr>
        <w:ind w:left="2721" w:hanging="341"/>
      </w:pPr>
      <w:rPr>
        <w:rFonts w:ascii="Verdana" w:hAnsi="Verdana" w:hint="default"/>
      </w:rPr>
    </w:lvl>
    <w:lvl w:ilvl="6" w:tplc="0C7EA826">
      <w:start w:val="1"/>
      <w:numFmt w:val="bullet"/>
      <w:lvlText w:val=""/>
      <w:lvlJc w:val="left"/>
      <w:pPr>
        <w:ind w:left="3061" w:hanging="341"/>
      </w:pPr>
      <w:rPr>
        <w:rFonts w:ascii="Symbol" w:hAnsi="Symbol" w:hint="default"/>
      </w:rPr>
    </w:lvl>
    <w:lvl w:ilvl="7" w:tplc="5498A4D8">
      <w:start w:val="1"/>
      <w:numFmt w:val="bullet"/>
      <w:lvlText w:val="–"/>
      <w:lvlJc w:val="left"/>
      <w:pPr>
        <w:ind w:left="3401" w:hanging="341"/>
      </w:pPr>
      <w:rPr>
        <w:rFonts w:ascii="Verdana" w:hAnsi="Verdana" w:hint="default"/>
      </w:rPr>
    </w:lvl>
    <w:lvl w:ilvl="8" w:tplc="A0520506">
      <w:start w:val="1"/>
      <w:numFmt w:val="bullet"/>
      <w:lvlText w:val=""/>
      <w:lvlJc w:val="left"/>
      <w:pPr>
        <w:ind w:left="3741" w:hanging="341"/>
      </w:pPr>
      <w:rPr>
        <w:rFonts w:ascii="Symbol" w:hAnsi="Symbol" w:hint="default"/>
      </w:rPr>
    </w:lvl>
  </w:abstractNum>
  <w:abstractNum w:abstractNumId="40" w15:restartNumberingAfterBreak="0">
    <w:nsid w:val="194C3728"/>
    <w:multiLevelType w:val="hybridMultilevel"/>
    <w:tmpl w:val="52FAD14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1" w15:restartNumberingAfterBreak="0">
    <w:nsid w:val="1AAF4EAB"/>
    <w:multiLevelType w:val="hybridMultilevel"/>
    <w:tmpl w:val="7FB490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1C4F47C6"/>
    <w:multiLevelType w:val="hybridMultilevel"/>
    <w:tmpl w:val="849CE56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3" w15:restartNumberingAfterBreak="0">
    <w:nsid w:val="1C9D5BC5"/>
    <w:multiLevelType w:val="hybridMultilevel"/>
    <w:tmpl w:val="CE6CA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D2E1474"/>
    <w:multiLevelType w:val="hybridMultilevel"/>
    <w:tmpl w:val="93C6A48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1DEB0620"/>
    <w:multiLevelType w:val="hybridMultilevel"/>
    <w:tmpl w:val="629A3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EB82576"/>
    <w:multiLevelType w:val="hybridMultilevel"/>
    <w:tmpl w:val="AB6E25EE"/>
    <w:lvl w:ilvl="0" w:tplc="6BF070BA">
      <w:start w:val="2"/>
      <w:numFmt w:val="lowerRoman"/>
      <w:lvlText w:val="%1."/>
      <w:lvlJc w:val="right"/>
      <w:pPr>
        <w:tabs>
          <w:tab w:val="num" w:pos="720"/>
        </w:tabs>
        <w:ind w:left="720" w:hanging="360"/>
      </w:pPr>
    </w:lvl>
    <w:lvl w:ilvl="1" w:tplc="F8848EBE" w:tentative="1">
      <w:start w:val="1"/>
      <w:numFmt w:val="lowerRoman"/>
      <w:lvlText w:val="%2."/>
      <w:lvlJc w:val="right"/>
      <w:pPr>
        <w:tabs>
          <w:tab w:val="num" w:pos="1440"/>
        </w:tabs>
        <w:ind w:left="1440" w:hanging="360"/>
      </w:pPr>
    </w:lvl>
    <w:lvl w:ilvl="2" w:tplc="A4A86D26" w:tentative="1">
      <w:start w:val="1"/>
      <w:numFmt w:val="lowerRoman"/>
      <w:lvlText w:val="%3."/>
      <w:lvlJc w:val="right"/>
      <w:pPr>
        <w:tabs>
          <w:tab w:val="num" w:pos="2160"/>
        </w:tabs>
        <w:ind w:left="2160" w:hanging="360"/>
      </w:pPr>
    </w:lvl>
    <w:lvl w:ilvl="3" w:tplc="DFD2FB9A" w:tentative="1">
      <w:start w:val="1"/>
      <w:numFmt w:val="lowerRoman"/>
      <w:lvlText w:val="%4."/>
      <w:lvlJc w:val="right"/>
      <w:pPr>
        <w:tabs>
          <w:tab w:val="num" w:pos="2880"/>
        </w:tabs>
        <w:ind w:left="2880" w:hanging="360"/>
      </w:pPr>
    </w:lvl>
    <w:lvl w:ilvl="4" w:tplc="DECA7F16" w:tentative="1">
      <w:start w:val="1"/>
      <w:numFmt w:val="lowerRoman"/>
      <w:lvlText w:val="%5."/>
      <w:lvlJc w:val="right"/>
      <w:pPr>
        <w:tabs>
          <w:tab w:val="num" w:pos="3600"/>
        </w:tabs>
        <w:ind w:left="3600" w:hanging="360"/>
      </w:pPr>
    </w:lvl>
    <w:lvl w:ilvl="5" w:tplc="E7DED5D6" w:tentative="1">
      <w:start w:val="1"/>
      <w:numFmt w:val="lowerRoman"/>
      <w:lvlText w:val="%6."/>
      <w:lvlJc w:val="right"/>
      <w:pPr>
        <w:tabs>
          <w:tab w:val="num" w:pos="4320"/>
        </w:tabs>
        <w:ind w:left="4320" w:hanging="360"/>
      </w:pPr>
    </w:lvl>
    <w:lvl w:ilvl="6" w:tplc="F6468F7A" w:tentative="1">
      <w:start w:val="1"/>
      <w:numFmt w:val="lowerRoman"/>
      <w:lvlText w:val="%7."/>
      <w:lvlJc w:val="right"/>
      <w:pPr>
        <w:tabs>
          <w:tab w:val="num" w:pos="5040"/>
        </w:tabs>
        <w:ind w:left="5040" w:hanging="360"/>
      </w:pPr>
    </w:lvl>
    <w:lvl w:ilvl="7" w:tplc="B98E1046" w:tentative="1">
      <w:start w:val="1"/>
      <w:numFmt w:val="lowerRoman"/>
      <w:lvlText w:val="%8."/>
      <w:lvlJc w:val="right"/>
      <w:pPr>
        <w:tabs>
          <w:tab w:val="num" w:pos="5760"/>
        </w:tabs>
        <w:ind w:left="5760" w:hanging="360"/>
      </w:pPr>
    </w:lvl>
    <w:lvl w:ilvl="8" w:tplc="C804EA92" w:tentative="1">
      <w:start w:val="1"/>
      <w:numFmt w:val="lowerRoman"/>
      <w:lvlText w:val="%9."/>
      <w:lvlJc w:val="right"/>
      <w:pPr>
        <w:tabs>
          <w:tab w:val="num" w:pos="6480"/>
        </w:tabs>
        <w:ind w:left="6480" w:hanging="360"/>
      </w:pPr>
    </w:lvl>
  </w:abstractNum>
  <w:abstractNum w:abstractNumId="47" w15:restartNumberingAfterBreak="0">
    <w:nsid w:val="220A111C"/>
    <w:multiLevelType w:val="hybridMultilevel"/>
    <w:tmpl w:val="41887C4C"/>
    <w:lvl w:ilvl="0" w:tplc="753C19A2">
      <w:start w:val="4"/>
      <w:numFmt w:val="lowerRoman"/>
      <w:lvlText w:val="%1."/>
      <w:lvlJc w:val="right"/>
      <w:pPr>
        <w:tabs>
          <w:tab w:val="num" w:pos="720"/>
        </w:tabs>
        <w:ind w:left="720" w:hanging="360"/>
      </w:pPr>
    </w:lvl>
    <w:lvl w:ilvl="1" w:tplc="AA0E8AEE" w:tentative="1">
      <w:start w:val="1"/>
      <w:numFmt w:val="lowerRoman"/>
      <w:lvlText w:val="%2."/>
      <w:lvlJc w:val="right"/>
      <w:pPr>
        <w:tabs>
          <w:tab w:val="num" w:pos="1440"/>
        </w:tabs>
        <w:ind w:left="1440" w:hanging="360"/>
      </w:pPr>
    </w:lvl>
    <w:lvl w:ilvl="2" w:tplc="669245FC" w:tentative="1">
      <w:start w:val="1"/>
      <w:numFmt w:val="lowerRoman"/>
      <w:lvlText w:val="%3."/>
      <w:lvlJc w:val="right"/>
      <w:pPr>
        <w:tabs>
          <w:tab w:val="num" w:pos="2160"/>
        </w:tabs>
        <w:ind w:left="2160" w:hanging="360"/>
      </w:pPr>
    </w:lvl>
    <w:lvl w:ilvl="3" w:tplc="205AA298" w:tentative="1">
      <w:start w:val="1"/>
      <w:numFmt w:val="lowerRoman"/>
      <w:lvlText w:val="%4."/>
      <w:lvlJc w:val="right"/>
      <w:pPr>
        <w:tabs>
          <w:tab w:val="num" w:pos="2880"/>
        </w:tabs>
        <w:ind w:left="2880" w:hanging="360"/>
      </w:pPr>
    </w:lvl>
    <w:lvl w:ilvl="4" w:tplc="54304A7C" w:tentative="1">
      <w:start w:val="1"/>
      <w:numFmt w:val="lowerRoman"/>
      <w:lvlText w:val="%5."/>
      <w:lvlJc w:val="right"/>
      <w:pPr>
        <w:tabs>
          <w:tab w:val="num" w:pos="3600"/>
        </w:tabs>
        <w:ind w:left="3600" w:hanging="360"/>
      </w:pPr>
    </w:lvl>
    <w:lvl w:ilvl="5" w:tplc="0E7C265A" w:tentative="1">
      <w:start w:val="1"/>
      <w:numFmt w:val="lowerRoman"/>
      <w:lvlText w:val="%6."/>
      <w:lvlJc w:val="right"/>
      <w:pPr>
        <w:tabs>
          <w:tab w:val="num" w:pos="4320"/>
        </w:tabs>
        <w:ind w:left="4320" w:hanging="360"/>
      </w:pPr>
    </w:lvl>
    <w:lvl w:ilvl="6" w:tplc="CDEC6D98" w:tentative="1">
      <w:start w:val="1"/>
      <w:numFmt w:val="lowerRoman"/>
      <w:lvlText w:val="%7."/>
      <w:lvlJc w:val="right"/>
      <w:pPr>
        <w:tabs>
          <w:tab w:val="num" w:pos="5040"/>
        </w:tabs>
        <w:ind w:left="5040" w:hanging="360"/>
      </w:pPr>
    </w:lvl>
    <w:lvl w:ilvl="7" w:tplc="F8EC40DE" w:tentative="1">
      <w:start w:val="1"/>
      <w:numFmt w:val="lowerRoman"/>
      <w:lvlText w:val="%8."/>
      <w:lvlJc w:val="right"/>
      <w:pPr>
        <w:tabs>
          <w:tab w:val="num" w:pos="5760"/>
        </w:tabs>
        <w:ind w:left="5760" w:hanging="360"/>
      </w:pPr>
    </w:lvl>
    <w:lvl w:ilvl="8" w:tplc="0F045FC6" w:tentative="1">
      <w:start w:val="1"/>
      <w:numFmt w:val="lowerRoman"/>
      <w:lvlText w:val="%9."/>
      <w:lvlJc w:val="right"/>
      <w:pPr>
        <w:tabs>
          <w:tab w:val="num" w:pos="6480"/>
        </w:tabs>
        <w:ind w:left="6480" w:hanging="360"/>
      </w:pPr>
    </w:lvl>
  </w:abstractNum>
  <w:abstractNum w:abstractNumId="48" w15:restartNumberingAfterBreak="0">
    <w:nsid w:val="22F13442"/>
    <w:multiLevelType w:val="hybridMultilevel"/>
    <w:tmpl w:val="16F28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3040959"/>
    <w:multiLevelType w:val="hybridMultilevel"/>
    <w:tmpl w:val="9564C52A"/>
    <w:lvl w:ilvl="0" w:tplc="0C09000F">
      <w:start w:val="1"/>
      <w:numFmt w:val="decimal"/>
      <w:lvlText w:val="%1."/>
      <w:lvlJc w:val="left"/>
      <w:pPr>
        <w:ind w:left="720" w:hanging="360"/>
      </w:pPr>
      <w:rPr>
        <w:rFonts w:hint="default"/>
      </w:rPr>
    </w:lvl>
    <w:lvl w:ilvl="1" w:tplc="7BC839EE">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246E513D"/>
    <w:multiLevelType w:val="hybridMultilevel"/>
    <w:tmpl w:val="983A8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4D418FB"/>
    <w:multiLevelType w:val="hybridMultilevel"/>
    <w:tmpl w:val="F868471E"/>
    <w:lvl w:ilvl="0" w:tplc="C76866A2">
      <w:start w:val="1"/>
      <w:numFmt w:val="bullet"/>
      <w:lvlText w:val="•"/>
      <w:lvlJc w:val="left"/>
      <w:pPr>
        <w:tabs>
          <w:tab w:val="num" w:pos="720"/>
        </w:tabs>
        <w:ind w:left="720" w:hanging="360"/>
      </w:pPr>
      <w:rPr>
        <w:rFonts w:ascii="Arial" w:hAnsi="Arial" w:hint="default"/>
      </w:rPr>
    </w:lvl>
    <w:lvl w:ilvl="1" w:tplc="C24ED5FE" w:tentative="1">
      <w:start w:val="1"/>
      <w:numFmt w:val="bullet"/>
      <w:lvlText w:val="•"/>
      <w:lvlJc w:val="left"/>
      <w:pPr>
        <w:tabs>
          <w:tab w:val="num" w:pos="1440"/>
        </w:tabs>
        <w:ind w:left="1440" w:hanging="360"/>
      </w:pPr>
      <w:rPr>
        <w:rFonts w:ascii="Arial" w:hAnsi="Arial" w:hint="default"/>
      </w:rPr>
    </w:lvl>
    <w:lvl w:ilvl="2" w:tplc="1DA2417C" w:tentative="1">
      <w:start w:val="1"/>
      <w:numFmt w:val="bullet"/>
      <w:lvlText w:val="•"/>
      <w:lvlJc w:val="left"/>
      <w:pPr>
        <w:tabs>
          <w:tab w:val="num" w:pos="2160"/>
        </w:tabs>
        <w:ind w:left="2160" w:hanging="360"/>
      </w:pPr>
      <w:rPr>
        <w:rFonts w:ascii="Arial" w:hAnsi="Arial" w:hint="default"/>
      </w:rPr>
    </w:lvl>
    <w:lvl w:ilvl="3" w:tplc="ABDE0D38" w:tentative="1">
      <w:start w:val="1"/>
      <w:numFmt w:val="bullet"/>
      <w:lvlText w:val="•"/>
      <w:lvlJc w:val="left"/>
      <w:pPr>
        <w:tabs>
          <w:tab w:val="num" w:pos="2880"/>
        </w:tabs>
        <w:ind w:left="2880" w:hanging="360"/>
      </w:pPr>
      <w:rPr>
        <w:rFonts w:ascii="Arial" w:hAnsi="Arial" w:hint="default"/>
      </w:rPr>
    </w:lvl>
    <w:lvl w:ilvl="4" w:tplc="63C63B96" w:tentative="1">
      <w:start w:val="1"/>
      <w:numFmt w:val="bullet"/>
      <w:lvlText w:val="•"/>
      <w:lvlJc w:val="left"/>
      <w:pPr>
        <w:tabs>
          <w:tab w:val="num" w:pos="3600"/>
        </w:tabs>
        <w:ind w:left="3600" w:hanging="360"/>
      </w:pPr>
      <w:rPr>
        <w:rFonts w:ascii="Arial" w:hAnsi="Arial" w:hint="default"/>
      </w:rPr>
    </w:lvl>
    <w:lvl w:ilvl="5" w:tplc="67C091B6" w:tentative="1">
      <w:start w:val="1"/>
      <w:numFmt w:val="bullet"/>
      <w:lvlText w:val="•"/>
      <w:lvlJc w:val="left"/>
      <w:pPr>
        <w:tabs>
          <w:tab w:val="num" w:pos="4320"/>
        </w:tabs>
        <w:ind w:left="4320" w:hanging="360"/>
      </w:pPr>
      <w:rPr>
        <w:rFonts w:ascii="Arial" w:hAnsi="Arial" w:hint="default"/>
      </w:rPr>
    </w:lvl>
    <w:lvl w:ilvl="6" w:tplc="747897A6" w:tentative="1">
      <w:start w:val="1"/>
      <w:numFmt w:val="bullet"/>
      <w:lvlText w:val="•"/>
      <w:lvlJc w:val="left"/>
      <w:pPr>
        <w:tabs>
          <w:tab w:val="num" w:pos="5040"/>
        </w:tabs>
        <w:ind w:left="5040" w:hanging="360"/>
      </w:pPr>
      <w:rPr>
        <w:rFonts w:ascii="Arial" w:hAnsi="Arial" w:hint="default"/>
      </w:rPr>
    </w:lvl>
    <w:lvl w:ilvl="7" w:tplc="286E8882" w:tentative="1">
      <w:start w:val="1"/>
      <w:numFmt w:val="bullet"/>
      <w:lvlText w:val="•"/>
      <w:lvlJc w:val="left"/>
      <w:pPr>
        <w:tabs>
          <w:tab w:val="num" w:pos="5760"/>
        </w:tabs>
        <w:ind w:left="5760" w:hanging="360"/>
      </w:pPr>
      <w:rPr>
        <w:rFonts w:ascii="Arial" w:hAnsi="Arial" w:hint="default"/>
      </w:rPr>
    </w:lvl>
    <w:lvl w:ilvl="8" w:tplc="55CA989C"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298A47E9"/>
    <w:multiLevelType w:val="hybridMultilevel"/>
    <w:tmpl w:val="E4181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9A00A24"/>
    <w:multiLevelType w:val="hybridMultilevel"/>
    <w:tmpl w:val="4FD4DD9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2B9F302D"/>
    <w:multiLevelType w:val="hybridMultilevel"/>
    <w:tmpl w:val="58063B50"/>
    <w:lvl w:ilvl="0" w:tplc="9CC012B0">
      <w:start w:val="1"/>
      <w:numFmt w:val="bullet"/>
      <w:pStyle w:val="BulletedText1"/>
      <w:lvlText w:val=""/>
      <w:lvlJc w:val="left"/>
      <w:pPr>
        <w:ind w:left="227" w:hanging="227"/>
      </w:pPr>
      <w:rPr>
        <w:rFonts w:ascii="Wingdings" w:hAnsi="Wingdings" w:hint="default"/>
        <w:color w:val="44546A" w:themeColor="text2"/>
        <w:sz w:val="18"/>
      </w:rPr>
    </w:lvl>
    <w:lvl w:ilvl="1" w:tplc="6C7AE342">
      <w:start w:val="1"/>
      <w:numFmt w:val="bullet"/>
      <w:pStyle w:val="BulletedText2"/>
      <w:lvlText w:val="–"/>
      <w:lvlJc w:val="left"/>
      <w:pPr>
        <w:ind w:left="454" w:hanging="227"/>
      </w:pPr>
      <w:rPr>
        <w:rFonts w:ascii="Verdana" w:hAnsi="Verdana" w:hint="default"/>
      </w:rPr>
    </w:lvl>
    <w:lvl w:ilvl="2" w:tplc="F542B12E">
      <w:start w:val="1"/>
      <w:numFmt w:val="bullet"/>
      <w:lvlText w:val=""/>
      <w:lvlJc w:val="left"/>
      <w:pPr>
        <w:ind w:left="681" w:hanging="227"/>
      </w:pPr>
      <w:rPr>
        <w:rFonts w:ascii="Wingdings" w:hAnsi="Wingdings" w:hint="default"/>
        <w:color w:val="44546A" w:themeColor="text2"/>
      </w:rPr>
    </w:lvl>
    <w:lvl w:ilvl="3" w:tplc="CB6EB048">
      <w:start w:val="1"/>
      <w:numFmt w:val="bullet"/>
      <w:lvlText w:val="–"/>
      <w:lvlJc w:val="left"/>
      <w:pPr>
        <w:ind w:left="908" w:hanging="227"/>
      </w:pPr>
      <w:rPr>
        <w:rFonts w:ascii="Gotham Bold" w:hAnsi="Gotham Bold" w:hint="default"/>
        <w:color w:val="64645A"/>
      </w:rPr>
    </w:lvl>
    <w:lvl w:ilvl="4" w:tplc="6532CD12">
      <w:start w:val="1"/>
      <w:numFmt w:val="bullet"/>
      <w:lvlText w:val=""/>
      <w:lvlJc w:val="left"/>
      <w:pPr>
        <w:ind w:left="1135" w:hanging="227"/>
      </w:pPr>
      <w:rPr>
        <w:rFonts w:ascii="Wingdings" w:hAnsi="Wingdings" w:hint="default"/>
        <w:color w:val="44546A" w:themeColor="text2"/>
      </w:rPr>
    </w:lvl>
    <w:lvl w:ilvl="5" w:tplc="A14C50B6">
      <w:start w:val="1"/>
      <w:numFmt w:val="bullet"/>
      <w:lvlText w:val="–"/>
      <w:lvlJc w:val="left"/>
      <w:pPr>
        <w:ind w:left="1362" w:hanging="227"/>
      </w:pPr>
      <w:rPr>
        <w:rFonts w:ascii="Gotham Bold" w:hAnsi="Gotham Bold" w:hint="default"/>
        <w:color w:val="64645A"/>
      </w:rPr>
    </w:lvl>
    <w:lvl w:ilvl="6" w:tplc="D12033A8">
      <w:start w:val="1"/>
      <w:numFmt w:val="bullet"/>
      <w:lvlText w:val=""/>
      <w:lvlJc w:val="left"/>
      <w:pPr>
        <w:ind w:left="1589" w:hanging="227"/>
      </w:pPr>
      <w:rPr>
        <w:rFonts w:ascii="Wingdings" w:hAnsi="Wingdings" w:hint="default"/>
        <w:color w:val="44546A" w:themeColor="text2"/>
      </w:rPr>
    </w:lvl>
    <w:lvl w:ilvl="7" w:tplc="1310B1BC">
      <w:start w:val="1"/>
      <w:numFmt w:val="bullet"/>
      <w:lvlText w:val="–"/>
      <w:lvlJc w:val="left"/>
      <w:pPr>
        <w:ind w:left="1816" w:hanging="227"/>
      </w:pPr>
      <w:rPr>
        <w:rFonts w:ascii="Gotham Bold" w:hAnsi="Gotham Bold" w:hint="default"/>
        <w:color w:val="64645A"/>
      </w:rPr>
    </w:lvl>
    <w:lvl w:ilvl="8" w:tplc="27D816E8">
      <w:start w:val="1"/>
      <w:numFmt w:val="bullet"/>
      <w:lvlText w:val=""/>
      <w:lvlJc w:val="left"/>
      <w:pPr>
        <w:ind w:left="2043" w:hanging="227"/>
      </w:pPr>
      <w:rPr>
        <w:rFonts w:ascii="Wingdings" w:hAnsi="Wingdings" w:hint="default"/>
        <w:color w:val="44546A" w:themeColor="text2"/>
      </w:rPr>
    </w:lvl>
  </w:abstractNum>
  <w:abstractNum w:abstractNumId="55" w15:restartNumberingAfterBreak="0">
    <w:nsid w:val="2E9F3352"/>
    <w:multiLevelType w:val="hybridMultilevel"/>
    <w:tmpl w:val="FB825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EAD620B"/>
    <w:multiLevelType w:val="hybridMultilevel"/>
    <w:tmpl w:val="0360FBE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2F187902"/>
    <w:multiLevelType w:val="hybridMultilevel"/>
    <w:tmpl w:val="4B323178"/>
    <w:lvl w:ilvl="0" w:tplc="E87EBBE2">
      <w:start w:val="1"/>
      <w:numFmt w:val="bullet"/>
      <w:lvlText w:val="­"/>
      <w:lvlJc w:val="left"/>
      <w:pPr>
        <w:ind w:left="720" w:hanging="360"/>
      </w:pPr>
      <w:rPr>
        <w:rFonts w:ascii="Courier New" w:hAnsi="Courier New"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FCA19E3"/>
    <w:multiLevelType w:val="hybridMultilevel"/>
    <w:tmpl w:val="C0B0C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FD66268"/>
    <w:multiLevelType w:val="hybridMultilevel"/>
    <w:tmpl w:val="0D444660"/>
    <w:lvl w:ilvl="0" w:tplc="658E5E5A">
      <w:start w:val="1"/>
      <w:numFmt w:val="bullet"/>
      <w:lvlText w:val="•"/>
      <w:lvlJc w:val="left"/>
      <w:pPr>
        <w:tabs>
          <w:tab w:val="num" w:pos="720"/>
        </w:tabs>
        <w:ind w:left="720" w:hanging="360"/>
      </w:pPr>
      <w:rPr>
        <w:rFonts w:ascii="Arial" w:hAnsi="Arial" w:hint="default"/>
      </w:rPr>
    </w:lvl>
    <w:lvl w:ilvl="1" w:tplc="305A46EA" w:tentative="1">
      <w:start w:val="1"/>
      <w:numFmt w:val="bullet"/>
      <w:lvlText w:val="•"/>
      <w:lvlJc w:val="left"/>
      <w:pPr>
        <w:tabs>
          <w:tab w:val="num" w:pos="1440"/>
        </w:tabs>
        <w:ind w:left="1440" w:hanging="360"/>
      </w:pPr>
      <w:rPr>
        <w:rFonts w:ascii="Arial" w:hAnsi="Arial" w:hint="default"/>
      </w:rPr>
    </w:lvl>
    <w:lvl w:ilvl="2" w:tplc="F412165A" w:tentative="1">
      <w:start w:val="1"/>
      <w:numFmt w:val="bullet"/>
      <w:lvlText w:val="•"/>
      <w:lvlJc w:val="left"/>
      <w:pPr>
        <w:tabs>
          <w:tab w:val="num" w:pos="2160"/>
        </w:tabs>
        <w:ind w:left="2160" w:hanging="360"/>
      </w:pPr>
      <w:rPr>
        <w:rFonts w:ascii="Arial" w:hAnsi="Arial" w:hint="default"/>
      </w:rPr>
    </w:lvl>
    <w:lvl w:ilvl="3" w:tplc="E7EC0EFA" w:tentative="1">
      <w:start w:val="1"/>
      <w:numFmt w:val="bullet"/>
      <w:lvlText w:val="•"/>
      <w:lvlJc w:val="left"/>
      <w:pPr>
        <w:tabs>
          <w:tab w:val="num" w:pos="2880"/>
        </w:tabs>
        <w:ind w:left="2880" w:hanging="360"/>
      </w:pPr>
      <w:rPr>
        <w:rFonts w:ascii="Arial" w:hAnsi="Arial" w:hint="default"/>
      </w:rPr>
    </w:lvl>
    <w:lvl w:ilvl="4" w:tplc="D5E44432" w:tentative="1">
      <w:start w:val="1"/>
      <w:numFmt w:val="bullet"/>
      <w:lvlText w:val="•"/>
      <w:lvlJc w:val="left"/>
      <w:pPr>
        <w:tabs>
          <w:tab w:val="num" w:pos="3600"/>
        </w:tabs>
        <w:ind w:left="3600" w:hanging="360"/>
      </w:pPr>
      <w:rPr>
        <w:rFonts w:ascii="Arial" w:hAnsi="Arial" w:hint="default"/>
      </w:rPr>
    </w:lvl>
    <w:lvl w:ilvl="5" w:tplc="B25AC282" w:tentative="1">
      <w:start w:val="1"/>
      <w:numFmt w:val="bullet"/>
      <w:lvlText w:val="•"/>
      <w:lvlJc w:val="left"/>
      <w:pPr>
        <w:tabs>
          <w:tab w:val="num" w:pos="4320"/>
        </w:tabs>
        <w:ind w:left="4320" w:hanging="360"/>
      </w:pPr>
      <w:rPr>
        <w:rFonts w:ascii="Arial" w:hAnsi="Arial" w:hint="default"/>
      </w:rPr>
    </w:lvl>
    <w:lvl w:ilvl="6" w:tplc="883E2ECA" w:tentative="1">
      <w:start w:val="1"/>
      <w:numFmt w:val="bullet"/>
      <w:lvlText w:val="•"/>
      <w:lvlJc w:val="left"/>
      <w:pPr>
        <w:tabs>
          <w:tab w:val="num" w:pos="5040"/>
        </w:tabs>
        <w:ind w:left="5040" w:hanging="360"/>
      </w:pPr>
      <w:rPr>
        <w:rFonts w:ascii="Arial" w:hAnsi="Arial" w:hint="default"/>
      </w:rPr>
    </w:lvl>
    <w:lvl w:ilvl="7" w:tplc="7FE6FB9A" w:tentative="1">
      <w:start w:val="1"/>
      <w:numFmt w:val="bullet"/>
      <w:lvlText w:val="•"/>
      <w:lvlJc w:val="left"/>
      <w:pPr>
        <w:tabs>
          <w:tab w:val="num" w:pos="5760"/>
        </w:tabs>
        <w:ind w:left="5760" w:hanging="360"/>
      </w:pPr>
      <w:rPr>
        <w:rFonts w:ascii="Arial" w:hAnsi="Arial" w:hint="default"/>
      </w:rPr>
    </w:lvl>
    <w:lvl w:ilvl="8" w:tplc="0592FDA6"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30DB0453"/>
    <w:multiLevelType w:val="hybridMultilevel"/>
    <w:tmpl w:val="174E7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2AA6E47"/>
    <w:multiLevelType w:val="hybridMultilevel"/>
    <w:tmpl w:val="C3BEEBF4"/>
    <w:lvl w:ilvl="0" w:tplc="0C09000F">
      <w:start w:val="1"/>
      <w:numFmt w:val="decimal"/>
      <w:lvlText w:val="%1."/>
      <w:lvlJc w:val="left"/>
      <w:pPr>
        <w:ind w:left="720" w:hanging="360"/>
      </w:pPr>
    </w:lvl>
    <w:lvl w:ilvl="1" w:tplc="B2F60570">
      <w:start w:val="1"/>
      <w:numFmt w:val="lowerLetter"/>
      <w:lvlText w:val="(%2)"/>
      <w:lvlJc w:val="left"/>
      <w:pPr>
        <w:ind w:left="1980" w:hanging="90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32E70096"/>
    <w:multiLevelType w:val="hybridMultilevel"/>
    <w:tmpl w:val="3B627172"/>
    <w:lvl w:ilvl="0" w:tplc="D64478B4">
      <w:start w:val="5"/>
      <w:numFmt w:val="lowerRoman"/>
      <w:lvlText w:val="%1."/>
      <w:lvlJc w:val="right"/>
      <w:pPr>
        <w:tabs>
          <w:tab w:val="num" w:pos="720"/>
        </w:tabs>
        <w:ind w:left="720" w:hanging="360"/>
      </w:pPr>
    </w:lvl>
    <w:lvl w:ilvl="1" w:tplc="F7C61E92" w:tentative="1">
      <w:start w:val="1"/>
      <w:numFmt w:val="lowerRoman"/>
      <w:lvlText w:val="%2."/>
      <w:lvlJc w:val="right"/>
      <w:pPr>
        <w:tabs>
          <w:tab w:val="num" w:pos="1440"/>
        </w:tabs>
        <w:ind w:left="1440" w:hanging="360"/>
      </w:pPr>
    </w:lvl>
    <w:lvl w:ilvl="2" w:tplc="2728B152" w:tentative="1">
      <w:start w:val="1"/>
      <w:numFmt w:val="lowerRoman"/>
      <w:lvlText w:val="%3."/>
      <w:lvlJc w:val="right"/>
      <w:pPr>
        <w:tabs>
          <w:tab w:val="num" w:pos="2160"/>
        </w:tabs>
        <w:ind w:left="2160" w:hanging="360"/>
      </w:pPr>
    </w:lvl>
    <w:lvl w:ilvl="3" w:tplc="362CAE3E" w:tentative="1">
      <w:start w:val="1"/>
      <w:numFmt w:val="lowerRoman"/>
      <w:lvlText w:val="%4."/>
      <w:lvlJc w:val="right"/>
      <w:pPr>
        <w:tabs>
          <w:tab w:val="num" w:pos="2880"/>
        </w:tabs>
        <w:ind w:left="2880" w:hanging="360"/>
      </w:pPr>
    </w:lvl>
    <w:lvl w:ilvl="4" w:tplc="1F160AE0" w:tentative="1">
      <w:start w:val="1"/>
      <w:numFmt w:val="lowerRoman"/>
      <w:lvlText w:val="%5."/>
      <w:lvlJc w:val="right"/>
      <w:pPr>
        <w:tabs>
          <w:tab w:val="num" w:pos="3600"/>
        </w:tabs>
        <w:ind w:left="3600" w:hanging="360"/>
      </w:pPr>
    </w:lvl>
    <w:lvl w:ilvl="5" w:tplc="7D661DD2" w:tentative="1">
      <w:start w:val="1"/>
      <w:numFmt w:val="lowerRoman"/>
      <w:lvlText w:val="%6."/>
      <w:lvlJc w:val="right"/>
      <w:pPr>
        <w:tabs>
          <w:tab w:val="num" w:pos="4320"/>
        </w:tabs>
        <w:ind w:left="4320" w:hanging="360"/>
      </w:pPr>
    </w:lvl>
    <w:lvl w:ilvl="6" w:tplc="539623AC" w:tentative="1">
      <w:start w:val="1"/>
      <w:numFmt w:val="lowerRoman"/>
      <w:lvlText w:val="%7."/>
      <w:lvlJc w:val="right"/>
      <w:pPr>
        <w:tabs>
          <w:tab w:val="num" w:pos="5040"/>
        </w:tabs>
        <w:ind w:left="5040" w:hanging="360"/>
      </w:pPr>
    </w:lvl>
    <w:lvl w:ilvl="7" w:tplc="EFC02676" w:tentative="1">
      <w:start w:val="1"/>
      <w:numFmt w:val="lowerRoman"/>
      <w:lvlText w:val="%8."/>
      <w:lvlJc w:val="right"/>
      <w:pPr>
        <w:tabs>
          <w:tab w:val="num" w:pos="5760"/>
        </w:tabs>
        <w:ind w:left="5760" w:hanging="360"/>
      </w:pPr>
    </w:lvl>
    <w:lvl w:ilvl="8" w:tplc="D97ADE46" w:tentative="1">
      <w:start w:val="1"/>
      <w:numFmt w:val="lowerRoman"/>
      <w:lvlText w:val="%9."/>
      <w:lvlJc w:val="right"/>
      <w:pPr>
        <w:tabs>
          <w:tab w:val="num" w:pos="6480"/>
        </w:tabs>
        <w:ind w:left="6480" w:hanging="360"/>
      </w:pPr>
    </w:lvl>
  </w:abstractNum>
  <w:abstractNum w:abstractNumId="63" w15:restartNumberingAfterBreak="0">
    <w:nsid w:val="346002E7"/>
    <w:multiLevelType w:val="hybridMultilevel"/>
    <w:tmpl w:val="2D00A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46B1CB9"/>
    <w:multiLevelType w:val="hybridMultilevel"/>
    <w:tmpl w:val="372E3E9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35AB2A5E"/>
    <w:multiLevelType w:val="hybridMultilevel"/>
    <w:tmpl w:val="8AEE2D4E"/>
    <w:lvl w:ilvl="0" w:tplc="0C090001">
      <w:start w:val="10"/>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6E35C6D"/>
    <w:multiLevelType w:val="hybridMultilevel"/>
    <w:tmpl w:val="0FB60B72"/>
    <w:lvl w:ilvl="0" w:tplc="0C090001">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371E48F1"/>
    <w:multiLevelType w:val="hybridMultilevel"/>
    <w:tmpl w:val="FB848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37C7170F"/>
    <w:multiLevelType w:val="hybridMultilevel"/>
    <w:tmpl w:val="8D4AB8E0"/>
    <w:lvl w:ilvl="0" w:tplc="FABC9AA0">
      <w:start w:val="1"/>
      <w:numFmt w:val="bullet"/>
      <w:lvlText w:val=""/>
      <w:lvlJc w:val="left"/>
      <w:pPr>
        <w:ind w:left="720" w:hanging="360"/>
      </w:pPr>
      <w:rPr>
        <w:rFonts w:ascii="Symbol" w:hAnsi="Symbol" w:hint="default"/>
        <w:color w:val="auto"/>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37EE6355"/>
    <w:multiLevelType w:val="hybridMultilevel"/>
    <w:tmpl w:val="5B9CE45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385E2E53"/>
    <w:multiLevelType w:val="hybridMultilevel"/>
    <w:tmpl w:val="9FAE6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93B504E"/>
    <w:multiLevelType w:val="hybridMultilevel"/>
    <w:tmpl w:val="EF60E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A284039"/>
    <w:multiLevelType w:val="hybridMultilevel"/>
    <w:tmpl w:val="372E3E9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3B89484A"/>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3B9A4AFD"/>
    <w:multiLevelType w:val="hybridMultilevel"/>
    <w:tmpl w:val="13C24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C222772"/>
    <w:multiLevelType w:val="hybridMultilevel"/>
    <w:tmpl w:val="D16E05C2"/>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76" w15:restartNumberingAfterBreak="0">
    <w:nsid w:val="3C652CB8"/>
    <w:multiLevelType w:val="hybridMultilevel"/>
    <w:tmpl w:val="834206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3D300DEA"/>
    <w:multiLevelType w:val="hybridMultilevel"/>
    <w:tmpl w:val="FF0291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8" w15:restartNumberingAfterBreak="0">
    <w:nsid w:val="3E627974"/>
    <w:multiLevelType w:val="hybridMultilevel"/>
    <w:tmpl w:val="6DEC9624"/>
    <w:lvl w:ilvl="0" w:tplc="9376B076">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3ED94846"/>
    <w:multiLevelType w:val="hybridMultilevel"/>
    <w:tmpl w:val="E990B9FA"/>
    <w:lvl w:ilvl="0" w:tplc="1228D788">
      <w:start w:val="3"/>
      <w:numFmt w:val="lowerRoman"/>
      <w:lvlText w:val="%1."/>
      <w:lvlJc w:val="right"/>
      <w:pPr>
        <w:tabs>
          <w:tab w:val="num" w:pos="720"/>
        </w:tabs>
        <w:ind w:left="720" w:hanging="360"/>
      </w:pPr>
    </w:lvl>
    <w:lvl w:ilvl="1" w:tplc="F82A20A8" w:tentative="1">
      <w:start w:val="1"/>
      <w:numFmt w:val="lowerRoman"/>
      <w:lvlText w:val="%2."/>
      <w:lvlJc w:val="right"/>
      <w:pPr>
        <w:tabs>
          <w:tab w:val="num" w:pos="1440"/>
        </w:tabs>
        <w:ind w:left="1440" w:hanging="360"/>
      </w:pPr>
    </w:lvl>
    <w:lvl w:ilvl="2" w:tplc="1ED663C6" w:tentative="1">
      <w:start w:val="1"/>
      <w:numFmt w:val="lowerRoman"/>
      <w:lvlText w:val="%3."/>
      <w:lvlJc w:val="right"/>
      <w:pPr>
        <w:tabs>
          <w:tab w:val="num" w:pos="2160"/>
        </w:tabs>
        <w:ind w:left="2160" w:hanging="360"/>
      </w:pPr>
    </w:lvl>
    <w:lvl w:ilvl="3" w:tplc="274C0C2C" w:tentative="1">
      <w:start w:val="1"/>
      <w:numFmt w:val="lowerRoman"/>
      <w:lvlText w:val="%4."/>
      <w:lvlJc w:val="right"/>
      <w:pPr>
        <w:tabs>
          <w:tab w:val="num" w:pos="2880"/>
        </w:tabs>
        <w:ind w:left="2880" w:hanging="360"/>
      </w:pPr>
    </w:lvl>
    <w:lvl w:ilvl="4" w:tplc="6268B5CA" w:tentative="1">
      <w:start w:val="1"/>
      <w:numFmt w:val="lowerRoman"/>
      <w:lvlText w:val="%5."/>
      <w:lvlJc w:val="right"/>
      <w:pPr>
        <w:tabs>
          <w:tab w:val="num" w:pos="3600"/>
        </w:tabs>
        <w:ind w:left="3600" w:hanging="360"/>
      </w:pPr>
    </w:lvl>
    <w:lvl w:ilvl="5" w:tplc="B860E1CC" w:tentative="1">
      <w:start w:val="1"/>
      <w:numFmt w:val="lowerRoman"/>
      <w:lvlText w:val="%6."/>
      <w:lvlJc w:val="right"/>
      <w:pPr>
        <w:tabs>
          <w:tab w:val="num" w:pos="4320"/>
        </w:tabs>
        <w:ind w:left="4320" w:hanging="360"/>
      </w:pPr>
    </w:lvl>
    <w:lvl w:ilvl="6" w:tplc="F79843A8" w:tentative="1">
      <w:start w:val="1"/>
      <w:numFmt w:val="lowerRoman"/>
      <w:lvlText w:val="%7."/>
      <w:lvlJc w:val="right"/>
      <w:pPr>
        <w:tabs>
          <w:tab w:val="num" w:pos="5040"/>
        </w:tabs>
        <w:ind w:left="5040" w:hanging="360"/>
      </w:pPr>
    </w:lvl>
    <w:lvl w:ilvl="7" w:tplc="14C08896" w:tentative="1">
      <w:start w:val="1"/>
      <w:numFmt w:val="lowerRoman"/>
      <w:lvlText w:val="%8."/>
      <w:lvlJc w:val="right"/>
      <w:pPr>
        <w:tabs>
          <w:tab w:val="num" w:pos="5760"/>
        </w:tabs>
        <w:ind w:left="5760" w:hanging="360"/>
      </w:pPr>
    </w:lvl>
    <w:lvl w:ilvl="8" w:tplc="7158D10A" w:tentative="1">
      <w:start w:val="1"/>
      <w:numFmt w:val="lowerRoman"/>
      <w:lvlText w:val="%9."/>
      <w:lvlJc w:val="right"/>
      <w:pPr>
        <w:tabs>
          <w:tab w:val="num" w:pos="6480"/>
        </w:tabs>
        <w:ind w:left="6480" w:hanging="360"/>
      </w:pPr>
    </w:lvl>
  </w:abstractNum>
  <w:abstractNum w:abstractNumId="80" w15:restartNumberingAfterBreak="0">
    <w:nsid w:val="3F380EA9"/>
    <w:multiLevelType w:val="hybridMultilevel"/>
    <w:tmpl w:val="1C984B2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81" w15:restartNumberingAfterBreak="0">
    <w:nsid w:val="3F4041A1"/>
    <w:multiLevelType w:val="hybridMultilevel"/>
    <w:tmpl w:val="ECCC1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402C23F9"/>
    <w:multiLevelType w:val="hybridMultilevel"/>
    <w:tmpl w:val="9490D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040209E"/>
    <w:multiLevelType w:val="hybridMultilevel"/>
    <w:tmpl w:val="210C50A6"/>
    <w:lvl w:ilvl="0" w:tplc="605AE5E4">
      <w:start w:val="4"/>
      <w:numFmt w:val="lowerRoman"/>
      <w:lvlText w:val="%1."/>
      <w:lvlJc w:val="right"/>
      <w:pPr>
        <w:tabs>
          <w:tab w:val="num" w:pos="720"/>
        </w:tabs>
        <w:ind w:left="720" w:hanging="360"/>
      </w:pPr>
    </w:lvl>
    <w:lvl w:ilvl="1" w:tplc="09E0445C" w:tentative="1">
      <w:start w:val="1"/>
      <w:numFmt w:val="lowerRoman"/>
      <w:lvlText w:val="%2."/>
      <w:lvlJc w:val="right"/>
      <w:pPr>
        <w:tabs>
          <w:tab w:val="num" w:pos="1440"/>
        </w:tabs>
        <w:ind w:left="1440" w:hanging="360"/>
      </w:pPr>
    </w:lvl>
    <w:lvl w:ilvl="2" w:tplc="C8A278D6" w:tentative="1">
      <w:start w:val="1"/>
      <w:numFmt w:val="lowerRoman"/>
      <w:lvlText w:val="%3."/>
      <w:lvlJc w:val="right"/>
      <w:pPr>
        <w:tabs>
          <w:tab w:val="num" w:pos="2160"/>
        </w:tabs>
        <w:ind w:left="2160" w:hanging="360"/>
      </w:pPr>
    </w:lvl>
    <w:lvl w:ilvl="3" w:tplc="166EB982" w:tentative="1">
      <w:start w:val="1"/>
      <w:numFmt w:val="lowerRoman"/>
      <w:lvlText w:val="%4."/>
      <w:lvlJc w:val="right"/>
      <w:pPr>
        <w:tabs>
          <w:tab w:val="num" w:pos="2880"/>
        </w:tabs>
        <w:ind w:left="2880" w:hanging="360"/>
      </w:pPr>
    </w:lvl>
    <w:lvl w:ilvl="4" w:tplc="45EAB6CA" w:tentative="1">
      <w:start w:val="1"/>
      <w:numFmt w:val="lowerRoman"/>
      <w:lvlText w:val="%5."/>
      <w:lvlJc w:val="right"/>
      <w:pPr>
        <w:tabs>
          <w:tab w:val="num" w:pos="3600"/>
        </w:tabs>
        <w:ind w:left="3600" w:hanging="360"/>
      </w:pPr>
    </w:lvl>
    <w:lvl w:ilvl="5" w:tplc="EA6E36D6" w:tentative="1">
      <w:start w:val="1"/>
      <w:numFmt w:val="lowerRoman"/>
      <w:lvlText w:val="%6."/>
      <w:lvlJc w:val="right"/>
      <w:pPr>
        <w:tabs>
          <w:tab w:val="num" w:pos="4320"/>
        </w:tabs>
        <w:ind w:left="4320" w:hanging="360"/>
      </w:pPr>
    </w:lvl>
    <w:lvl w:ilvl="6" w:tplc="0CDCA106" w:tentative="1">
      <w:start w:val="1"/>
      <w:numFmt w:val="lowerRoman"/>
      <w:lvlText w:val="%7."/>
      <w:lvlJc w:val="right"/>
      <w:pPr>
        <w:tabs>
          <w:tab w:val="num" w:pos="5040"/>
        </w:tabs>
        <w:ind w:left="5040" w:hanging="360"/>
      </w:pPr>
    </w:lvl>
    <w:lvl w:ilvl="7" w:tplc="E40EA78E" w:tentative="1">
      <w:start w:val="1"/>
      <w:numFmt w:val="lowerRoman"/>
      <w:lvlText w:val="%8."/>
      <w:lvlJc w:val="right"/>
      <w:pPr>
        <w:tabs>
          <w:tab w:val="num" w:pos="5760"/>
        </w:tabs>
        <w:ind w:left="5760" w:hanging="360"/>
      </w:pPr>
    </w:lvl>
    <w:lvl w:ilvl="8" w:tplc="92DA630A" w:tentative="1">
      <w:start w:val="1"/>
      <w:numFmt w:val="lowerRoman"/>
      <w:lvlText w:val="%9."/>
      <w:lvlJc w:val="right"/>
      <w:pPr>
        <w:tabs>
          <w:tab w:val="num" w:pos="6480"/>
        </w:tabs>
        <w:ind w:left="6480" w:hanging="360"/>
      </w:pPr>
    </w:lvl>
  </w:abstractNum>
  <w:abstractNum w:abstractNumId="84" w15:restartNumberingAfterBreak="0">
    <w:nsid w:val="405F4842"/>
    <w:multiLevelType w:val="hybridMultilevel"/>
    <w:tmpl w:val="281C291A"/>
    <w:lvl w:ilvl="0" w:tplc="1BC0E6C4">
      <w:start w:val="1"/>
      <w:numFmt w:val="decimal"/>
      <w:pStyle w:val="ListNumber"/>
      <w:lvlText w:val="%1."/>
      <w:lvlJc w:val="left"/>
      <w:pPr>
        <w:ind w:left="680" w:hanging="340"/>
      </w:pPr>
      <w:rPr>
        <w:rFonts w:hint="default"/>
      </w:rPr>
    </w:lvl>
    <w:lvl w:ilvl="1" w:tplc="9CD4D8D0">
      <w:start w:val="1"/>
      <w:numFmt w:val="lowerLetter"/>
      <w:pStyle w:val="ListNumber2"/>
      <w:lvlText w:val="%2)"/>
      <w:lvlJc w:val="left"/>
      <w:pPr>
        <w:ind w:left="1020" w:hanging="340"/>
      </w:pPr>
      <w:rPr>
        <w:rFonts w:hint="default"/>
      </w:rPr>
    </w:lvl>
    <w:lvl w:ilvl="2" w:tplc="275C4236">
      <w:start w:val="1"/>
      <w:numFmt w:val="lowerRoman"/>
      <w:pStyle w:val="ListNumber3"/>
      <w:lvlText w:val="%3)"/>
      <w:lvlJc w:val="left"/>
      <w:pPr>
        <w:ind w:left="1360" w:hanging="340"/>
      </w:pPr>
      <w:rPr>
        <w:rFonts w:hint="default"/>
      </w:rPr>
    </w:lvl>
    <w:lvl w:ilvl="3" w:tplc="A266C11C">
      <w:start w:val="1"/>
      <w:numFmt w:val="decimal"/>
      <w:lvlText w:val="(%4)"/>
      <w:lvlJc w:val="left"/>
      <w:pPr>
        <w:ind w:left="1700" w:hanging="340"/>
      </w:pPr>
      <w:rPr>
        <w:rFonts w:hint="default"/>
      </w:rPr>
    </w:lvl>
    <w:lvl w:ilvl="4" w:tplc="E6D4DB8C">
      <w:start w:val="1"/>
      <w:numFmt w:val="lowerLetter"/>
      <w:lvlText w:val="(%5)"/>
      <w:lvlJc w:val="left"/>
      <w:pPr>
        <w:ind w:left="2040" w:hanging="340"/>
      </w:pPr>
      <w:rPr>
        <w:rFonts w:hint="default"/>
      </w:rPr>
    </w:lvl>
    <w:lvl w:ilvl="5" w:tplc="3D02C4A6">
      <w:start w:val="1"/>
      <w:numFmt w:val="lowerRoman"/>
      <w:lvlText w:val="(%6)"/>
      <w:lvlJc w:val="left"/>
      <w:pPr>
        <w:ind w:left="2380" w:hanging="340"/>
      </w:pPr>
      <w:rPr>
        <w:rFonts w:hint="default"/>
      </w:rPr>
    </w:lvl>
    <w:lvl w:ilvl="6" w:tplc="85C2FC94">
      <w:start w:val="1"/>
      <w:numFmt w:val="decimal"/>
      <w:lvlText w:val="%7."/>
      <w:lvlJc w:val="left"/>
      <w:pPr>
        <w:ind w:left="2720" w:hanging="340"/>
      </w:pPr>
      <w:rPr>
        <w:rFonts w:hint="default"/>
      </w:rPr>
    </w:lvl>
    <w:lvl w:ilvl="7" w:tplc="461E7826">
      <w:start w:val="1"/>
      <w:numFmt w:val="lowerLetter"/>
      <w:lvlText w:val="%8."/>
      <w:lvlJc w:val="left"/>
      <w:pPr>
        <w:ind w:left="3060" w:hanging="340"/>
      </w:pPr>
      <w:rPr>
        <w:rFonts w:hint="default"/>
      </w:rPr>
    </w:lvl>
    <w:lvl w:ilvl="8" w:tplc="ACB6438C">
      <w:start w:val="1"/>
      <w:numFmt w:val="lowerRoman"/>
      <w:lvlText w:val="%9."/>
      <w:lvlJc w:val="left"/>
      <w:pPr>
        <w:ind w:left="3400" w:hanging="340"/>
      </w:pPr>
      <w:rPr>
        <w:rFonts w:hint="default"/>
      </w:rPr>
    </w:lvl>
  </w:abstractNum>
  <w:abstractNum w:abstractNumId="85" w15:restartNumberingAfterBreak="0">
    <w:nsid w:val="40A66D56"/>
    <w:multiLevelType w:val="hybridMultilevel"/>
    <w:tmpl w:val="A424AA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43D32C16"/>
    <w:multiLevelType w:val="hybridMultilevel"/>
    <w:tmpl w:val="F3AA8592"/>
    <w:lvl w:ilvl="0" w:tplc="1408D6D6">
      <w:start w:val="1"/>
      <w:numFmt w:val="decimal"/>
      <w:pStyle w:val="RegBody1"/>
      <w:lvlText w:val="(%1)"/>
      <w:lvlJc w:val="left"/>
      <w:pPr>
        <w:tabs>
          <w:tab w:val="num" w:pos="1276"/>
        </w:tabs>
        <w:ind w:left="1276"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7" w15:restartNumberingAfterBreak="0">
    <w:nsid w:val="43EB492E"/>
    <w:multiLevelType w:val="multilevel"/>
    <w:tmpl w:val="5CC203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44331652"/>
    <w:multiLevelType w:val="hybridMultilevel"/>
    <w:tmpl w:val="A39643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451578A7"/>
    <w:multiLevelType w:val="hybridMultilevel"/>
    <w:tmpl w:val="1356211C"/>
    <w:lvl w:ilvl="0" w:tplc="34CA7608">
      <w:start w:val="1"/>
      <w:numFmt w:val="bullet"/>
      <w:pStyle w:val="ListBullet"/>
      <w:lvlText w:val=""/>
      <w:lvlJc w:val="left"/>
      <w:pPr>
        <w:ind w:left="680" w:hanging="340"/>
      </w:pPr>
      <w:rPr>
        <w:rFonts w:ascii="Symbol" w:hAnsi="Symbol" w:hint="default"/>
        <w:color w:val="auto"/>
      </w:rPr>
    </w:lvl>
    <w:lvl w:ilvl="1" w:tplc="74BA689C">
      <w:start w:val="1"/>
      <w:numFmt w:val="bullet"/>
      <w:lvlText w:val="–"/>
      <w:lvlJc w:val="left"/>
      <w:pPr>
        <w:ind w:left="1020" w:hanging="340"/>
      </w:pPr>
      <w:rPr>
        <w:rFonts w:ascii="Verdana" w:hAnsi="Verdana" w:hint="default"/>
      </w:rPr>
    </w:lvl>
    <w:lvl w:ilvl="2" w:tplc="A4608E30">
      <w:start w:val="1"/>
      <w:numFmt w:val="bullet"/>
      <w:lvlText w:val=""/>
      <w:lvlJc w:val="left"/>
      <w:pPr>
        <w:ind w:left="1360" w:hanging="340"/>
      </w:pPr>
      <w:rPr>
        <w:rFonts w:ascii="Symbol" w:hAnsi="Symbol" w:hint="default"/>
        <w:color w:val="auto"/>
      </w:rPr>
    </w:lvl>
    <w:lvl w:ilvl="3" w:tplc="566E2DB4">
      <w:start w:val="1"/>
      <w:numFmt w:val="bullet"/>
      <w:lvlText w:val="–"/>
      <w:lvlJc w:val="left"/>
      <w:pPr>
        <w:ind w:left="1700" w:hanging="340"/>
      </w:pPr>
      <w:rPr>
        <w:rFonts w:ascii="Verdana" w:hAnsi="Verdana" w:hint="default"/>
      </w:rPr>
    </w:lvl>
    <w:lvl w:ilvl="4" w:tplc="99DE3F3A">
      <w:start w:val="1"/>
      <w:numFmt w:val="bullet"/>
      <w:lvlText w:val=""/>
      <w:lvlJc w:val="left"/>
      <w:pPr>
        <w:ind w:left="2040" w:hanging="340"/>
      </w:pPr>
      <w:rPr>
        <w:rFonts w:ascii="Symbol" w:hAnsi="Symbol" w:hint="default"/>
      </w:rPr>
    </w:lvl>
    <w:lvl w:ilvl="5" w:tplc="1B34DCC2">
      <w:start w:val="1"/>
      <w:numFmt w:val="bullet"/>
      <w:lvlText w:val="–"/>
      <w:lvlJc w:val="left"/>
      <w:pPr>
        <w:ind w:left="2380" w:hanging="340"/>
      </w:pPr>
      <w:rPr>
        <w:rFonts w:ascii="Verdana" w:hAnsi="Verdana" w:hint="default"/>
      </w:rPr>
    </w:lvl>
    <w:lvl w:ilvl="6" w:tplc="8EE20E52">
      <w:start w:val="1"/>
      <w:numFmt w:val="bullet"/>
      <w:lvlText w:val=""/>
      <w:lvlJc w:val="left"/>
      <w:pPr>
        <w:ind w:left="2720" w:hanging="340"/>
      </w:pPr>
      <w:rPr>
        <w:rFonts w:ascii="Symbol" w:hAnsi="Symbol" w:hint="default"/>
      </w:rPr>
    </w:lvl>
    <w:lvl w:ilvl="7" w:tplc="A5B81062">
      <w:start w:val="1"/>
      <w:numFmt w:val="bullet"/>
      <w:lvlText w:val="–"/>
      <w:lvlJc w:val="left"/>
      <w:pPr>
        <w:ind w:left="3060" w:hanging="340"/>
      </w:pPr>
      <w:rPr>
        <w:rFonts w:ascii="Verdana" w:hAnsi="Verdana" w:hint="default"/>
      </w:rPr>
    </w:lvl>
    <w:lvl w:ilvl="8" w:tplc="FCCCE23A">
      <w:start w:val="1"/>
      <w:numFmt w:val="bullet"/>
      <w:lvlText w:val=""/>
      <w:lvlJc w:val="left"/>
      <w:pPr>
        <w:ind w:left="3400" w:hanging="340"/>
      </w:pPr>
      <w:rPr>
        <w:rFonts w:ascii="Symbol" w:hAnsi="Symbol" w:hint="default"/>
      </w:rPr>
    </w:lvl>
  </w:abstractNum>
  <w:abstractNum w:abstractNumId="90" w15:restartNumberingAfterBreak="0">
    <w:nsid w:val="45394F58"/>
    <w:multiLevelType w:val="hybridMultilevel"/>
    <w:tmpl w:val="2D9E8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4575519A"/>
    <w:multiLevelType w:val="hybridMultilevel"/>
    <w:tmpl w:val="93AA675E"/>
    <w:lvl w:ilvl="0" w:tplc="0C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2"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6254B9E"/>
    <w:multiLevelType w:val="hybridMultilevel"/>
    <w:tmpl w:val="64046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477E6EBC"/>
    <w:multiLevelType w:val="hybridMultilevel"/>
    <w:tmpl w:val="7B98EE74"/>
    <w:lvl w:ilvl="0" w:tplc="3C8C3484">
      <w:start w:val="1"/>
      <w:numFmt w:val="decimal"/>
      <w:pStyle w:val="Numberslevel1"/>
      <w:lvlText w:val="%1."/>
      <w:lvlJc w:val="left"/>
      <w:pPr>
        <w:ind w:left="360" w:hanging="360"/>
      </w:pPr>
      <w:rPr>
        <w:rFonts w:hint="default"/>
      </w:rPr>
    </w:lvl>
    <w:lvl w:ilvl="1" w:tplc="12AE1D70">
      <w:start w:val="1"/>
      <w:numFmt w:val="lowerLetter"/>
      <w:pStyle w:val="Numberslevel2"/>
      <w:lvlText w:val="%2)"/>
      <w:lvlJc w:val="left"/>
      <w:pPr>
        <w:ind w:left="720" w:hanging="360"/>
      </w:pPr>
      <w:rPr>
        <w:rFonts w:hint="default"/>
      </w:rPr>
    </w:lvl>
    <w:lvl w:ilvl="2" w:tplc="D29E9BA8">
      <w:start w:val="1"/>
      <w:numFmt w:val="lowerRoman"/>
      <w:pStyle w:val="Numberslevel3"/>
      <w:lvlText w:val="%3)"/>
      <w:lvlJc w:val="left"/>
      <w:pPr>
        <w:ind w:left="1080" w:hanging="360"/>
      </w:pPr>
      <w:rPr>
        <w:rFonts w:hint="default"/>
      </w:rPr>
    </w:lvl>
    <w:lvl w:ilvl="3" w:tplc="F9385A9A">
      <w:start w:val="1"/>
      <w:numFmt w:val="decimal"/>
      <w:lvlText w:val="(%4)"/>
      <w:lvlJc w:val="left"/>
      <w:pPr>
        <w:ind w:left="1440" w:hanging="360"/>
      </w:pPr>
      <w:rPr>
        <w:rFonts w:hint="default"/>
      </w:rPr>
    </w:lvl>
    <w:lvl w:ilvl="4" w:tplc="5950BD1A">
      <w:start w:val="1"/>
      <w:numFmt w:val="lowerLetter"/>
      <w:lvlText w:val="(%5)"/>
      <w:lvlJc w:val="left"/>
      <w:pPr>
        <w:ind w:left="1800" w:hanging="360"/>
      </w:pPr>
      <w:rPr>
        <w:rFonts w:hint="default"/>
      </w:rPr>
    </w:lvl>
    <w:lvl w:ilvl="5" w:tplc="23AA8D82">
      <w:start w:val="1"/>
      <w:numFmt w:val="lowerRoman"/>
      <w:lvlText w:val="(%6)"/>
      <w:lvlJc w:val="left"/>
      <w:pPr>
        <w:ind w:left="2160" w:hanging="360"/>
      </w:pPr>
      <w:rPr>
        <w:rFonts w:hint="default"/>
      </w:rPr>
    </w:lvl>
    <w:lvl w:ilvl="6" w:tplc="4A40024C">
      <w:start w:val="1"/>
      <w:numFmt w:val="decimal"/>
      <w:lvlText w:val="%7."/>
      <w:lvlJc w:val="left"/>
      <w:pPr>
        <w:ind w:left="2520" w:hanging="360"/>
      </w:pPr>
      <w:rPr>
        <w:rFonts w:hint="default"/>
      </w:rPr>
    </w:lvl>
    <w:lvl w:ilvl="7" w:tplc="651442CC">
      <w:start w:val="1"/>
      <w:numFmt w:val="lowerLetter"/>
      <w:lvlText w:val="%8."/>
      <w:lvlJc w:val="left"/>
      <w:pPr>
        <w:ind w:left="2880" w:hanging="360"/>
      </w:pPr>
      <w:rPr>
        <w:rFonts w:hint="default"/>
      </w:rPr>
    </w:lvl>
    <w:lvl w:ilvl="8" w:tplc="F3C222AE">
      <w:start w:val="1"/>
      <w:numFmt w:val="lowerRoman"/>
      <w:lvlText w:val="%9."/>
      <w:lvlJc w:val="left"/>
      <w:pPr>
        <w:ind w:left="3240" w:hanging="360"/>
      </w:pPr>
      <w:rPr>
        <w:rFonts w:hint="default"/>
      </w:rPr>
    </w:lvl>
  </w:abstractNum>
  <w:abstractNum w:abstractNumId="95" w15:restartNumberingAfterBreak="0">
    <w:nsid w:val="47B651D1"/>
    <w:multiLevelType w:val="hybridMultilevel"/>
    <w:tmpl w:val="2FDA4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480C3ECA"/>
    <w:multiLevelType w:val="hybridMultilevel"/>
    <w:tmpl w:val="22E621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48AB1DBC"/>
    <w:multiLevelType w:val="hybridMultilevel"/>
    <w:tmpl w:val="23AC0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49352C2D"/>
    <w:multiLevelType w:val="hybridMultilevel"/>
    <w:tmpl w:val="8FD0A54E"/>
    <w:lvl w:ilvl="0" w:tplc="F30A5C34">
      <w:start w:val="1"/>
      <w:numFmt w:val="none"/>
      <w:lvlRestart w:val="0"/>
      <w:lvlText w:val="4."/>
      <w:lvlJc w:val="right"/>
      <w:pPr>
        <w:tabs>
          <w:tab w:val="num" w:pos="964"/>
        </w:tabs>
        <w:ind w:left="964" w:hanging="108"/>
      </w:pPr>
      <w:rPr>
        <w:i w:val="0"/>
      </w:rPr>
    </w:lvl>
    <w:lvl w:ilvl="1" w:tplc="B6FC9708">
      <w:numFmt w:val="decimal"/>
      <w:lvlText w:val=""/>
      <w:lvlJc w:val="left"/>
    </w:lvl>
    <w:lvl w:ilvl="2" w:tplc="AB3CA45E">
      <w:numFmt w:val="decimal"/>
      <w:lvlText w:val=""/>
      <w:lvlJc w:val="left"/>
    </w:lvl>
    <w:lvl w:ilvl="3" w:tplc="4FCA922C">
      <w:numFmt w:val="decimal"/>
      <w:lvlText w:val=""/>
      <w:lvlJc w:val="left"/>
    </w:lvl>
    <w:lvl w:ilvl="4" w:tplc="3E8295F4">
      <w:numFmt w:val="decimal"/>
      <w:lvlText w:val=""/>
      <w:lvlJc w:val="left"/>
    </w:lvl>
    <w:lvl w:ilvl="5" w:tplc="55DEBC0A">
      <w:numFmt w:val="decimal"/>
      <w:lvlText w:val=""/>
      <w:lvlJc w:val="left"/>
    </w:lvl>
    <w:lvl w:ilvl="6" w:tplc="66C035D2">
      <w:numFmt w:val="decimal"/>
      <w:lvlText w:val=""/>
      <w:lvlJc w:val="left"/>
    </w:lvl>
    <w:lvl w:ilvl="7" w:tplc="294214E6">
      <w:numFmt w:val="decimal"/>
      <w:lvlText w:val=""/>
      <w:lvlJc w:val="left"/>
    </w:lvl>
    <w:lvl w:ilvl="8" w:tplc="256AA5E2">
      <w:numFmt w:val="decimal"/>
      <w:lvlText w:val=""/>
      <w:lvlJc w:val="left"/>
    </w:lvl>
  </w:abstractNum>
  <w:abstractNum w:abstractNumId="99" w15:restartNumberingAfterBreak="0">
    <w:nsid w:val="494B0FCD"/>
    <w:multiLevelType w:val="hybridMultilevel"/>
    <w:tmpl w:val="26E235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0" w15:restartNumberingAfterBreak="0">
    <w:nsid w:val="4A6F48CA"/>
    <w:multiLevelType w:val="hybridMultilevel"/>
    <w:tmpl w:val="5C00C258"/>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01" w15:restartNumberingAfterBreak="0">
    <w:nsid w:val="4BB7735A"/>
    <w:multiLevelType w:val="hybridMultilevel"/>
    <w:tmpl w:val="2DA470E8"/>
    <w:lvl w:ilvl="0" w:tplc="504C0794">
      <w:start w:val="2"/>
      <w:numFmt w:val="lowerRoman"/>
      <w:lvlText w:val="%1."/>
      <w:lvlJc w:val="right"/>
      <w:pPr>
        <w:tabs>
          <w:tab w:val="num" w:pos="720"/>
        </w:tabs>
        <w:ind w:left="720" w:hanging="360"/>
      </w:pPr>
    </w:lvl>
    <w:lvl w:ilvl="1" w:tplc="198A41AA" w:tentative="1">
      <w:start w:val="1"/>
      <w:numFmt w:val="lowerRoman"/>
      <w:lvlText w:val="%2."/>
      <w:lvlJc w:val="right"/>
      <w:pPr>
        <w:tabs>
          <w:tab w:val="num" w:pos="1440"/>
        </w:tabs>
        <w:ind w:left="1440" w:hanging="360"/>
      </w:pPr>
    </w:lvl>
    <w:lvl w:ilvl="2" w:tplc="8DD6E660" w:tentative="1">
      <w:start w:val="1"/>
      <w:numFmt w:val="lowerRoman"/>
      <w:lvlText w:val="%3."/>
      <w:lvlJc w:val="right"/>
      <w:pPr>
        <w:tabs>
          <w:tab w:val="num" w:pos="2160"/>
        </w:tabs>
        <w:ind w:left="2160" w:hanging="360"/>
      </w:pPr>
    </w:lvl>
    <w:lvl w:ilvl="3" w:tplc="85022740" w:tentative="1">
      <w:start w:val="1"/>
      <w:numFmt w:val="lowerRoman"/>
      <w:lvlText w:val="%4."/>
      <w:lvlJc w:val="right"/>
      <w:pPr>
        <w:tabs>
          <w:tab w:val="num" w:pos="2880"/>
        </w:tabs>
        <w:ind w:left="2880" w:hanging="360"/>
      </w:pPr>
    </w:lvl>
    <w:lvl w:ilvl="4" w:tplc="179070CC" w:tentative="1">
      <w:start w:val="1"/>
      <w:numFmt w:val="lowerRoman"/>
      <w:lvlText w:val="%5."/>
      <w:lvlJc w:val="right"/>
      <w:pPr>
        <w:tabs>
          <w:tab w:val="num" w:pos="3600"/>
        </w:tabs>
        <w:ind w:left="3600" w:hanging="360"/>
      </w:pPr>
    </w:lvl>
    <w:lvl w:ilvl="5" w:tplc="E6BC3CF0" w:tentative="1">
      <w:start w:val="1"/>
      <w:numFmt w:val="lowerRoman"/>
      <w:lvlText w:val="%6."/>
      <w:lvlJc w:val="right"/>
      <w:pPr>
        <w:tabs>
          <w:tab w:val="num" w:pos="4320"/>
        </w:tabs>
        <w:ind w:left="4320" w:hanging="360"/>
      </w:pPr>
    </w:lvl>
    <w:lvl w:ilvl="6" w:tplc="3B4AD32C" w:tentative="1">
      <w:start w:val="1"/>
      <w:numFmt w:val="lowerRoman"/>
      <w:lvlText w:val="%7."/>
      <w:lvlJc w:val="right"/>
      <w:pPr>
        <w:tabs>
          <w:tab w:val="num" w:pos="5040"/>
        </w:tabs>
        <w:ind w:left="5040" w:hanging="360"/>
      </w:pPr>
    </w:lvl>
    <w:lvl w:ilvl="7" w:tplc="CBFAF466" w:tentative="1">
      <w:start w:val="1"/>
      <w:numFmt w:val="lowerRoman"/>
      <w:lvlText w:val="%8."/>
      <w:lvlJc w:val="right"/>
      <w:pPr>
        <w:tabs>
          <w:tab w:val="num" w:pos="5760"/>
        </w:tabs>
        <w:ind w:left="5760" w:hanging="360"/>
      </w:pPr>
    </w:lvl>
    <w:lvl w:ilvl="8" w:tplc="719E41DE" w:tentative="1">
      <w:start w:val="1"/>
      <w:numFmt w:val="lowerRoman"/>
      <w:lvlText w:val="%9."/>
      <w:lvlJc w:val="right"/>
      <w:pPr>
        <w:tabs>
          <w:tab w:val="num" w:pos="6480"/>
        </w:tabs>
        <w:ind w:left="6480" w:hanging="360"/>
      </w:pPr>
    </w:lvl>
  </w:abstractNum>
  <w:abstractNum w:abstractNumId="102" w15:restartNumberingAfterBreak="0">
    <w:nsid w:val="4C3D7CF8"/>
    <w:multiLevelType w:val="hybridMultilevel"/>
    <w:tmpl w:val="0504CDD8"/>
    <w:lvl w:ilvl="0" w:tplc="3380381C">
      <w:start w:val="1"/>
      <w:numFmt w:val="lowerLetter"/>
      <w:lvlText w:val="%1."/>
      <w:lvlJc w:val="left"/>
      <w:pPr>
        <w:tabs>
          <w:tab w:val="num" w:pos="720"/>
        </w:tabs>
        <w:ind w:left="720" w:hanging="360"/>
      </w:pPr>
    </w:lvl>
    <w:lvl w:ilvl="1" w:tplc="0F66FE7C" w:tentative="1">
      <w:start w:val="1"/>
      <w:numFmt w:val="lowerLetter"/>
      <w:lvlText w:val="%2."/>
      <w:lvlJc w:val="left"/>
      <w:pPr>
        <w:tabs>
          <w:tab w:val="num" w:pos="1440"/>
        </w:tabs>
        <w:ind w:left="1440" w:hanging="360"/>
      </w:pPr>
    </w:lvl>
    <w:lvl w:ilvl="2" w:tplc="63FE80C6" w:tentative="1">
      <w:start w:val="1"/>
      <w:numFmt w:val="lowerLetter"/>
      <w:lvlText w:val="%3."/>
      <w:lvlJc w:val="left"/>
      <w:pPr>
        <w:tabs>
          <w:tab w:val="num" w:pos="2160"/>
        </w:tabs>
        <w:ind w:left="2160" w:hanging="360"/>
      </w:pPr>
    </w:lvl>
    <w:lvl w:ilvl="3" w:tplc="B012345E" w:tentative="1">
      <w:start w:val="1"/>
      <w:numFmt w:val="lowerLetter"/>
      <w:lvlText w:val="%4."/>
      <w:lvlJc w:val="left"/>
      <w:pPr>
        <w:tabs>
          <w:tab w:val="num" w:pos="2880"/>
        </w:tabs>
        <w:ind w:left="2880" w:hanging="360"/>
      </w:pPr>
    </w:lvl>
    <w:lvl w:ilvl="4" w:tplc="6680AAB6" w:tentative="1">
      <w:start w:val="1"/>
      <w:numFmt w:val="lowerLetter"/>
      <w:lvlText w:val="%5."/>
      <w:lvlJc w:val="left"/>
      <w:pPr>
        <w:tabs>
          <w:tab w:val="num" w:pos="3600"/>
        </w:tabs>
        <w:ind w:left="3600" w:hanging="360"/>
      </w:pPr>
    </w:lvl>
    <w:lvl w:ilvl="5" w:tplc="8458A1F2" w:tentative="1">
      <w:start w:val="1"/>
      <w:numFmt w:val="lowerLetter"/>
      <w:lvlText w:val="%6."/>
      <w:lvlJc w:val="left"/>
      <w:pPr>
        <w:tabs>
          <w:tab w:val="num" w:pos="4320"/>
        </w:tabs>
        <w:ind w:left="4320" w:hanging="360"/>
      </w:pPr>
    </w:lvl>
    <w:lvl w:ilvl="6" w:tplc="4A68C732" w:tentative="1">
      <w:start w:val="1"/>
      <w:numFmt w:val="lowerLetter"/>
      <w:lvlText w:val="%7."/>
      <w:lvlJc w:val="left"/>
      <w:pPr>
        <w:tabs>
          <w:tab w:val="num" w:pos="5040"/>
        </w:tabs>
        <w:ind w:left="5040" w:hanging="360"/>
      </w:pPr>
    </w:lvl>
    <w:lvl w:ilvl="7" w:tplc="570E303C" w:tentative="1">
      <w:start w:val="1"/>
      <w:numFmt w:val="lowerLetter"/>
      <w:lvlText w:val="%8."/>
      <w:lvlJc w:val="left"/>
      <w:pPr>
        <w:tabs>
          <w:tab w:val="num" w:pos="5760"/>
        </w:tabs>
        <w:ind w:left="5760" w:hanging="360"/>
      </w:pPr>
    </w:lvl>
    <w:lvl w:ilvl="8" w:tplc="FC52869C" w:tentative="1">
      <w:start w:val="1"/>
      <w:numFmt w:val="lowerLetter"/>
      <w:lvlText w:val="%9."/>
      <w:lvlJc w:val="left"/>
      <w:pPr>
        <w:tabs>
          <w:tab w:val="num" w:pos="6480"/>
        </w:tabs>
        <w:ind w:left="6480" w:hanging="360"/>
      </w:pPr>
    </w:lvl>
  </w:abstractNum>
  <w:abstractNum w:abstractNumId="103" w15:restartNumberingAfterBreak="0">
    <w:nsid w:val="4CE23B47"/>
    <w:multiLevelType w:val="hybridMultilevel"/>
    <w:tmpl w:val="8B2EFFDA"/>
    <w:lvl w:ilvl="0" w:tplc="8AC07296">
      <w:start w:val="7"/>
      <w:numFmt w:val="lowerRoman"/>
      <w:lvlText w:val="%1."/>
      <w:lvlJc w:val="right"/>
      <w:pPr>
        <w:tabs>
          <w:tab w:val="num" w:pos="720"/>
        </w:tabs>
        <w:ind w:left="720" w:hanging="360"/>
      </w:pPr>
    </w:lvl>
    <w:lvl w:ilvl="1" w:tplc="3E64F4D4" w:tentative="1">
      <w:start w:val="1"/>
      <w:numFmt w:val="lowerRoman"/>
      <w:lvlText w:val="%2."/>
      <w:lvlJc w:val="right"/>
      <w:pPr>
        <w:tabs>
          <w:tab w:val="num" w:pos="1440"/>
        </w:tabs>
        <w:ind w:left="1440" w:hanging="360"/>
      </w:pPr>
    </w:lvl>
    <w:lvl w:ilvl="2" w:tplc="EB56CCFE" w:tentative="1">
      <w:start w:val="1"/>
      <w:numFmt w:val="lowerRoman"/>
      <w:lvlText w:val="%3."/>
      <w:lvlJc w:val="right"/>
      <w:pPr>
        <w:tabs>
          <w:tab w:val="num" w:pos="2160"/>
        </w:tabs>
        <w:ind w:left="2160" w:hanging="360"/>
      </w:pPr>
    </w:lvl>
    <w:lvl w:ilvl="3" w:tplc="A74EFD14" w:tentative="1">
      <w:start w:val="1"/>
      <w:numFmt w:val="lowerRoman"/>
      <w:lvlText w:val="%4."/>
      <w:lvlJc w:val="right"/>
      <w:pPr>
        <w:tabs>
          <w:tab w:val="num" w:pos="2880"/>
        </w:tabs>
        <w:ind w:left="2880" w:hanging="360"/>
      </w:pPr>
    </w:lvl>
    <w:lvl w:ilvl="4" w:tplc="A370A764" w:tentative="1">
      <w:start w:val="1"/>
      <w:numFmt w:val="lowerRoman"/>
      <w:lvlText w:val="%5."/>
      <w:lvlJc w:val="right"/>
      <w:pPr>
        <w:tabs>
          <w:tab w:val="num" w:pos="3600"/>
        </w:tabs>
        <w:ind w:left="3600" w:hanging="360"/>
      </w:pPr>
    </w:lvl>
    <w:lvl w:ilvl="5" w:tplc="24BA54B6" w:tentative="1">
      <w:start w:val="1"/>
      <w:numFmt w:val="lowerRoman"/>
      <w:lvlText w:val="%6."/>
      <w:lvlJc w:val="right"/>
      <w:pPr>
        <w:tabs>
          <w:tab w:val="num" w:pos="4320"/>
        </w:tabs>
        <w:ind w:left="4320" w:hanging="360"/>
      </w:pPr>
    </w:lvl>
    <w:lvl w:ilvl="6" w:tplc="538E030A" w:tentative="1">
      <w:start w:val="1"/>
      <w:numFmt w:val="lowerRoman"/>
      <w:lvlText w:val="%7."/>
      <w:lvlJc w:val="right"/>
      <w:pPr>
        <w:tabs>
          <w:tab w:val="num" w:pos="5040"/>
        </w:tabs>
        <w:ind w:left="5040" w:hanging="360"/>
      </w:pPr>
    </w:lvl>
    <w:lvl w:ilvl="7" w:tplc="1390F84C" w:tentative="1">
      <w:start w:val="1"/>
      <w:numFmt w:val="lowerRoman"/>
      <w:lvlText w:val="%8."/>
      <w:lvlJc w:val="right"/>
      <w:pPr>
        <w:tabs>
          <w:tab w:val="num" w:pos="5760"/>
        </w:tabs>
        <w:ind w:left="5760" w:hanging="360"/>
      </w:pPr>
    </w:lvl>
    <w:lvl w:ilvl="8" w:tplc="264C942C" w:tentative="1">
      <w:start w:val="1"/>
      <w:numFmt w:val="lowerRoman"/>
      <w:lvlText w:val="%9."/>
      <w:lvlJc w:val="right"/>
      <w:pPr>
        <w:tabs>
          <w:tab w:val="num" w:pos="6480"/>
        </w:tabs>
        <w:ind w:left="6480" w:hanging="360"/>
      </w:pPr>
    </w:lvl>
  </w:abstractNum>
  <w:abstractNum w:abstractNumId="104"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5" w15:restartNumberingAfterBreak="0">
    <w:nsid w:val="506451D3"/>
    <w:multiLevelType w:val="hybridMultilevel"/>
    <w:tmpl w:val="27BCA0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51C417C4"/>
    <w:multiLevelType w:val="hybridMultilevel"/>
    <w:tmpl w:val="DD56E56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51FF6BB6"/>
    <w:multiLevelType w:val="hybridMultilevel"/>
    <w:tmpl w:val="C3529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526367B6"/>
    <w:multiLevelType w:val="hybridMultilevel"/>
    <w:tmpl w:val="06F2B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52666205"/>
    <w:multiLevelType w:val="hybridMultilevel"/>
    <w:tmpl w:val="4F48E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529A1CAC"/>
    <w:multiLevelType w:val="hybridMultilevel"/>
    <w:tmpl w:val="0F7C4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52A717E4"/>
    <w:multiLevelType w:val="hybridMultilevel"/>
    <w:tmpl w:val="88D48FEA"/>
    <w:lvl w:ilvl="0" w:tplc="74BA689C">
      <w:start w:val="1"/>
      <w:numFmt w:val="bullet"/>
      <w:lvlText w:val="–"/>
      <w:lvlJc w:val="left"/>
      <w:pPr>
        <w:ind w:left="1080" w:hanging="360"/>
      </w:pPr>
      <w:rPr>
        <w:rFonts w:ascii="Verdana" w:hAnsi="Verdana" w:hint="default"/>
      </w:rPr>
    </w:lvl>
    <w:lvl w:ilvl="1" w:tplc="0AC6B528">
      <w:start w:val="4"/>
      <w:numFmt w:val="bullet"/>
      <w:lvlText w:val="-"/>
      <w:lvlJc w:val="left"/>
      <w:pPr>
        <w:ind w:left="1800" w:hanging="360"/>
      </w:pPr>
      <w:rPr>
        <w:rFonts w:ascii="Segoe UI Light" w:eastAsiaTheme="minorHAnsi" w:hAnsi="Segoe UI Light" w:cs="Segoe UI Light"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2" w15:restartNumberingAfterBreak="0">
    <w:nsid w:val="53E00F28"/>
    <w:multiLevelType w:val="hybridMultilevel"/>
    <w:tmpl w:val="33465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542C6CAB"/>
    <w:multiLevelType w:val="hybridMultilevel"/>
    <w:tmpl w:val="28C678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549363ED"/>
    <w:multiLevelType w:val="hybridMultilevel"/>
    <w:tmpl w:val="8BA49D6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585925AA"/>
    <w:multiLevelType w:val="hybridMultilevel"/>
    <w:tmpl w:val="28687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5B4B212D"/>
    <w:multiLevelType w:val="hybridMultilevel"/>
    <w:tmpl w:val="CC30F376"/>
    <w:lvl w:ilvl="0" w:tplc="CBAAD2DC">
      <w:start w:val="7"/>
      <w:numFmt w:val="lowerRoman"/>
      <w:lvlText w:val="%1."/>
      <w:lvlJc w:val="right"/>
      <w:pPr>
        <w:tabs>
          <w:tab w:val="num" w:pos="720"/>
        </w:tabs>
        <w:ind w:left="720" w:hanging="360"/>
      </w:pPr>
    </w:lvl>
    <w:lvl w:ilvl="1" w:tplc="E54C10E0" w:tentative="1">
      <w:start w:val="1"/>
      <w:numFmt w:val="lowerRoman"/>
      <w:lvlText w:val="%2."/>
      <w:lvlJc w:val="right"/>
      <w:pPr>
        <w:tabs>
          <w:tab w:val="num" w:pos="1440"/>
        </w:tabs>
        <w:ind w:left="1440" w:hanging="360"/>
      </w:pPr>
    </w:lvl>
    <w:lvl w:ilvl="2" w:tplc="CA54A5EC" w:tentative="1">
      <w:start w:val="1"/>
      <w:numFmt w:val="lowerRoman"/>
      <w:lvlText w:val="%3."/>
      <w:lvlJc w:val="right"/>
      <w:pPr>
        <w:tabs>
          <w:tab w:val="num" w:pos="2160"/>
        </w:tabs>
        <w:ind w:left="2160" w:hanging="360"/>
      </w:pPr>
    </w:lvl>
    <w:lvl w:ilvl="3" w:tplc="DF02E864" w:tentative="1">
      <w:start w:val="1"/>
      <w:numFmt w:val="lowerRoman"/>
      <w:lvlText w:val="%4."/>
      <w:lvlJc w:val="right"/>
      <w:pPr>
        <w:tabs>
          <w:tab w:val="num" w:pos="2880"/>
        </w:tabs>
        <w:ind w:left="2880" w:hanging="360"/>
      </w:pPr>
    </w:lvl>
    <w:lvl w:ilvl="4" w:tplc="EA402122" w:tentative="1">
      <w:start w:val="1"/>
      <w:numFmt w:val="lowerRoman"/>
      <w:lvlText w:val="%5."/>
      <w:lvlJc w:val="right"/>
      <w:pPr>
        <w:tabs>
          <w:tab w:val="num" w:pos="3600"/>
        </w:tabs>
        <w:ind w:left="3600" w:hanging="360"/>
      </w:pPr>
    </w:lvl>
    <w:lvl w:ilvl="5" w:tplc="79AA0CC6" w:tentative="1">
      <w:start w:val="1"/>
      <w:numFmt w:val="lowerRoman"/>
      <w:lvlText w:val="%6."/>
      <w:lvlJc w:val="right"/>
      <w:pPr>
        <w:tabs>
          <w:tab w:val="num" w:pos="4320"/>
        </w:tabs>
        <w:ind w:left="4320" w:hanging="360"/>
      </w:pPr>
    </w:lvl>
    <w:lvl w:ilvl="6" w:tplc="8BBC301E" w:tentative="1">
      <w:start w:val="1"/>
      <w:numFmt w:val="lowerRoman"/>
      <w:lvlText w:val="%7."/>
      <w:lvlJc w:val="right"/>
      <w:pPr>
        <w:tabs>
          <w:tab w:val="num" w:pos="5040"/>
        </w:tabs>
        <w:ind w:left="5040" w:hanging="360"/>
      </w:pPr>
    </w:lvl>
    <w:lvl w:ilvl="7" w:tplc="65A499BC" w:tentative="1">
      <w:start w:val="1"/>
      <w:numFmt w:val="lowerRoman"/>
      <w:lvlText w:val="%8."/>
      <w:lvlJc w:val="right"/>
      <w:pPr>
        <w:tabs>
          <w:tab w:val="num" w:pos="5760"/>
        </w:tabs>
        <w:ind w:left="5760" w:hanging="360"/>
      </w:pPr>
    </w:lvl>
    <w:lvl w:ilvl="8" w:tplc="6CB03350" w:tentative="1">
      <w:start w:val="1"/>
      <w:numFmt w:val="lowerRoman"/>
      <w:lvlText w:val="%9."/>
      <w:lvlJc w:val="right"/>
      <w:pPr>
        <w:tabs>
          <w:tab w:val="num" w:pos="6480"/>
        </w:tabs>
        <w:ind w:left="6480" w:hanging="360"/>
      </w:pPr>
    </w:lvl>
  </w:abstractNum>
  <w:abstractNum w:abstractNumId="117" w15:restartNumberingAfterBreak="0">
    <w:nsid w:val="5C015F6D"/>
    <w:multiLevelType w:val="hybridMultilevel"/>
    <w:tmpl w:val="4656D86A"/>
    <w:lvl w:ilvl="0" w:tplc="5CEAEBEA">
      <w:start w:val="1"/>
      <w:numFmt w:val="decimal"/>
      <w:lvlText w:val="%1."/>
      <w:lvlJc w:val="left"/>
      <w:pPr>
        <w:tabs>
          <w:tab w:val="num" w:pos="720"/>
        </w:tabs>
        <w:ind w:left="720" w:hanging="720"/>
      </w:pPr>
    </w:lvl>
    <w:lvl w:ilvl="1" w:tplc="FE92B632">
      <w:start w:val="1"/>
      <w:numFmt w:val="decimal"/>
      <w:lvlText w:val="%2."/>
      <w:lvlJc w:val="left"/>
      <w:pPr>
        <w:tabs>
          <w:tab w:val="num" w:pos="1440"/>
        </w:tabs>
        <w:ind w:left="1440" w:hanging="720"/>
      </w:pPr>
    </w:lvl>
    <w:lvl w:ilvl="2" w:tplc="220438C8">
      <w:start w:val="1"/>
      <w:numFmt w:val="decimal"/>
      <w:lvlText w:val="%3."/>
      <w:lvlJc w:val="left"/>
      <w:pPr>
        <w:tabs>
          <w:tab w:val="num" w:pos="2160"/>
        </w:tabs>
        <w:ind w:left="2160" w:hanging="720"/>
      </w:pPr>
    </w:lvl>
    <w:lvl w:ilvl="3" w:tplc="C4E64B24">
      <w:start w:val="1"/>
      <w:numFmt w:val="decimal"/>
      <w:lvlText w:val="%4."/>
      <w:lvlJc w:val="left"/>
      <w:pPr>
        <w:tabs>
          <w:tab w:val="num" w:pos="2880"/>
        </w:tabs>
        <w:ind w:left="2880" w:hanging="720"/>
      </w:pPr>
    </w:lvl>
    <w:lvl w:ilvl="4" w:tplc="210059EA">
      <w:start w:val="1"/>
      <w:numFmt w:val="decimal"/>
      <w:lvlText w:val="%5."/>
      <w:lvlJc w:val="left"/>
      <w:pPr>
        <w:tabs>
          <w:tab w:val="num" w:pos="3600"/>
        </w:tabs>
        <w:ind w:left="3600" w:hanging="720"/>
      </w:pPr>
    </w:lvl>
    <w:lvl w:ilvl="5" w:tplc="C9880D60">
      <w:start w:val="1"/>
      <w:numFmt w:val="decimal"/>
      <w:lvlText w:val="%6."/>
      <w:lvlJc w:val="left"/>
      <w:pPr>
        <w:tabs>
          <w:tab w:val="num" w:pos="4320"/>
        </w:tabs>
        <w:ind w:left="4320" w:hanging="720"/>
      </w:pPr>
    </w:lvl>
    <w:lvl w:ilvl="6" w:tplc="9606E734">
      <w:start w:val="1"/>
      <w:numFmt w:val="decimal"/>
      <w:lvlText w:val="%7."/>
      <w:lvlJc w:val="left"/>
      <w:pPr>
        <w:tabs>
          <w:tab w:val="num" w:pos="5040"/>
        </w:tabs>
        <w:ind w:left="5040" w:hanging="720"/>
      </w:pPr>
    </w:lvl>
    <w:lvl w:ilvl="7" w:tplc="35E29C38">
      <w:start w:val="1"/>
      <w:numFmt w:val="decimal"/>
      <w:lvlText w:val="%8."/>
      <w:lvlJc w:val="left"/>
      <w:pPr>
        <w:tabs>
          <w:tab w:val="num" w:pos="5760"/>
        </w:tabs>
        <w:ind w:left="5760" w:hanging="720"/>
      </w:pPr>
    </w:lvl>
    <w:lvl w:ilvl="8" w:tplc="83F6DEC0">
      <w:start w:val="1"/>
      <w:numFmt w:val="decimal"/>
      <w:lvlText w:val="%9."/>
      <w:lvlJc w:val="left"/>
      <w:pPr>
        <w:tabs>
          <w:tab w:val="num" w:pos="6480"/>
        </w:tabs>
        <w:ind w:left="6480" w:hanging="720"/>
      </w:pPr>
    </w:lvl>
  </w:abstractNum>
  <w:abstractNum w:abstractNumId="118" w15:restartNumberingAfterBreak="0">
    <w:nsid w:val="5CB72B5F"/>
    <w:multiLevelType w:val="hybridMultilevel"/>
    <w:tmpl w:val="BA8042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5D457C4C"/>
    <w:multiLevelType w:val="hybridMultilevel"/>
    <w:tmpl w:val="8A8C8448"/>
    <w:lvl w:ilvl="0" w:tplc="5D641E70">
      <w:start w:val="3"/>
      <w:numFmt w:val="lowerLetter"/>
      <w:lvlText w:val="%1."/>
      <w:lvlJc w:val="left"/>
      <w:pPr>
        <w:tabs>
          <w:tab w:val="num" w:pos="720"/>
        </w:tabs>
        <w:ind w:left="720" w:hanging="360"/>
      </w:pPr>
    </w:lvl>
    <w:lvl w:ilvl="1" w:tplc="24EA6A76" w:tentative="1">
      <w:start w:val="1"/>
      <w:numFmt w:val="lowerLetter"/>
      <w:lvlText w:val="%2."/>
      <w:lvlJc w:val="left"/>
      <w:pPr>
        <w:tabs>
          <w:tab w:val="num" w:pos="1440"/>
        </w:tabs>
        <w:ind w:left="1440" w:hanging="360"/>
      </w:pPr>
    </w:lvl>
    <w:lvl w:ilvl="2" w:tplc="C0F28756" w:tentative="1">
      <w:start w:val="1"/>
      <w:numFmt w:val="lowerLetter"/>
      <w:lvlText w:val="%3."/>
      <w:lvlJc w:val="left"/>
      <w:pPr>
        <w:tabs>
          <w:tab w:val="num" w:pos="2160"/>
        </w:tabs>
        <w:ind w:left="2160" w:hanging="360"/>
      </w:pPr>
    </w:lvl>
    <w:lvl w:ilvl="3" w:tplc="8132E586" w:tentative="1">
      <w:start w:val="1"/>
      <w:numFmt w:val="lowerLetter"/>
      <w:lvlText w:val="%4."/>
      <w:lvlJc w:val="left"/>
      <w:pPr>
        <w:tabs>
          <w:tab w:val="num" w:pos="2880"/>
        </w:tabs>
        <w:ind w:left="2880" w:hanging="360"/>
      </w:pPr>
    </w:lvl>
    <w:lvl w:ilvl="4" w:tplc="F970E13A" w:tentative="1">
      <w:start w:val="1"/>
      <w:numFmt w:val="lowerLetter"/>
      <w:lvlText w:val="%5."/>
      <w:lvlJc w:val="left"/>
      <w:pPr>
        <w:tabs>
          <w:tab w:val="num" w:pos="3600"/>
        </w:tabs>
        <w:ind w:left="3600" w:hanging="360"/>
      </w:pPr>
    </w:lvl>
    <w:lvl w:ilvl="5" w:tplc="0D1C4868" w:tentative="1">
      <w:start w:val="1"/>
      <w:numFmt w:val="lowerLetter"/>
      <w:lvlText w:val="%6."/>
      <w:lvlJc w:val="left"/>
      <w:pPr>
        <w:tabs>
          <w:tab w:val="num" w:pos="4320"/>
        </w:tabs>
        <w:ind w:left="4320" w:hanging="360"/>
      </w:pPr>
    </w:lvl>
    <w:lvl w:ilvl="6" w:tplc="26CCDF9E" w:tentative="1">
      <w:start w:val="1"/>
      <w:numFmt w:val="lowerLetter"/>
      <w:lvlText w:val="%7."/>
      <w:lvlJc w:val="left"/>
      <w:pPr>
        <w:tabs>
          <w:tab w:val="num" w:pos="5040"/>
        </w:tabs>
        <w:ind w:left="5040" w:hanging="360"/>
      </w:pPr>
    </w:lvl>
    <w:lvl w:ilvl="7" w:tplc="485091AA" w:tentative="1">
      <w:start w:val="1"/>
      <w:numFmt w:val="lowerLetter"/>
      <w:lvlText w:val="%8."/>
      <w:lvlJc w:val="left"/>
      <w:pPr>
        <w:tabs>
          <w:tab w:val="num" w:pos="5760"/>
        </w:tabs>
        <w:ind w:left="5760" w:hanging="360"/>
      </w:pPr>
    </w:lvl>
    <w:lvl w:ilvl="8" w:tplc="C09E092E" w:tentative="1">
      <w:start w:val="1"/>
      <w:numFmt w:val="lowerLetter"/>
      <w:lvlText w:val="%9."/>
      <w:lvlJc w:val="left"/>
      <w:pPr>
        <w:tabs>
          <w:tab w:val="num" w:pos="6480"/>
        </w:tabs>
        <w:ind w:left="6480" w:hanging="360"/>
      </w:pPr>
    </w:lvl>
  </w:abstractNum>
  <w:abstractNum w:abstractNumId="120" w15:restartNumberingAfterBreak="0">
    <w:nsid w:val="5FB27EE1"/>
    <w:multiLevelType w:val="hybridMultilevel"/>
    <w:tmpl w:val="C3BEEBF4"/>
    <w:lvl w:ilvl="0" w:tplc="0C09000F">
      <w:start w:val="1"/>
      <w:numFmt w:val="decimal"/>
      <w:lvlText w:val="%1."/>
      <w:lvlJc w:val="left"/>
      <w:pPr>
        <w:ind w:left="720" w:hanging="360"/>
      </w:pPr>
    </w:lvl>
    <w:lvl w:ilvl="1" w:tplc="B2F60570">
      <w:start w:val="1"/>
      <w:numFmt w:val="lowerLetter"/>
      <w:lvlText w:val="(%2)"/>
      <w:lvlJc w:val="left"/>
      <w:pPr>
        <w:ind w:left="1980" w:hanging="90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608517A5"/>
    <w:multiLevelType w:val="hybridMultilevel"/>
    <w:tmpl w:val="77BA821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123" w15:restartNumberingAfterBreak="0">
    <w:nsid w:val="615F4390"/>
    <w:multiLevelType w:val="hybridMultilevel"/>
    <w:tmpl w:val="46B047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62F46508"/>
    <w:multiLevelType w:val="hybridMultilevel"/>
    <w:tmpl w:val="ABF0BB72"/>
    <w:lvl w:ilvl="0" w:tplc="005060D0">
      <w:start w:val="1"/>
      <w:numFmt w:val="bullet"/>
      <w:pStyle w:val="ListBullet2"/>
      <w:lvlText w:val="–"/>
      <w:lvlJc w:val="left"/>
      <w:pPr>
        <w:ind w:left="680" w:hanging="340"/>
      </w:pPr>
      <w:rPr>
        <w:rFonts w:ascii="Verdana" w:hAnsi="Verdana" w:hint="default"/>
      </w:rPr>
    </w:lvl>
    <w:lvl w:ilvl="1" w:tplc="8B3E5CFC">
      <w:start w:val="1"/>
      <w:numFmt w:val="bullet"/>
      <w:lvlText w:val=""/>
      <w:lvlJc w:val="left"/>
      <w:pPr>
        <w:ind w:left="1020" w:hanging="340"/>
      </w:pPr>
      <w:rPr>
        <w:rFonts w:ascii="Symbol" w:hAnsi="Symbol" w:hint="default"/>
      </w:rPr>
    </w:lvl>
    <w:lvl w:ilvl="2" w:tplc="B3E4C4A6">
      <w:start w:val="1"/>
      <w:numFmt w:val="bullet"/>
      <w:lvlText w:val="–"/>
      <w:lvlJc w:val="left"/>
      <w:pPr>
        <w:ind w:left="1360" w:hanging="340"/>
      </w:pPr>
      <w:rPr>
        <w:rFonts w:ascii="Verdana" w:hAnsi="Verdana" w:hint="default"/>
      </w:rPr>
    </w:lvl>
    <w:lvl w:ilvl="3" w:tplc="AED23074">
      <w:start w:val="1"/>
      <w:numFmt w:val="bullet"/>
      <w:lvlText w:val=""/>
      <w:lvlJc w:val="left"/>
      <w:pPr>
        <w:ind w:left="1700" w:hanging="340"/>
      </w:pPr>
      <w:rPr>
        <w:rFonts w:ascii="Symbol" w:hAnsi="Symbol" w:hint="default"/>
        <w:color w:val="auto"/>
      </w:rPr>
    </w:lvl>
    <w:lvl w:ilvl="4" w:tplc="597A1FC0">
      <w:start w:val="1"/>
      <w:numFmt w:val="bullet"/>
      <w:lvlText w:val="–"/>
      <w:lvlJc w:val="left"/>
      <w:pPr>
        <w:ind w:left="2040" w:hanging="340"/>
      </w:pPr>
      <w:rPr>
        <w:rFonts w:ascii="Verdana" w:hAnsi="Verdana" w:hint="default"/>
      </w:rPr>
    </w:lvl>
    <w:lvl w:ilvl="5" w:tplc="94E22156">
      <w:start w:val="1"/>
      <w:numFmt w:val="bullet"/>
      <w:lvlText w:val=""/>
      <w:lvlJc w:val="left"/>
      <w:pPr>
        <w:ind w:left="2380" w:hanging="340"/>
      </w:pPr>
      <w:rPr>
        <w:rFonts w:ascii="Symbol" w:hAnsi="Symbol" w:hint="default"/>
      </w:rPr>
    </w:lvl>
    <w:lvl w:ilvl="6" w:tplc="2454F442">
      <w:start w:val="1"/>
      <w:numFmt w:val="bullet"/>
      <w:lvlText w:val="–"/>
      <w:lvlJc w:val="left"/>
      <w:pPr>
        <w:ind w:left="2720" w:hanging="340"/>
      </w:pPr>
      <w:rPr>
        <w:rFonts w:ascii="Verdana" w:hAnsi="Verdana" w:hint="default"/>
      </w:rPr>
    </w:lvl>
    <w:lvl w:ilvl="7" w:tplc="1F127A8E">
      <w:start w:val="1"/>
      <w:numFmt w:val="bullet"/>
      <w:lvlText w:val=""/>
      <w:lvlJc w:val="left"/>
      <w:pPr>
        <w:ind w:left="3060" w:hanging="340"/>
      </w:pPr>
      <w:rPr>
        <w:rFonts w:ascii="Symbol" w:hAnsi="Symbol" w:hint="default"/>
      </w:rPr>
    </w:lvl>
    <w:lvl w:ilvl="8" w:tplc="1AEE5D6C">
      <w:start w:val="1"/>
      <w:numFmt w:val="bullet"/>
      <w:lvlText w:val="–"/>
      <w:lvlJc w:val="left"/>
      <w:pPr>
        <w:ind w:left="3400" w:hanging="340"/>
      </w:pPr>
      <w:rPr>
        <w:rFonts w:ascii="Verdana" w:hAnsi="Verdana" w:hint="default"/>
      </w:rPr>
    </w:lvl>
  </w:abstractNum>
  <w:abstractNum w:abstractNumId="125" w15:restartNumberingAfterBreak="0">
    <w:nsid w:val="63184BE8"/>
    <w:multiLevelType w:val="hybridMultilevel"/>
    <w:tmpl w:val="B29EFD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6" w15:restartNumberingAfterBreak="0">
    <w:nsid w:val="63421420"/>
    <w:multiLevelType w:val="hybridMultilevel"/>
    <w:tmpl w:val="6840F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64BF380F"/>
    <w:multiLevelType w:val="hybridMultilevel"/>
    <w:tmpl w:val="BA886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65984CFE"/>
    <w:multiLevelType w:val="hybridMultilevel"/>
    <w:tmpl w:val="96F60A24"/>
    <w:lvl w:ilvl="0" w:tplc="0C090001">
      <w:start w:val="1"/>
      <w:numFmt w:val="bullet"/>
      <w:lvlText w:val=""/>
      <w:lvlJc w:val="left"/>
      <w:pPr>
        <w:ind w:left="720" w:hanging="360"/>
      </w:pPr>
      <w:rPr>
        <w:rFonts w:ascii="Symbol" w:hAnsi="Symbol" w:hint="default"/>
      </w:rPr>
    </w:lvl>
    <w:lvl w:ilvl="1" w:tplc="44107EA8">
      <w:numFmt w:val="bullet"/>
      <w:lvlText w:val="-"/>
      <w:lvlJc w:val="left"/>
      <w:pPr>
        <w:ind w:left="1440" w:hanging="360"/>
      </w:pPr>
      <w:rPr>
        <w:rFonts w:ascii="Verdana" w:eastAsiaTheme="minorHAnsi" w:hAnsi="Verdana"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65DD0AE3"/>
    <w:multiLevelType w:val="hybridMultilevel"/>
    <w:tmpl w:val="D03406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6884529D"/>
    <w:multiLevelType w:val="hybridMultilevel"/>
    <w:tmpl w:val="45786DC8"/>
    <w:lvl w:ilvl="0" w:tplc="0C090001">
      <w:start w:val="1"/>
      <w:numFmt w:val="bullet"/>
      <w:lvlText w:val=""/>
      <w:lvlJc w:val="left"/>
      <w:pPr>
        <w:ind w:left="1800" w:hanging="360"/>
      </w:pPr>
      <w:rPr>
        <w:rFonts w:ascii="Symbol" w:hAnsi="Symbol"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31" w15:restartNumberingAfterBreak="0">
    <w:nsid w:val="69D26443"/>
    <w:multiLevelType w:val="hybridMultilevel"/>
    <w:tmpl w:val="67BC3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6D6B6B3F"/>
    <w:multiLevelType w:val="hybridMultilevel"/>
    <w:tmpl w:val="266E9122"/>
    <w:lvl w:ilvl="0" w:tplc="23CA7640">
      <w:start w:val="1"/>
      <w:numFmt w:val="lowerRoman"/>
      <w:lvlText w:val="%1."/>
      <w:lvlJc w:val="right"/>
      <w:pPr>
        <w:tabs>
          <w:tab w:val="num" w:pos="720"/>
        </w:tabs>
        <w:ind w:left="720" w:hanging="360"/>
      </w:pPr>
    </w:lvl>
    <w:lvl w:ilvl="1" w:tplc="D1EE20EC" w:tentative="1">
      <w:start w:val="1"/>
      <w:numFmt w:val="lowerRoman"/>
      <w:lvlText w:val="%2."/>
      <w:lvlJc w:val="right"/>
      <w:pPr>
        <w:tabs>
          <w:tab w:val="num" w:pos="1440"/>
        </w:tabs>
        <w:ind w:left="1440" w:hanging="360"/>
      </w:pPr>
    </w:lvl>
    <w:lvl w:ilvl="2" w:tplc="5BF07330" w:tentative="1">
      <w:start w:val="1"/>
      <w:numFmt w:val="lowerRoman"/>
      <w:lvlText w:val="%3."/>
      <w:lvlJc w:val="right"/>
      <w:pPr>
        <w:tabs>
          <w:tab w:val="num" w:pos="2160"/>
        </w:tabs>
        <w:ind w:left="2160" w:hanging="360"/>
      </w:pPr>
    </w:lvl>
    <w:lvl w:ilvl="3" w:tplc="95A2DF20" w:tentative="1">
      <w:start w:val="1"/>
      <w:numFmt w:val="lowerRoman"/>
      <w:lvlText w:val="%4."/>
      <w:lvlJc w:val="right"/>
      <w:pPr>
        <w:tabs>
          <w:tab w:val="num" w:pos="2880"/>
        </w:tabs>
        <w:ind w:left="2880" w:hanging="360"/>
      </w:pPr>
    </w:lvl>
    <w:lvl w:ilvl="4" w:tplc="5DE821A6" w:tentative="1">
      <w:start w:val="1"/>
      <w:numFmt w:val="lowerRoman"/>
      <w:lvlText w:val="%5."/>
      <w:lvlJc w:val="right"/>
      <w:pPr>
        <w:tabs>
          <w:tab w:val="num" w:pos="3600"/>
        </w:tabs>
        <w:ind w:left="3600" w:hanging="360"/>
      </w:pPr>
    </w:lvl>
    <w:lvl w:ilvl="5" w:tplc="270C6BB6" w:tentative="1">
      <w:start w:val="1"/>
      <w:numFmt w:val="lowerRoman"/>
      <w:lvlText w:val="%6."/>
      <w:lvlJc w:val="right"/>
      <w:pPr>
        <w:tabs>
          <w:tab w:val="num" w:pos="4320"/>
        </w:tabs>
        <w:ind w:left="4320" w:hanging="360"/>
      </w:pPr>
    </w:lvl>
    <w:lvl w:ilvl="6" w:tplc="B6240C8E" w:tentative="1">
      <w:start w:val="1"/>
      <w:numFmt w:val="lowerRoman"/>
      <w:lvlText w:val="%7."/>
      <w:lvlJc w:val="right"/>
      <w:pPr>
        <w:tabs>
          <w:tab w:val="num" w:pos="5040"/>
        </w:tabs>
        <w:ind w:left="5040" w:hanging="360"/>
      </w:pPr>
    </w:lvl>
    <w:lvl w:ilvl="7" w:tplc="FE68A89C" w:tentative="1">
      <w:start w:val="1"/>
      <w:numFmt w:val="lowerRoman"/>
      <w:lvlText w:val="%8."/>
      <w:lvlJc w:val="right"/>
      <w:pPr>
        <w:tabs>
          <w:tab w:val="num" w:pos="5760"/>
        </w:tabs>
        <w:ind w:left="5760" w:hanging="360"/>
      </w:pPr>
    </w:lvl>
    <w:lvl w:ilvl="8" w:tplc="D21ADED0" w:tentative="1">
      <w:start w:val="1"/>
      <w:numFmt w:val="lowerRoman"/>
      <w:lvlText w:val="%9."/>
      <w:lvlJc w:val="right"/>
      <w:pPr>
        <w:tabs>
          <w:tab w:val="num" w:pos="6480"/>
        </w:tabs>
        <w:ind w:left="6480" w:hanging="360"/>
      </w:pPr>
    </w:lvl>
  </w:abstractNum>
  <w:abstractNum w:abstractNumId="133" w15:restartNumberingAfterBreak="0">
    <w:nsid w:val="6DD130C1"/>
    <w:multiLevelType w:val="hybridMultilevel"/>
    <w:tmpl w:val="0FBE6DD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6E2012B7"/>
    <w:multiLevelType w:val="hybridMultilevel"/>
    <w:tmpl w:val="3E663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6E3F362E"/>
    <w:multiLevelType w:val="hybridMultilevel"/>
    <w:tmpl w:val="753E5FD4"/>
    <w:lvl w:ilvl="0" w:tplc="484616A4">
      <w:start w:val="1"/>
      <w:numFmt w:val="decimal"/>
      <w:lvlText w:val="%1."/>
      <w:lvlJc w:val="left"/>
      <w:pPr>
        <w:ind w:left="360" w:hanging="360"/>
      </w:pPr>
      <w:rPr>
        <w:rFonts w:ascii="Arial" w:hAnsi="Arial" w:cs="Arial" w:hint="default"/>
        <w:b w:val="0"/>
        <w:bCs/>
        <w:i w:val="0"/>
        <w:color w:val="auto"/>
        <w:sz w:val="20"/>
        <w:szCs w:val="20"/>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16982BE2">
      <w:start w:val="1"/>
      <w:numFmt w:val="lowerRoman"/>
      <w:lvlText w:val="(%4)"/>
      <w:lvlJc w:val="left"/>
      <w:pPr>
        <w:ind w:left="3240" w:hanging="72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6E5D4322"/>
    <w:multiLevelType w:val="hybridMultilevel"/>
    <w:tmpl w:val="42CE3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6F816BD4"/>
    <w:multiLevelType w:val="hybridMultilevel"/>
    <w:tmpl w:val="C462765C"/>
    <w:lvl w:ilvl="0" w:tplc="0C09001B">
      <w:start w:val="1"/>
      <w:numFmt w:val="lowerRoman"/>
      <w:lvlText w:val="%1."/>
      <w:lvlJc w:val="righ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38" w15:restartNumberingAfterBreak="0">
    <w:nsid w:val="6F864A3C"/>
    <w:multiLevelType w:val="hybridMultilevel"/>
    <w:tmpl w:val="149A944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9" w15:restartNumberingAfterBreak="0">
    <w:nsid w:val="6FD165DE"/>
    <w:multiLevelType w:val="hybridMultilevel"/>
    <w:tmpl w:val="940AD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70BF2F79"/>
    <w:multiLevelType w:val="hybridMultilevel"/>
    <w:tmpl w:val="79C8685A"/>
    <w:lvl w:ilvl="0" w:tplc="88C8020A">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70CD2B8E"/>
    <w:multiLevelType w:val="hybridMultilevel"/>
    <w:tmpl w:val="4D40E8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70CE57EB"/>
    <w:multiLevelType w:val="hybridMultilevel"/>
    <w:tmpl w:val="5A92233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725D1AD9"/>
    <w:multiLevelType w:val="hybridMultilevel"/>
    <w:tmpl w:val="61B01ABA"/>
    <w:lvl w:ilvl="0" w:tplc="83585330">
      <w:start w:val="1"/>
      <w:numFmt w:val="decimal"/>
      <w:lvlText w:val="%1."/>
      <w:lvlJc w:val="left"/>
      <w:pPr>
        <w:tabs>
          <w:tab w:val="num" w:pos="720"/>
        </w:tabs>
        <w:ind w:left="720" w:hanging="720"/>
      </w:pPr>
    </w:lvl>
    <w:lvl w:ilvl="1" w:tplc="F2F060C6">
      <w:start w:val="1"/>
      <w:numFmt w:val="decimal"/>
      <w:lvlText w:val="%2."/>
      <w:lvlJc w:val="left"/>
      <w:pPr>
        <w:tabs>
          <w:tab w:val="num" w:pos="1440"/>
        </w:tabs>
        <w:ind w:left="1440" w:hanging="720"/>
      </w:pPr>
    </w:lvl>
    <w:lvl w:ilvl="2" w:tplc="1408FE0E">
      <w:start w:val="1"/>
      <w:numFmt w:val="decimal"/>
      <w:lvlText w:val="%3."/>
      <w:lvlJc w:val="left"/>
      <w:pPr>
        <w:tabs>
          <w:tab w:val="num" w:pos="2160"/>
        </w:tabs>
        <w:ind w:left="2160" w:hanging="720"/>
      </w:pPr>
    </w:lvl>
    <w:lvl w:ilvl="3" w:tplc="F4864488">
      <w:start w:val="1"/>
      <w:numFmt w:val="decimal"/>
      <w:lvlText w:val="%4."/>
      <w:lvlJc w:val="left"/>
      <w:pPr>
        <w:tabs>
          <w:tab w:val="num" w:pos="2880"/>
        </w:tabs>
        <w:ind w:left="2880" w:hanging="720"/>
      </w:pPr>
    </w:lvl>
    <w:lvl w:ilvl="4" w:tplc="7A8E0B8A">
      <w:start w:val="1"/>
      <w:numFmt w:val="decimal"/>
      <w:lvlText w:val="%5."/>
      <w:lvlJc w:val="left"/>
      <w:pPr>
        <w:tabs>
          <w:tab w:val="num" w:pos="3600"/>
        </w:tabs>
        <w:ind w:left="3600" w:hanging="720"/>
      </w:pPr>
    </w:lvl>
    <w:lvl w:ilvl="5" w:tplc="0F2A2630">
      <w:start w:val="1"/>
      <w:numFmt w:val="decimal"/>
      <w:lvlText w:val="%6."/>
      <w:lvlJc w:val="left"/>
      <w:pPr>
        <w:tabs>
          <w:tab w:val="num" w:pos="4320"/>
        </w:tabs>
        <w:ind w:left="4320" w:hanging="720"/>
      </w:pPr>
    </w:lvl>
    <w:lvl w:ilvl="6" w:tplc="4670900A">
      <w:start w:val="1"/>
      <w:numFmt w:val="decimal"/>
      <w:lvlText w:val="%7."/>
      <w:lvlJc w:val="left"/>
      <w:pPr>
        <w:tabs>
          <w:tab w:val="num" w:pos="5040"/>
        </w:tabs>
        <w:ind w:left="5040" w:hanging="720"/>
      </w:pPr>
    </w:lvl>
    <w:lvl w:ilvl="7" w:tplc="65028C56">
      <w:start w:val="1"/>
      <w:numFmt w:val="decimal"/>
      <w:lvlText w:val="%8."/>
      <w:lvlJc w:val="left"/>
      <w:pPr>
        <w:tabs>
          <w:tab w:val="num" w:pos="5760"/>
        </w:tabs>
        <w:ind w:left="5760" w:hanging="720"/>
      </w:pPr>
    </w:lvl>
    <w:lvl w:ilvl="8" w:tplc="240EA728">
      <w:start w:val="1"/>
      <w:numFmt w:val="decimal"/>
      <w:lvlText w:val="%9."/>
      <w:lvlJc w:val="left"/>
      <w:pPr>
        <w:tabs>
          <w:tab w:val="num" w:pos="6480"/>
        </w:tabs>
        <w:ind w:left="6480" w:hanging="720"/>
      </w:pPr>
    </w:lvl>
  </w:abstractNum>
  <w:abstractNum w:abstractNumId="144" w15:restartNumberingAfterBreak="0">
    <w:nsid w:val="74D31029"/>
    <w:multiLevelType w:val="hybridMultilevel"/>
    <w:tmpl w:val="B080CDA2"/>
    <w:lvl w:ilvl="0" w:tplc="5AFA896A">
      <w:start w:val="1"/>
      <w:numFmt w:val="bullet"/>
      <w:pStyle w:val="Bullet1"/>
      <w:lvlText w:val=""/>
      <w:lvlJc w:val="left"/>
      <w:pPr>
        <w:ind w:left="720" w:hanging="360"/>
      </w:pPr>
      <w:rPr>
        <w:rFonts w:ascii="Symbol" w:hAnsi="Symbol" w:hint="default"/>
        <w:color w:val="002776"/>
        <w:sz w:val="22"/>
      </w:rPr>
    </w:lvl>
    <w:lvl w:ilvl="1" w:tplc="0EEE184E">
      <w:start w:val="1"/>
      <w:numFmt w:val="bullet"/>
      <w:lvlRestart w:val="0"/>
      <w:lvlText w:val=""/>
      <w:lvlJc w:val="left"/>
      <w:pPr>
        <w:tabs>
          <w:tab w:val="num" w:pos="1494"/>
        </w:tabs>
        <w:ind w:left="1494" w:hanging="567"/>
      </w:pPr>
      <w:rPr>
        <w:rFonts w:ascii="Wingdings 3" w:hAnsi="Wingdings 3" w:hint="default"/>
        <w:b/>
        <w:i w:val="0"/>
        <w:color w:val="931638"/>
        <w:sz w:val="24"/>
      </w:rPr>
    </w:lvl>
    <w:lvl w:ilvl="2" w:tplc="BCC21972">
      <w:start w:val="1"/>
      <w:numFmt w:val="bullet"/>
      <w:lvlText w:val="-"/>
      <w:lvlJc w:val="left"/>
      <w:pPr>
        <w:tabs>
          <w:tab w:val="num" w:pos="2061"/>
        </w:tabs>
        <w:ind w:left="2061" w:hanging="567"/>
      </w:pPr>
      <w:rPr>
        <w:rFonts w:ascii="Arial" w:hAnsi="Arial" w:hint="default"/>
        <w:color w:val="931638"/>
      </w:rPr>
    </w:lvl>
    <w:lvl w:ilvl="3" w:tplc="89A4CCD8">
      <w:start w:val="1"/>
      <w:numFmt w:val="decimal"/>
      <w:lvlText w:val="(%4)"/>
      <w:lvlJc w:val="left"/>
      <w:pPr>
        <w:tabs>
          <w:tab w:val="num" w:pos="9368"/>
        </w:tabs>
        <w:ind w:left="9368" w:hanging="360"/>
      </w:pPr>
      <w:rPr>
        <w:rFonts w:hint="default"/>
      </w:rPr>
    </w:lvl>
    <w:lvl w:ilvl="4" w:tplc="EFDC663C">
      <w:start w:val="1"/>
      <w:numFmt w:val="lowerLetter"/>
      <w:lvlText w:val="(%5)"/>
      <w:lvlJc w:val="left"/>
      <w:pPr>
        <w:tabs>
          <w:tab w:val="num" w:pos="2160"/>
        </w:tabs>
        <w:ind w:left="2160" w:hanging="360"/>
      </w:pPr>
      <w:rPr>
        <w:rFonts w:hint="default"/>
      </w:rPr>
    </w:lvl>
    <w:lvl w:ilvl="5" w:tplc="924AB004">
      <w:start w:val="1"/>
      <w:numFmt w:val="lowerRoman"/>
      <w:lvlText w:val="(%6)"/>
      <w:lvlJc w:val="left"/>
      <w:pPr>
        <w:tabs>
          <w:tab w:val="num" w:pos="2520"/>
        </w:tabs>
        <w:ind w:left="2520" w:hanging="360"/>
      </w:pPr>
      <w:rPr>
        <w:rFonts w:hint="default"/>
      </w:rPr>
    </w:lvl>
    <w:lvl w:ilvl="6" w:tplc="3BB27852">
      <w:start w:val="1"/>
      <w:numFmt w:val="decimal"/>
      <w:lvlText w:val="%7."/>
      <w:lvlJc w:val="left"/>
      <w:pPr>
        <w:tabs>
          <w:tab w:val="num" w:pos="2880"/>
        </w:tabs>
        <w:ind w:left="2880" w:hanging="360"/>
      </w:pPr>
      <w:rPr>
        <w:rFonts w:hint="default"/>
      </w:rPr>
    </w:lvl>
    <w:lvl w:ilvl="7" w:tplc="5F3ABE42">
      <w:start w:val="1"/>
      <w:numFmt w:val="lowerLetter"/>
      <w:lvlText w:val="%8."/>
      <w:lvlJc w:val="left"/>
      <w:pPr>
        <w:tabs>
          <w:tab w:val="num" w:pos="3240"/>
        </w:tabs>
        <w:ind w:left="3240" w:hanging="360"/>
      </w:pPr>
      <w:rPr>
        <w:rFonts w:hint="default"/>
      </w:rPr>
    </w:lvl>
    <w:lvl w:ilvl="8" w:tplc="9F449C08">
      <w:start w:val="1"/>
      <w:numFmt w:val="lowerRoman"/>
      <w:lvlText w:val="%9."/>
      <w:lvlJc w:val="left"/>
      <w:pPr>
        <w:tabs>
          <w:tab w:val="num" w:pos="3600"/>
        </w:tabs>
        <w:ind w:left="3600" w:hanging="360"/>
      </w:pPr>
      <w:rPr>
        <w:rFonts w:hint="default"/>
      </w:rPr>
    </w:lvl>
  </w:abstractNum>
  <w:abstractNum w:abstractNumId="145" w15:restartNumberingAfterBreak="0">
    <w:nsid w:val="75434BFF"/>
    <w:multiLevelType w:val="hybridMultilevel"/>
    <w:tmpl w:val="7B668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75C840D6"/>
    <w:multiLevelType w:val="hybridMultilevel"/>
    <w:tmpl w:val="0FBC1E5E"/>
    <w:lvl w:ilvl="0" w:tplc="95EC0DAA">
      <w:start w:val="8"/>
      <w:numFmt w:val="lowerRoman"/>
      <w:lvlText w:val="%1."/>
      <w:lvlJc w:val="right"/>
      <w:pPr>
        <w:tabs>
          <w:tab w:val="num" w:pos="720"/>
        </w:tabs>
        <w:ind w:left="720" w:hanging="360"/>
      </w:pPr>
    </w:lvl>
    <w:lvl w:ilvl="1" w:tplc="AD18E234" w:tentative="1">
      <w:start w:val="1"/>
      <w:numFmt w:val="lowerRoman"/>
      <w:lvlText w:val="%2."/>
      <w:lvlJc w:val="right"/>
      <w:pPr>
        <w:tabs>
          <w:tab w:val="num" w:pos="1440"/>
        </w:tabs>
        <w:ind w:left="1440" w:hanging="360"/>
      </w:pPr>
    </w:lvl>
    <w:lvl w:ilvl="2" w:tplc="812027C8" w:tentative="1">
      <w:start w:val="1"/>
      <w:numFmt w:val="lowerRoman"/>
      <w:lvlText w:val="%3."/>
      <w:lvlJc w:val="right"/>
      <w:pPr>
        <w:tabs>
          <w:tab w:val="num" w:pos="2160"/>
        </w:tabs>
        <w:ind w:left="2160" w:hanging="360"/>
      </w:pPr>
    </w:lvl>
    <w:lvl w:ilvl="3" w:tplc="8C400502" w:tentative="1">
      <w:start w:val="1"/>
      <w:numFmt w:val="lowerRoman"/>
      <w:lvlText w:val="%4."/>
      <w:lvlJc w:val="right"/>
      <w:pPr>
        <w:tabs>
          <w:tab w:val="num" w:pos="2880"/>
        </w:tabs>
        <w:ind w:left="2880" w:hanging="360"/>
      </w:pPr>
    </w:lvl>
    <w:lvl w:ilvl="4" w:tplc="7F6CAF14" w:tentative="1">
      <w:start w:val="1"/>
      <w:numFmt w:val="lowerRoman"/>
      <w:lvlText w:val="%5."/>
      <w:lvlJc w:val="right"/>
      <w:pPr>
        <w:tabs>
          <w:tab w:val="num" w:pos="3600"/>
        </w:tabs>
        <w:ind w:left="3600" w:hanging="360"/>
      </w:pPr>
    </w:lvl>
    <w:lvl w:ilvl="5" w:tplc="403A6434" w:tentative="1">
      <w:start w:val="1"/>
      <w:numFmt w:val="lowerRoman"/>
      <w:lvlText w:val="%6."/>
      <w:lvlJc w:val="right"/>
      <w:pPr>
        <w:tabs>
          <w:tab w:val="num" w:pos="4320"/>
        </w:tabs>
        <w:ind w:left="4320" w:hanging="360"/>
      </w:pPr>
    </w:lvl>
    <w:lvl w:ilvl="6" w:tplc="B666DC26" w:tentative="1">
      <w:start w:val="1"/>
      <w:numFmt w:val="lowerRoman"/>
      <w:lvlText w:val="%7."/>
      <w:lvlJc w:val="right"/>
      <w:pPr>
        <w:tabs>
          <w:tab w:val="num" w:pos="5040"/>
        </w:tabs>
        <w:ind w:left="5040" w:hanging="360"/>
      </w:pPr>
    </w:lvl>
    <w:lvl w:ilvl="7" w:tplc="45EAA2BE" w:tentative="1">
      <w:start w:val="1"/>
      <w:numFmt w:val="lowerRoman"/>
      <w:lvlText w:val="%8."/>
      <w:lvlJc w:val="right"/>
      <w:pPr>
        <w:tabs>
          <w:tab w:val="num" w:pos="5760"/>
        </w:tabs>
        <w:ind w:left="5760" w:hanging="360"/>
      </w:pPr>
    </w:lvl>
    <w:lvl w:ilvl="8" w:tplc="E7D449C8" w:tentative="1">
      <w:start w:val="1"/>
      <w:numFmt w:val="lowerRoman"/>
      <w:lvlText w:val="%9."/>
      <w:lvlJc w:val="right"/>
      <w:pPr>
        <w:tabs>
          <w:tab w:val="num" w:pos="6480"/>
        </w:tabs>
        <w:ind w:left="6480" w:hanging="360"/>
      </w:pPr>
    </w:lvl>
  </w:abstractNum>
  <w:abstractNum w:abstractNumId="147" w15:restartNumberingAfterBreak="0">
    <w:nsid w:val="76D51B3E"/>
    <w:multiLevelType w:val="hybridMultilevel"/>
    <w:tmpl w:val="A4FCF9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8" w15:restartNumberingAfterBreak="0">
    <w:nsid w:val="77D62DE2"/>
    <w:multiLevelType w:val="hybridMultilevel"/>
    <w:tmpl w:val="D40EA048"/>
    <w:lvl w:ilvl="0" w:tplc="C9B80AE6">
      <w:start w:val="2"/>
      <w:numFmt w:val="lowerLetter"/>
      <w:lvlText w:val="%1."/>
      <w:lvlJc w:val="left"/>
      <w:pPr>
        <w:tabs>
          <w:tab w:val="num" w:pos="720"/>
        </w:tabs>
        <w:ind w:left="720" w:hanging="360"/>
      </w:pPr>
    </w:lvl>
    <w:lvl w:ilvl="1" w:tplc="555E8E96" w:tentative="1">
      <w:start w:val="1"/>
      <w:numFmt w:val="lowerLetter"/>
      <w:lvlText w:val="%2."/>
      <w:lvlJc w:val="left"/>
      <w:pPr>
        <w:tabs>
          <w:tab w:val="num" w:pos="1440"/>
        </w:tabs>
        <w:ind w:left="1440" w:hanging="360"/>
      </w:pPr>
    </w:lvl>
    <w:lvl w:ilvl="2" w:tplc="ADD2C9C0" w:tentative="1">
      <w:start w:val="1"/>
      <w:numFmt w:val="lowerLetter"/>
      <w:lvlText w:val="%3."/>
      <w:lvlJc w:val="left"/>
      <w:pPr>
        <w:tabs>
          <w:tab w:val="num" w:pos="2160"/>
        </w:tabs>
        <w:ind w:left="2160" w:hanging="360"/>
      </w:pPr>
    </w:lvl>
    <w:lvl w:ilvl="3" w:tplc="475877DE" w:tentative="1">
      <w:start w:val="1"/>
      <w:numFmt w:val="lowerLetter"/>
      <w:lvlText w:val="%4."/>
      <w:lvlJc w:val="left"/>
      <w:pPr>
        <w:tabs>
          <w:tab w:val="num" w:pos="2880"/>
        </w:tabs>
        <w:ind w:left="2880" w:hanging="360"/>
      </w:pPr>
    </w:lvl>
    <w:lvl w:ilvl="4" w:tplc="DB4C7928" w:tentative="1">
      <w:start w:val="1"/>
      <w:numFmt w:val="lowerLetter"/>
      <w:lvlText w:val="%5."/>
      <w:lvlJc w:val="left"/>
      <w:pPr>
        <w:tabs>
          <w:tab w:val="num" w:pos="3600"/>
        </w:tabs>
        <w:ind w:left="3600" w:hanging="360"/>
      </w:pPr>
    </w:lvl>
    <w:lvl w:ilvl="5" w:tplc="536A93F4" w:tentative="1">
      <w:start w:val="1"/>
      <w:numFmt w:val="lowerLetter"/>
      <w:lvlText w:val="%6."/>
      <w:lvlJc w:val="left"/>
      <w:pPr>
        <w:tabs>
          <w:tab w:val="num" w:pos="4320"/>
        </w:tabs>
        <w:ind w:left="4320" w:hanging="360"/>
      </w:pPr>
    </w:lvl>
    <w:lvl w:ilvl="6" w:tplc="5B320600" w:tentative="1">
      <w:start w:val="1"/>
      <w:numFmt w:val="lowerLetter"/>
      <w:lvlText w:val="%7."/>
      <w:lvlJc w:val="left"/>
      <w:pPr>
        <w:tabs>
          <w:tab w:val="num" w:pos="5040"/>
        </w:tabs>
        <w:ind w:left="5040" w:hanging="360"/>
      </w:pPr>
    </w:lvl>
    <w:lvl w:ilvl="7" w:tplc="8C0E826A" w:tentative="1">
      <w:start w:val="1"/>
      <w:numFmt w:val="lowerLetter"/>
      <w:lvlText w:val="%8."/>
      <w:lvlJc w:val="left"/>
      <w:pPr>
        <w:tabs>
          <w:tab w:val="num" w:pos="5760"/>
        </w:tabs>
        <w:ind w:left="5760" w:hanging="360"/>
      </w:pPr>
    </w:lvl>
    <w:lvl w:ilvl="8" w:tplc="98766B1C" w:tentative="1">
      <w:start w:val="1"/>
      <w:numFmt w:val="lowerLetter"/>
      <w:lvlText w:val="%9."/>
      <w:lvlJc w:val="left"/>
      <w:pPr>
        <w:tabs>
          <w:tab w:val="num" w:pos="6480"/>
        </w:tabs>
        <w:ind w:left="6480" w:hanging="360"/>
      </w:pPr>
    </w:lvl>
  </w:abstractNum>
  <w:abstractNum w:abstractNumId="149" w15:restartNumberingAfterBreak="0">
    <w:nsid w:val="78970F6E"/>
    <w:multiLevelType w:val="hybridMultilevel"/>
    <w:tmpl w:val="4F34F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7AD345F2"/>
    <w:multiLevelType w:val="hybridMultilevel"/>
    <w:tmpl w:val="12D861E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1" w15:restartNumberingAfterBreak="0">
    <w:nsid w:val="7C885179"/>
    <w:multiLevelType w:val="hybridMultilevel"/>
    <w:tmpl w:val="983C9DAA"/>
    <w:lvl w:ilvl="0" w:tplc="0C090001">
      <w:start w:val="1"/>
      <w:numFmt w:val="bullet"/>
      <w:lvlText w:val=""/>
      <w:lvlJc w:val="left"/>
      <w:pPr>
        <w:ind w:left="972" w:hanging="360"/>
      </w:pPr>
      <w:rPr>
        <w:rFonts w:ascii="Symbol" w:hAnsi="Symbol" w:hint="default"/>
      </w:rPr>
    </w:lvl>
    <w:lvl w:ilvl="1" w:tplc="0C090003" w:tentative="1">
      <w:start w:val="1"/>
      <w:numFmt w:val="bullet"/>
      <w:lvlText w:val="o"/>
      <w:lvlJc w:val="left"/>
      <w:pPr>
        <w:ind w:left="1692" w:hanging="360"/>
      </w:pPr>
      <w:rPr>
        <w:rFonts w:ascii="Courier New" w:hAnsi="Courier New" w:cs="Courier New" w:hint="default"/>
      </w:rPr>
    </w:lvl>
    <w:lvl w:ilvl="2" w:tplc="0C090005" w:tentative="1">
      <w:start w:val="1"/>
      <w:numFmt w:val="bullet"/>
      <w:lvlText w:val=""/>
      <w:lvlJc w:val="left"/>
      <w:pPr>
        <w:ind w:left="2412" w:hanging="360"/>
      </w:pPr>
      <w:rPr>
        <w:rFonts w:ascii="Wingdings" w:hAnsi="Wingdings" w:hint="default"/>
      </w:rPr>
    </w:lvl>
    <w:lvl w:ilvl="3" w:tplc="0C090001" w:tentative="1">
      <w:start w:val="1"/>
      <w:numFmt w:val="bullet"/>
      <w:lvlText w:val=""/>
      <w:lvlJc w:val="left"/>
      <w:pPr>
        <w:ind w:left="3132" w:hanging="360"/>
      </w:pPr>
      <w:rPr>
        <w:rFonts w:ascii="Symbol" w:hAnsi="Symbol" w:hint="default"/>
      </w:rPr>
    </w:lvl>
    <w:lvl w:ilvl="4" w:tplc="0C090003" w:tentative="1">
      <w:start w:val="1"/>
      <w:numFmt w:val="bullet"/>
      <w:lvlText w:val="o"/>
      <w:lvlJc w:val="left"/>
      <w:pPr>
        <w:ind w:left="3852" w:hanging="360"/>
      </w:pPr>
      <w:rPr>
        <w:rFonts w:ascii="Courier New" w:hAnsi="Courier New" w:cs="Courier New" w:hint="default"/>
      </w:rPr>
    </w:lvl>
    <w:lvl w:ilvl="5" w:tplc="0C090005" w:tentative="1">
      <w:start w:val="1"/>
      <w:numFmt w:val="bullet"/>
      <w:lvlText w:val=""/>
      <w:lvlJc w:val="left"/>
      <w:pPr>
        <w:ind w:left="4572" w:hanging="360"/>
      </w:pPr>
      <w:rPr>
        <w:rFonts w:ascii="Wingdings" w:hAnsi="Wingdings" w:hint="default"/>
      </w:rPr>
    </w:lvl>
    <w:lvl w:ilvl="6" w:tplc="0C090001" w:tentative="1">
      <w:start w:val="1"/>
      <w:numFmt w:val="bullet"/>
      <w:lvlText w:val=""/>
      <w:lvlJc w:val="left"/>
      <w:pPr>
        <w:ind w:left="5292" w:hanging="360"/>
      </w:pPr>
      <w:rPr>
        <w:rFonts w:ascii="Symbol" w:hAnsi="Symbol" w:hint="default"/>
      </w:rPr>
    </w:lvl>
    <w:lvl w:ilvl="7" w:tplc="0C090003" w:tentative="1">
      <w:start w:val="1"/>
      <w:numFmt w:val="bullet"/>
      <w:lvlText w:val="o"/>
      <w:lvlJc w:val="left"/>
      <w:pPr>
        <w:ind w:left="6012" w:hanging="360"/>
      </w:pPr>
      <w:rPr>
        <w:rFonts w:ascii="Courier New" w:hAnsi="Courier New" w:cs="Courier New" w:hint="default"/>
      </w:rPr>
    </w:lvl>
    <w:lvl w:ilvl="8" w:tplc="0C090005" w:tentative="1">
      <w:start w:val="1"/>
      <w:numFmt w:val="bullet"/>
      <w:lvlText w:val=""/>
      <w:lvlJc w:val="left"/>
      <w:pPr>
        <w:ind w:left="6732" w:hanging="360"/>
      </w:pPr>
      <w:rPr>
        <w:rFonts w:ascii="Wingdings" w:hAnsi="Wingdings" w:hint="default"/>
      </w:rPr>
    </w:lvl>
  </w:abstractNum>
  <w:abstractNum w:abstractNumId="152" w15:restartNumberingAfterBreak="0">
    <w:nsid w:val="7CEA7CB6"/>
    <w:multiLevelType w:val="hybridMultilevel"/>
    <w:tmpl w:val="3F04F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7ECC21BE"/>
    <w:multiLevelType w:val="hybridMultilevel"/>
    <w:tmpl w:val="8A38E6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4"/>
  </w:num>
  <w:num w:numId="2">
    <w:abstractNumId w:val="3"/>
  </w:num>
  <w:num w:numId="3">
    <w:abstractNumId w:val="2"/>
  </w:num>
  <w:num w:numId="4">
    <w:abstractNumId w:val="1"/>
  </w:num>
  <w:num w:numId="5">
    <w:abstractNumId w:val="0"/>
  </w:num>
  <w:num w:numId="6">
    <w:abstractNumId w:val="94"/>
  </w:num>
  <w:num w:numId="7">
    <w:abstractNumId w:val="92"/>
  </w:num>
  <w:num w:numId="8">
    <w:abstractNumId w:val="122"/>
  </w:num>
  <w:num w:numId="9">
    <w:abstractNumId w:val="31"/>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89"/>
  </w:num>
  <w:num w:numId="13">
    <w:abstractNumId w:val="84"/>
  </w:num>
  <w:num w:numId="14">
    <w:abstractNumId w:val="124"/>
  </w:num>
  <w:num w:numId="15">
    <w:abstractNumId w:val="39"/>
  </w:num>
  <w:num w:numId="16">
    <w:abstractNumId w:val="144"/>
  </w:num>
  <w:num w:numId="17">
    <w:abstractNumId w:val="86"/>
  </w:num>
  <w:num w:numId="18">
    <w:abstractNumId w:val="113"/>
  </w:num>
  <w:num w:numId="19">
    <w:abstractNumId w:val="76"/>
  </w:num>
  <w:num w:numId="20">
    <w:abstractNumId w:val="22"/>
  </w:num>
  <w:num w:numId="21">
    <w:abstractNumId w:val="129"/>
  </w:num>
  <w:num w:numId="22">
    <w:abstractNumId w:val="45"/>
  </w:num>
  <w:num w:numId="23">
    <w:abstractNumId w:val="55"/>
  </w:num>
  <w:num w:numId="24">
    <w:abstractNumId w:val="127"/>
  </w:num>
  <w:num w:numId="25">
    <w:abstractNumId w:val="5"/>
  </w:num>
  <w:num w:numId="26">
    <w:abstractNumId w:val="81"/>
  </w:num>
  <w:num w:numId="27">
    <w:abstractNumId w:val="120"/>
  </w:num>
  <w:num w:numId="28">
    <w:abstractNumId w:val="28"/>
  </w:num>
  <w:num w:numId="29">
    <w:abstractNumId w:val="151"/>
  </w:num>
  <w:num w:numId="30">
    <w:abstractNumId w:val="26"/>
  </w:num>
  <w:num w:numId="31">
    <w:abstractNumId w:val="150"/>
  </w:num>
  <w:num w:numId="32">
    <w:abstractNumId w:val="60"/>
  </w:num>
  <w:num w:numId="33">
    <w:abstractNumId w:val="49"/>
  </w:num>
  <w:num w:numId="34">
    <w:abstractNumId w:val="96"/>
  </w:num>
  <w:num w:numId="35">
    <w:abstractNumId w:val="36"/>
  </w:num>
  <w:num w:numId="36">
    <w:abstractNumId w:val="38"/>
  </w:num>
  <w:num w:numId="37">
    <w:abstractNumId w:val="105"/>
  </w:num>
  <w:num w:numId="38">
    <w:abstractNumId w:val="14"/>
  </w:num>
  <w:num w:numId="39">
    <w:abstractNumId w:val="149"/>
  </w:num>
  <w:num w:numId="40">
    <w:abstractNumId w:val="153"/>
  </w:num>
  <w:num w:numId="41">
    <w:abstractNumId w:val="12"/>
  </w:num>
  <w:num w:numId="42">
    <w:abstractNumId w:val="11"/>
  </w:num>
  <w:num w:numId="43">
    <w:abstractNumId w:val="32"/>
  </w:num>
  <w:num w:numId="44">
    <w:abstractNumId w:val="52"/>
  </w:num>
  <w:num w:numId="45">
    <w:abstractNumId w:val="8"/>
  </w:num>
  <w:num w:numId="46">
    <w:abstractNumId w:val="95"/>
  </w:num>
  <w:num w:numId="47">
    <w:abstractNumId w:val="110"/>
  </w:num>
  <w:num w:numId="48">
    <w:abstractNumId w:val="78"/>
  </w:num>
  <w:num w:numId="49">
    <w:abstractNumId w:val="43"/>
  </w:num>
  <w:num w:numId="50">
    <w:abstractNumId w:val="112"/>
  </w:num>
  <w:num w:numId="51">
    <w:abstractNumId w:val="34"/>
  </w:num>
  <w:num w:numId="52">
    <w:abstractNumId w:val="128"/>
  </w:num>
  <w:num w:numId="53">
    <w:abstractNumId w:val="57"/>
  </w:num>
  <w:num w:numId="54">
    <w:abstractNumId w:val="108"/>
  </w:num>
  <w:num w:numId="55">
    <w:abstractNumId w:val="123"/>
  </w:num>
  <w:num w:numId="56">
    <w:abstractNumId w:val="82"/>
  </w:num>
  <w:num w:numId="57">
    <w:abstractNumId w:val="134"/>
  </w:num>
  <w:num w:numId="58">
    <w:abstractNumId w:val="4"/>
  </w:num>
  <w:num w:numId="59">
    <w:abstractNumId w:val="73"/>
  </w:num>
  <w:num w:numId="60">
    <w:abstractNumId w:val="80"/>
  </w:num>
  <w:num w:numId="61">
    <w:abstractNumId w:val="145"/>
  </w:num>
  <w:num w:numId="62">
    <w:abstractNumId w:val="125"/>
  </w:num>
  <w:num w:numId="63">
    <w:abstractNumId w:val="135"/>
  </w:num>
  <w:num w:numId="64">
    <w:abstractNumId w:val="27"/>
  </w:num>
  <w:num w:numId="65">
    <w:abstractNumId w:val="33"/>
  </w:num>
  <w:num w:numId="6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31"/>
  </w:num>
  <w:num w:numId="103">
    <w:abstractNumId w:val="68"/>
  </w:num>
  <w:num w:numId="104">
    <w:abstractNumId w:val="41"/>
  </w:num>
  <w:num w:numId="105">
    <w:abstractNumId w:val="140"/>
  </w:num>
  <w:num w:numId="106">
    <w:abstractNumId w:val="1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4"/>
  </w:num>
  <w:num w:numId="108">
    <w:abstractNumId w:val="73"/>
  </w:num>
  <w:num w:numId="109">
    <w:abstractNumId w:val="73"/>
  </w:num>
  <w:num w:numId="110">
    <w:abstractNumId w:val="73"/>
  </w:num>
  <w:num w:numId="111">
    <w:abstractNumId w:val="97"/>
  </w:num>
  <w:num w:numId="112">
    <w:abstractNumId w:val="73"/>
  </w:num>
  <w:num w:numId="113">
    <w:abstractNumId w:val="115"/>
  </w:num>
  <w:num w:numId="114">
    <w:abstractNumId w:val="29"/>
  </w:num>
  <w:num w:numId="115">
    <w:abstractNumId w:val="99"/>
  </w:num>
  <w:num w:numId="116">
    <w:abstractNumId w:val="73"/>
  </w:num>
  <w:num w:numId="117">
    <w:abstractNumId w:val="93"/>
  </w:num>
  <w:num w:numId="118">
    <w:abstractNumId w:val="73"/>
  </w:num>
  <w:num w:numId="119">
    <w:abstractNumId w:val="73"/>
  </w:num>
  <w:num w:numId="120">
    <w:abstractNumId w:val="99"/>
  </w:num>
  <w:num w:numId="121">
    <w:abstractNumId w:val="73"/>
  </w:num>
  <w:num w:numId="122">
    <w:abstractNumId w:val="107"/>
  </w:num>
  <w:num w:numId="123">
    <w:abstractNumId w:val="139"/>
  </w:num>
  <w:num w:numId="124">
    <w:abstractNumId w:val="58"/>
  </w:num>
  <w:num w:numId="12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33"/>
  </w:num>
  <w:num w:numId="127">
    <w:abstractNumId w:val="117"/>
  </w:num>
  <w:num w:numId="12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3"/>
  </w:num>
  <w:num w:numId="131">
    <w:abstractNumId w:val="66"/>
  </w:num>
  <w:num w:numId="132">
    <w:abstractNumId w:val="24"/>
  </w:num>
  <w:num w:numId="1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43"/>
  </w:num>
  <w:num w:numId="135">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74"/>
  </w:num>
  <w:num w:numId="137">
    <w:abstractNumId w:val="1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1"/>
  </w:num>
  <w:num w:numId="140">
    <w:abstractNumId w:val="50"/>
  </w:num>
  <w:num w:numId="141">
    <w:abstractNumId w:val="67"/>
  </w:num>
  <w:num w:numId="142">
    <w:abstractNumId w:val="75"/>
  </w:num>
  <w:num w:numId="143">
    <w:abstractNumId w:val="90"/>
  </w:num>
  <w:num w:numId="144">
    <w:abstractNumId w:val="73"/>
  </w:num>
  <w:num w:numId="145">
    <w:abstractNumId w:val="73"/>
  </w:num>
  <w:num w:numId="146">
    <w:abstractNumId w:val="73"/>
  </w:num>
  <w:num w:numId="147">
    <w:abstractNumId w:val="73"/>
  </w:num>
  <w:num w:numId="148">
    <w:abstractNumId w:val="73"/>
  </w:num>
  <w:num w:numId="149">
    <w:abstractNumId w:val="73"/>
  </w:num>
  <w:num w:numId="150">
    <w:abstractNumId w:val="87"/>
  </w:num>
  <w:num w:numId="151">
    <w:abstractNumId w:val="87"/>
  </w:num>
  <w:num w:numId="152">
    <w:abstractNumId w:val="87"/>
  </w:num>
  <w:num w:numId="153">
    <w:abstractNumId w:val="87"/>
  </w:num>
  <w:num w:numId="154">
    <w:abstractNumId w:val="87"/>
  </w:num>
  <w:num w:numId="155">
    <w:abstractNumId w:val="87"/>
  </w:num>
  <w:num w:numId="156">
    <w:abstractNumId w:val="87"/>
  </w:num>
  <w:num w:numId="157">
    <w:abstractNumId w:val="118"/>
  </w:num>
  <w:num w:numId="1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37"/>
  </w:num>
  <w:num w:numId="160">
    <w:abstractNumId w:val="152"/>
  </w:num>
  <w:num w:numId="161">
    <w:abstractNumId w:val="9"/>
  </w:num>
  <w:num w:numId="162">
    <w:abstractNumId w:val="30"/>
  </w:num>
  <w:num w:numId="163">
    <w:abstractNumId w:val="59"/>
  </w:num>
  <w:num w:numId="164">
    <w:abstractNumId w:val="51"/>
  </w:num>
  <w:num w:numId="165">
    <w:abstractNumId w:val="72"/>
  </w:num>
  <w:num w:numId="166">
    <w:abstractNumId w:val="87"/>
  </w:num>
  <w:num w:numId="167">
    <w:abstractNumId w:val="114"/>
  </w:num>
  <w:num w:numId="168">
    <w:abstractNumId w:val="56"/>
  </w:num>
  <w:num w:numId="169">
    <w:abstractNumId w:val="98"/>
  </w:num>
  <w:num w:numId="170">
    <w:abstractNumId w:val="18"/>
  </w:num>
  <w:num w:numId="171">
    <w:abstractNumId w:val="35"/>
  </w:num>
  <w:num w:numId="172">
    <w:abstractNumId w:val="20"/>
  </w:num>
  <w:num w:numId="173">
    <w:abstractNumId w:val="136"/>
  </w:num>
  <w:num w:numId="174">
    <w:abstractNumId w:val="64"/>
  </w:num>
  <w:num w:numId="175">
    <w:abstractNumId w:val="130"/>
  </w:num>
  <w:num w:numId="176">
    <w:abstractNumId w:val="109"/>
  </w:num>
  <w:num w:numId="177">
    <w:abstractNumId w:val="20"/>
  </w:num>
  <w:num w:numId="178">
    <w:abstractNumId w:val="20"/>
  </w:num>
  <w:num w:numId="179">
    <w:abstractNumId w:val="20"/>
  </w:num>
  <w:num w:numId="180">
    <w:abstractNumId w:val="20"/>
  </w:num>
  <w:num w:numId="181">
    <w:abstractNumId w:val="20"/>
  </w:num>
  <w:num w:numId="182">
    <w:abstractNumId w:val="20"/>
  </w:num>
  <w:num w:numId="183">
    <w:abstractNumId w:val="20"/>
  </w:num>
  <w:num w:numId="184">
    <w:abstractNumId w:val="20"/>
  </w:num>
  <w:num w:numId="185">
    <w:abstractNumId w:val="20"/>
  </w:num>
  <w:num w:numId="186">
    <w:abstractNumId w:val="20"/>
  </w:num>
  <w:num w:numId="187">
    <w:abstractNumId w:val="20"/>
  </w:num>
  <w:num w:numId="188">
    <w:abstractNumId w:val="20"/>
  </w:num>
  <w:num w:numId="189">
    <w:abstractNumId w:val="20"/>
  </w:num>
  <w:num w:numId="190">
    <w:abstractNumId w:val="20"/>
  </w:num>
  <w:num w:numId="191">
    <w:abstractNumId w:val="20"/>
  </w:num>
  <w:num w:numId="192">
    <w:abstractNumId w:val="20"/>
  </w:num>
  <w:num w:numId="193">
    <w:abstractNumId w:val="20"/>
  </w:num>
  <w:num w:numId="194">
    <w:abstractNumId w:val="20"/>
  </w:num>
  <w:num w:numId="195">
    <w:abstractNumId w:val="20"/>
  </w:num>
  <w:num w:numId="196">
    <w:abstractNumId w:val="20"/>
  </w:num>
  <w:num w:numId="197">
    <w:abstractNumId w:val="20"/>
  </w:num>
  <w:num w:numId="198">
    <w:abstractNumId w:val="20"/>
  </w:num>
  <w:num w:numId="199">
    <w:abstractNumId w:val="20"/>
  </w:num>
  <w:num w:numId="200">
    <w:abstractNumId w:val="20"/>
  </w:num>
  <w:num w:numId="201">
    <w:abstractNumId w:val="20"/>
  </w:num>
  <w:num w:numId="202">
    <w:abstractNumId w:val="20"/>
  </w:num>
  <w:num w:numId="203">
    <w:abstractNumId w:val="20"/>
  </w:num>
  <w:num w:numId="204">
    <w:abstractNumId w:val="20"/>
  </w:num>
  <w:num w:numId="205">
    <w:abstractNumId w:val="20"/>
  </w:num>
  <w:num w:numId="206">
    <w:abstractNumId w:val="20"/>
  </w:num>
  <w:num w:numId="207">
    <w:abstractNumId w:val="20"/>
  </w:num>
  <w:num w:numId="208">
    <w:abstractNumId w:val="20"/>
  </w:num>
  <w:num w:numId="209">
    <w:abstractNumId w:val="20"/>
  </w:num>
  <w:num w:numId="210">
    <w:abstractNumId w:val="20"/>
  </w:num>
  <w:num w:numId="211">
    <w:abstractNumId w:val="20"/>
  </w:num>
  <w:num w:numId="212">
    <w:abstractNumId w:val="20"/>
  </w:num>
  <w:num w:numId="213">
    <w:abstractNumId w:val="20"/>
  </w:num>
  <w:num w:numId="214">
    <w:abstractNumId w:val="20"/>
  </w:num>
  <w:num w:numId="215">
    <w:abstractNumId w:val="20"/>
  </w:num>
  <w:num w:numId="216">
    <w:abstractNumId w:val="20"/>
  </w:num>
  <w:num w:numId="217">
    <w:abstractNumId w:val="20"/>
  </w:num>
  <w:num w:numId="218">
    <w:abstractNumId w:val="20"/>
  </w:num>
  <w:num w:numId="219">
    <w:abstractNumId w:val="20"/>
  </w:num>
  <w:num w:numId="220">
    <w:abstractNumId w:val="20"/>
  </w:num>
  <w:num w:numId="221">
    <w:abstractNumId w:val="20"/>
  </w:num>
  <w:num w:numId="222">
    <w:abstractNumId w:val="20"/>
  </w:num>
  <w:num w:numId="223">
    <w:abstractNumId w:val="25"/>
  </w:num>
  <w:num w:numId="224">
    <w:abstractNumId w:val="65"/>
  </w:num>
  <w:num w:numId="225">
    <w:abstractNumId w:val="69"/>
  </w:num>
  <w:num w:numId="226">
    <w:abstractNumId w:val="53"/>
  </w:num>
  <w:num w:numId="227">
    <w:abstractNumId w:val="121"/>
  </w:num>
  <w:num w:numId="228">
    <w:abstractNumId w:val="141"/>
  </w:num>
  <w:num w:numId="229">
    <w:abstractNumId w:val="19"/>
  </w:num>
  <w:num w:numId="230">
    <w:abstractNumId w:val="48"/>
  </w:num>
  <w:num w:numId="231">
    <w:abstractNumId w:val="71"/>
  </w:num>
  <w:num w:numId="232">
    <w:abstractNumId w:val="63"/>
  </w:num>
  <w:num w:numId="233">
    <w:abstractNumId w:val="70"/>
  </w:num>
  <w:num w:numId="234">
    <w:abstractNumId w:val="126"/>
  </w:num>
  <w:num w:numId="235">
    <w:abstractNumId w:val="106"/>
  </w:num>
  <w:num w:numId="236">
    <w:abstractNumId w:val="88"/>
  </w:num>
  <w:num w:numId="237">
    <w:abstractNumId w:val="102"/>
  </w:num>
  <w:num w:numId="238">
    <w:abstractNumId w:val="132"/>
  </w:num>
  <w:num w:numId="239">
    <w:abstractNumId w:val="46"/>
  </w:num>
  <w:num w:numId="240">
    <w:abstractNumId w:val="37"/>
  </w:num>
  <w:num w:numId="241">
    <w:abstractNumId w:val="47"/>
  </w:num>
  <w:num w:numId="242">
    <w:abstractNumId w:val="15"/>
  </w:num>
  <w:num w:numId="243">
    <w:abstractNumId w:val="23"/>
  </w:num>
  <w:num w:numId="244">
    <w:abstractNumId w:val="103"/>
  </w:num>
  <w:num w:numId="245">
    <w:abstractNumId w:val="146"/>
  </w:num>
  <w:num w:numId="246">
    <w:abstractNumId w:val="6"/>
  </w:num>
  <w:num w:numId="247">
    <w:abstractNumId w:val="148"/>
  </w:num>
  <w:num w:numId="248">
    <w:abstractNumId w:val="119"/>
  </w:num>
  <w:num w:numId="249">
    <w:abstractNumId w:val="17"/>
  </w:num>
  <w:num w:numId="250">
    <w:abstractNumId w:val="101"/>
  </w:num>
  <w:num w:numId="251">
    <w:abstractNumId w:val="79"/>
  </w:num>
  <w:num w:numId="252">
    <w:abstractNumId w:val="83"/>
  </w:num>
  <w:num w:numId="253">
    <w:abstractNumId w:val="62"/>
  </w:num>
  <w:num w:numId="254">
    <w:abstractNumId w:val="16"/>
  </w:num>
  <w:num w:numId="255">
    <w:abstractNumId w:val="116"/>
  </w:num>
  <w:num w:numId="256">
    <w:abstractNumId w:val="77"/>
  </w:num>
  <w:num w:numId="257">
    <w:abstractNumId w:val="40"/>
  </w:num>
  <w:num w:numId="258">
    <w:abstractNumId w:val="42"/>
  </w:num>
  <w:num w:numId="259">
    <w:abstractNumId w:val="147"/>
  </w:num>
  <w:num w:numId="260">
    <w:abstractNumId w:val="85"/>
  </w:num>
  <w:num w:numId="261">
    <w:abstractNumId w:val="142"/>
  </w:num>
  <w:num w:numId="262">
    <w:abstractNumId w:val="20"/>
  </w:num>
  <w:num w:numId="263">
    <w:abstractNumId w:val="20"/>
    <w:lvlOverride w:ilvl="0">
      <w:startOverride w:val="6"/>
    </w:lvlOverride>
    <w:lvlOverride w:ilvl="1"/>
  </w:num>
  <w:num w:numId="264">
    <w:abstractNumId w:val="20"/>
    <w:lvlOverride w:ilvl="0">
      <w:startOverride w:val="6"/>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00"/>
  </w:num>
  <w:num w:numId="266">
    <w:abstractNumId w:val="111"/>
  </w:num>
  <w:num w:numId="267">
    <w:abstractNumId w:val="61"/>
  </w:num>
  <w:num w:numId="268">
    <w:abstractNumId w:val="13"/>
  </w:num>
  <w:num w:numId="269">
    <w:abstractNumId w:val="10"/>
  </w:num>
  <w:numIdMacAtCleanup w:val="2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da-DK" w:vendorID="64" w:dllVersion="0" w:nlCheck="1" w:checkStyle="0"/>
  <w:activeWritingStyle w:appName="MSWord" w:lang="en-GB" w:vendorID="64" w:dllVersion="0" w:nlCheck="1" w:checkStyle="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0AB"/>
    <w:rsid w:val="0000020F"/>
    <w:rsid w:val="00000282"/>
    <w:rsid w:val="00000468"/>
    <w:rsid w:val="000004C6"/>
    <w:rsid w:val="00000520"/>
    <w:rsid w:val="0000054E"/>
    <w:rsid w:val="000005FE"/>
    <w:rsid w:val="000006B2"/>
    <w:rsid w:val="000006D5"/>
    <w:rsid w:val="00000A84"/>
    <w:rsid w:val="00000B80"/>
    <w:rsid w:val="00000E35"/>
    <w:rsid w:val="0000142E"/>
    <w:rsid w:val="00001463"/>
    <w:rsid w:val="000015A3"/>
    <w:rsid w:val="000015A4"/>
    <w:rsid w:val="000015BA"/>
    <w:rsid w:val="00001631"/>
    <w:rsid w:val="000016AD"/>
    <w:rsid w:val="0000183C"/>
    <w:rsid w:val="00001924"/>
    <w:rsid w:val="00001A93"/>
    <w:rsid w:val="00001B97"/>
    <w:rsid w:val="00001C29"/>
    <w:rsid w:val="00001CEA"/>
    <w:rsid w:val="00001E2D"/>
    <w:rsid w:val="00001E7E"/>
    <w:rsid w:val="00001FC8"/>
    <w:rsid w:val="00002343"/>
    <w:rsid w:val="0000254E"/>
    <w:rsid w:val="000025D6"/>
    <w:rsid w:val="00002991"/>
    <w:rsid w:val="00002A24"/>
    <w:rsid w:val="00002A39"/>
    <w:rsid w:val="00002CD8"/>
    <w:rsid w:val="00003229"/>
    <w:rsid w:val="000032AC"/>
    <w:rsid w:val="0000382C"/>
    <w:rsid w:val="00003849"/>
    <w:rsid w:val="00003914"/>
    <w:rsid w:val="0000394C"/>
    <w:rsid w:val="00003E4E"/>
    <w:rsid w:val="000040FA"/>
    <w:rsid w:val="00004131"/>
    <w:rsid w:val="0000441B"/>
    <w:rsid w:val="0000469B"/>
    <w:rsid w:val="000046DF"/>
    <w:rsid w:val="000048F1"/>
    <w:rsid w:val="00004C4D"/>
    <w:rsid w:val="00004D07"/>
    <w:rsid w:val="00004D76"/>
    <w:rsid w:val="000051CF"/>
    <w:rsid w:val="000053BE"/>
    <w:rsid w:val="000053D2"/>
    <w:rsid w:val="00005588"/>
    <w:rsid w:val="00005708"/>
    <w:rsid w:val="00005939"/>
    <w:rsid w:val="00005A9B"/>
    <w:rsid w:val="00005D52"/>
    <w:rsid w:val="00005D93"/>
    <w:rsid w:val="00005E81"/>
    <w:rsid w:val="0000602E"/>
    <w:rsid w:val="000061DC"/>
    <w:rsid w:val="000061FA"/>
    <w:rsid w:val="000062EE"/>
    <w:rsid w:val="00006364"/>
    <w:rsid w:val="000063C9"/>
    <w:rsid w:val="000063CC"/>
    <w:rsid w:val="00006715"/>
    <w:rsid w:val="000068D8"/>
    <w:rsid w:val="000069D7"/>
    <w:rsid w:val="00006C21"/>
    <w:rsid w:val="00006E85"/>
    <w:rsid w:val="000071A1"/>
    <w:rsid w:val="00007252"/>
    <w:rsid w:val="000076B4"/>
    <w:rsid w:val="000076BB"/>
    <w:rsid w:val="000076C9"/>
    <w:rsid w:val="0000791B"/>
    <w:rsid w:val="000079CF"/>
    <w:rsid w:val="000079FC"/>
    <w:rsid w:val="00007A02"/>
    <w:rsid w:val="00007CFE"/>
    <w:rsid w:val="000100DA"/>
    <w:rsid w:val="000101B3"/>
    <w:rsid w:val="000105C6"/>
    <w:rsid w:val="00010691"/>
    <w:rsid w:val="0001075F"/>
    <w:rsid w:val="00010ECB"/>
    <w:rsid w:val="00010FD7"/>
    <w:rsid w:val="000112D8"/>
    <w:rsid w:val="000112E6"/>
    <w:rsid w:val="000115B0"/>
    <w:rsid w:val="000115B9"/>
    <w:rsid w:val="000115F5"/>
    <w:rsid w:val="000116B0"/>
    <w:rsid w:val="00011949"/>
    <w:rsid w:val="0001197C"/>
    <w:rsid w:val="00011989"/>
    <w:rsid w:val="00011AE5"/>
    <w:rsid w:val="00011B78"/>
    <w:rsid w:val="00012037"/>
    <w:rsid w:val="00012069"/>
    <w:rsid w:val="0001208C"/>
    <w:rsid w:val="00012168"/>
    <w:rsid w:val="00012407"/>
    <w:rsid w:val="000124BF"/>
    <w:rsid w:val="0001257F"/>
    <w:rsid w:val="000128AF"/>
    <w:rsid w:val="0001299D"/>
    <w:rsid w:val="00012C93"/>
    <w:rsid w:val="00012D4D"/>
    <w:rsid w:val="00012EF2"/>
    <w:rsid w:val="00012F5A"/>
    <w:rsid w:val="00012F72"/>
    <w:rsid w:val="00012FA0"/>
    <w:rsid w:val="000131A3"/>
    <w:rsid w:val="000132C3"/>
    <w:rsid w:val="00013357"/>
    <w:rsid w:val="00013456"/>
    <w:rsid w:val="000134BA"/>
    <w:rsid w:val="0001372A"/>
    <w:rsid w:val="000137D0"/>
    <w:rsid w:val="00013994"/>
    <w:rsid w:val="00013A90"/>
    <w:rsid w:val="00013B77"/>
    <w:rsid w:val="00013CD2"/>
    <w:rsid w:val="00013E83"/>
    <w:rsid w:val="00013EA5"/>
    <w:rsid w:val="00013EBB"/>
    <w:rsid w:val="00013ECB"/>
    <w:rsid w:val="000141B2"/>
    <w:rsid w:val="0001442F"/>
    <w:rsid w:val="00014779"/>
    <w:rsid w:val="000148F3"/>
    <w:rsid w:val="00014973"/>
    <w:rsid w:val="00014B86"/>
    <w:rsid w:val="00014B89"/>
    <w:rsid w:val="00014C5B"/>
    <w:rsid w:val="00014CC7"/>
    <w:rsid w:val="00014DFA"/>
    <w:rsid w:val="00014E5D"/>
    <w:rsid w:val="000152A5"/>
    <w:rsid w:val="000152AE"/>
    <w:rsid w:val="00015397"/>
    <w:rsid w:val="000153A7"/>
    <w:rsid w:val="0001570B"/>
    <w:rsid w:val="00015A2F"/>
    <w:rsid w:val="00015A8A"/>
    <w:rsid w:val="00015CB1"/>
    <w:rsid w:val="00015D4D"/>
    <w:rsid w:val="00015D6A"/>
    <w:rsid w:val="000160C6"/>
    <w:rsid w:val="00016212"/>
    <w:rsid w:val="00016303"/>
    <w:rsid w:val="0001651A"/>
    <w:rsid w:val="000165BB"/>
    <w:rsid w:val="000169A3"/>
    <w:rsid w:val="00016B2D"/>
    <w:rsid w:val="00016BC9"/>
    <w:rsid w:val="00016C0E"/>
    <w:rsid w:val="00016CD1"/>
    <w:rsid w:val="00016E6D"/>
    <w:rsid w:val="00016E79"/>
    <w:rsid w:val="00016EFB"/>
    <w:rsid w:val="00017098"/>
    <w:rsid w:val="000173B3"/>
    <w:rsid w:val="000174D8"/>
    <w:rsid w:val="00017518"/>
    <w:rsid w:val="00017839"/>
    <w:rsid w:val="000178C7"/>
    <w:rsid w:val="000178CD"/>
    <w:rsid w:val="00017B4C"/>
    <w:rsid w:val="00020006"/>
    <w:rsid w:val="000201B4"/>
    <w:rsid w:val="000201B7"/>
    <w:rsid w:val="00020240"/>
    <w:rsid w:val="00020297"/>
    <w:rsid w:val="0002029E"/>
    <w:rsid w:val="000202AD"/>
    <w:rsid w:val="00020414"/>
    <w:rsid w:val="000205EF"/>
    <w:rsid w:val="000206F4"/>
    <w:rsid w:val="000207F0"/>
    <w:rsid w:val="0002098A"/>
    <w:rsid w:val="000209D1"/>
    <w:rsid w:val="00020CDF"/>
    <w:rsid w:val="00020D44"/>
    <w:rsid w:val="00020E91"/>
    <w:rsid w:val="00020F84"/>
    <w:rsid w:val="00020FC6"/>
    <w:rsid w:val="00021115"/>
    <w:rsid w:val="00021375"/>
    <w:rsid w:val="000215DF"/>
    <w:rsid w:val="0002161C"/>
    <w:rsid w:val="00021A39"/>
    <w:rsid w:val="00021AA3"/>
    <w:rsid w:val="00021C1C"/>
    <w:rsid w:val="00022088"/>
    <w:rsid w:val="00022091"/>
    <w:rsid w:val="000221BC"/>
    <w:rsid w:val="00022495"/>
    <w:rsid w:val="0002251A"/>
    <w:rsid w:val="00022657"/>
    <w:rsid w:val="00022896"/>
    <w:rsid w:val="000229A5"/>
    <w:rsid w:val="000229C5"/>
    <w:rsid w:val="00022A1D"/>
    <w:rsid w:val="00022DE2"/>
    <w:rsid w:val="00022EE7"/>
    <w:rsid w:val="00022F80"/>
    <w:rsid w:val="000231A2"/>
    <w:rsid w:val="000232EA"/>
    <w:rsid w:val="000233A1"/>
    <w:rsid w:val="000233C2"/>
    <w:rsid w:val="000237BB"/>
    <w:rsid w:val="0002396E"/>
    <w:rsid w:val="00023AD0"/>
    <w:rsid w:val="00023BD5"/>
    <w:rsid w:val="00023E7E"/>
    <w:rsid w:val="00023FC4"/>
    <w:rsid w:val="00024096"/>
    <w:rsid w:val="000244D5"/>
    <w:rsid w:val="00024615"/>
    <w:rsid w:val="00024824"/>
    <w:rsid w:val="00024D95"/>
    <w:rsid w:val="00024F0C"/>
    <w:rsid w:val="000250BC"/>
    <w:rsid w:val="000250CC"/>
    <w:rsid w:val="00025262"/>
    <w:rsid w:val="00025305"/>
    <w:rsid w:val="000253EA"/>
    <w:rsid w:val="00025478"/>
    <w:rsid w:val="00025605"/>
    <w:rsid w:val="000257BE"/>
    <w:rsid w:val="000258E9"/>
    <w:rsid w:val="00025A45"/>
    <w:rsid w:val="00025C0B"/>
    <w:rsid w:val="00025D1C"/>
    <w:rsid w:val="00025E4B"/>
    <w:rsid w:val="00025E7D"/>
    <w:rsid w:val="00025F64"/>
    <w:rsid w:val="00026159"/>
    <w:rsid w:val="000261EE"/>
    <w:rsid w:val="000264CB"/>
    <w:rsid w:val="000266A6"/>
    <w:rsid w:val="000266BC"/>
    <w:rsid w:val="00026880"/>
    <w:rsid w:val="00026B9B"/>
    <w:rsid w:val="00026CE9"/>
    <w:rsid w:val="00026DB5"/>
    <w:rsid w:val="00027202"/>
    <w:rsid w:val="0002725C"/>
    <w:rsid w:val="0002744A"/>
    <w:rsid w:val="00027641"/>
    <w:rsid w:val="000276F0"/>
    <w:rsid w:val="000277AE"/>
    <w:rsid w:val="000278A5"/>
    <w:rsid w:val="00027B33"/>
    <w:rsid w:val="00027D0C"/>
    <w:rsid w:val="00027E10"/>
    <w:rsid w:val="00027E5A"/>
    <w:rsid w:val="00030024"/>
    <w:rsid w:val="000300C3"/>
    <w:rsid w:val="00030421"/>
    <w:rsid w:val="000307D1"/>
    <w:rsid w:val="00030A27"/>
    <w:rsid w:val="00030C47"/>
    <w:rsid w:val="00030E3D"/>
    <w:rsid w:val="00030EB1"/>
    <w:rsid w:val="00030F6E"/>
    <w:rsid w:val="00030F73"/>
    <w:rsid w:val="00031008"/>
    <w:rsid w:val="00031189"/>
    <w:rsid w:val="000311E7"/>
    <w:rsid w:val="000312E8"/>
    <w:rsid w:val="00031441"/>
    <w:rsid w:val="00031488"/>
    <w:rsid w:val="0003149D"/>
    <w:rsid w:val="000319EA"/>
    <w:rsid w:val="00031A3C"/>
    <w:rsid w:val="00031BBA"/>
    <w:rsid w:val="00031D57"/>
    <w:rsid w:val="00031E90"/>
    <w:rsid w:val="00031F08"/>
    <w:rsid w:val="00032072"/>
    <w:rsid w:val="00032087"/>
    <w:rsid w:val="000321B9"/>
    <w:rsid w:val="00032306"/>
    <w:rsid w:val="0003290F"/>
    <w:rsid w:val="000329B5"/>
    <w:rsid w:val="00033269"/>
    <w:rsid w:val="0003335B"/>
    <w:rsid w:val="00033518"/>
    <w:rsid w:val="0003351C"/>
    <w:rsid w:val="00033578"/>
    <w:rsid w:val="000339E5"/>
    <w:rsid w:val="00033A34"/>
    <w:rsid w:val="00033AF8"/>
    <w:rsid w:val="00033F71"/>
    <w:rsid w:val="00034216"/>
    <w:rsid w:val="00034336"/>
    <w:rsid w:val="000346AB"/>
    <w:rsid w:val="00034760"/>
    <w:rsid w:val="00034A70"/>
    <w:rsid w:val="00034CD1"/>
    <w:rsid w:val="00034E03"/>
    <w:rsid w:val="000350A4"/>
    <w:rsid w:val="00035305"/>
    <w:rsid w:val="0003537A"/>
    <w:rsid w:val="0003563C"/>
    <w:rsid w:val="00035696"/>
    <w:rsid w:val="00035BEC"/>
    <w:rsid w:val="00035DA0"/>
    <w:rsid w:val="00035DBA"/>
    <w:rsid w:val="00035DD3"/>
    <w:rsid w:val="0003603F"/>
    <w:rsid w:val="0003617F"/>
    <w:rsid w:val="0003622C"/>
    <w:rsid w:val="000363B0"/>
    <w:rsid w:val="000365BD"/>
    <w:rsid w:val="00036649"/>
    <w:rsid w:val="000368BE"/>
    <w:rsid w:val="00036AF3"/>
    <w:rsid w:val="00036BAD"/>
    <w:rsid w:val="00036CA0"/>
    <w:rsid w:val="00036CBC"/>
    <w:rsid w:val="00036D58"/>
    <w:rsid w:val="0003717F"/>
    <w:rsid w:val="0003719B"/>
    <w:rsid w:val="00037296"/>
    <w:rsid w:val="000373C8"/>
    <w:rsid w:val="00037546"/>
    <w:rsid w:val="00037A99"/>
    <w:rsid w:val="00037C17"/>
    <w:rsid w:val="00037CC1"/>
    <w:rsid w:val="00037E01"/>
    <w:rsid w:val="000400CC"/>
    <w:rsid w:val="000402EC"/>
    <w:rsid w:val="000404B2"/>
    <w:rsid w:val="000404DA"/>
    <w:rsid w:val="00040754"/>
    <w:rsid w:val="000407A9"/>
    <w:rsid w:val="00040AB0"/>
    <w:rsid w:val="00040BD9"/>
    <w:rsid w:val="00040CF9"/>
    <w:rsid w:val="00040F0E"/>
    <w:rsid w:val="000412DF"/>
    <w:rsid w:val="0004135F"/>
    <w:rsid w:val="00041707"/>
    <w:rsid w:val="000418B4"/>
    <w:rsid w:val="000418F2"/>
    <w:rsid w:val="000419B3"/>
    <w:rsid w:val="000419B5"/>
    <w:rsid w:val="00041C98"/>
    <w:rsid w:val="00041D2E"/>
    <w:rsid w:val="00041DB4"/>
    <w:rsid w:val="00041DF7"/>
    <w:rsid w:val="00042008"/>
    <w:rsid w:val="000420D6"/>
    <w:rsid w:val="00042216"/>
    <w:rsid w:val="00042242"/>
    <w:rsid w:val="00042290"/>
    <w:rsid w:val="000424E2"/>
    <w:rsid w:val="000426B0"/>
    <w:rsid w:val="000426C6"/>
    <w:rsid w:val="000429AC"/>
    <w:rsid w:val="00042B16"/>
    <w:rsid w:val="00042B6A"/>
    <w:rsid w:val="00042B99"/>
    <w:rsid w:val="00042C06"/>
    <w:rsid w:val="00042D0D"/>
    <w:rsid w:val="00042D40"/>
    <w:rsid w:val="00042E12"/>
    <w:rsid w:val="0004361C"/>
    <w:rsid w:val="00043772"/>
    <w:rsid w:val="00043791"/>
    <w:rsid w:val="0004391C"/>
    <w:rsid w:val="00043C18"/>
    <w:rsid w:val="00043C80"/>
    <w:rsid w:val="00043DA8"/>
    <w:rsid w:val="00043E82"/>
    <w:rsid w:val="00043EDF"/>
    <w:rsid w:val="000440C2"/>
    <w:rsid w:val="00044155"/>
    <w:rsid w:val="00044190"/>
    <w:rsid w:val="0004423A"/>
    <w:rsid w:val="0004433D"/>
    <w:rsid w:val="0004442B"/>
    <w:rsid w:val="000445D5"/>
    <w:rsid w:val="00044943"/>
    <w:rsid w:val="00044A40"/>
    <w:rsid w:val="00044A87"/>
    <w:rsid w:val="00044C0A"/>
    <w:rsid w:val="00044CCA"/>
    <w:rsid w:val="00045325"/>
    <w:rsid w:val="00045386"/>
    <w:rsid w:val="000454C4"/>
    <w:rsid w:val="0004560C"/>
    <w:rsid w:val="00045625"/>
    <w:rsid w:val="00045746"/>
    <w:rsid w:val="00045763"/>
    <w:rsid w:val="000457F8"/>
    <w:rsid w:val="000459C8"/>
    <w:rsid w:val="00045AB6"/>
    <w:rsid w:val="00045ACD"/>
    <w:rsid w:val="00045C0A"/>
    <w:rsid w:val="00045C53"/>
    <w:rsid w:val="00045ECD"/>
    <w:rsid w:val="00045F0E"/>
    <w:rsid w:val="00045F6E"/>
    <w:rsid w:val="0004616B"/>
    <w:rsid w:val="000461AB"/>
    <w:rsid w:val="0004635D"/>
    <w:rsid w:val="00046416"/>
    <w:rsid w:val="000464F2"/>
    <w:rsid w:val="000467FC"/>
    <w:rsid w:val="00046891"/>
    <w:rsid w:val="00046A91"/>
    <w:rsid w:val="00046B4B"/>
    <w:rsid w:val="00046E28"/>
    <w:rsid w:val="00046F60"/>
    <w:rsid w:val="00046FAD"/>
    <w:rsid w:val="000470F9"/>
    <w:rsid w:val="0004710A"/>
    <w:rsid w:val="000472D6"/>
    <w:rsid w:val="00047351"/>
    <w:rsid w:val="000476D1"/>
    <w:rsid w:val="0004786A"/>
    <w:rsid w:val="00047878"/>
    <w:rsid w:val="00047953"/>
    <w:rsid w:val="00047A3C"/>
    <w:rsid w:val="00047AE9"/>
    <w:rsid w:val="00047E1F"/>
    <w:rsid w:val="00047FE3"/>
    <w:rsid w:val="000500A9"/>
    <w:rsid w:val="00050383"/>
    <w:rsid w:val="000504CA"/>
    <w:rsid w:val="00050508"/>
    <w:rsid w:val="000506E6"/>
    <w:rsid w:val="00050761"/>
    <w:rsid w:val="0005079A"/>
    <w:rsid w:val="00050884"/>
    <w:rsid w:val="000508EF"/>
    <w:rsid w:val="00050BA9"/>
    <w:rsid w:val="00050F81"/>
    <w:rsid w:val="00050FFA"/>
    <w:rsid w:val="000510B9"/>
    <w:rsid w:val="00051104"/>
    <w:rsid w:val="000514BF"/>
    <w:rsid w:val="000516C4"/>
    <w:rsid w:val="000517C0"/>
    <w:rsid w:val="00051917"/>
    <w:rsid w:val="00051AEA"/>
    <w:rsid w:val="00051E39"/>
    <w:rsid w:val="00051E64"/>
    <w:rsid w:val="00051EB3"/>
    <w:rsid w:val="00051F89"/>
    <w:rsid w:val="00052011"/>
    <w:rsid w:val="0005206A"/>
    <w:rsid w:val="000520F7"/>
    <w:rsid w:val="000522C6"/>
    <w:rsid w:val="00052745"/>
    <w:rsid w:val="000528F5"/>
    <w:rsid w:val="00052A07"/>
    <w:rsid w:val="00052B00"/>
    <w:rsid w:val="00052BBD"/>
    <w:rsid w:val="00052FDC"/>
    <w:rsid w:val="000531DC"/>
    <w:rsid w:val="00053595"/>
    <w:rsid w:val="00053BC5"/>
    <w:rsid w:val="00053BF9"/>
    <w:rsid w:val="00053EE0"/>
    <w:rsid w:val="00053F60"/>
    <w:rsid w:val="00054049"/>
    <w:rsid w:val="000542AC"/>
    <w:rsid w:val="00054395"/>
    <w:rsid w:val="0005440F"/>
    <w:rsid w:val="000546A9"/>
    <w:rsid w:val="000547F6"/>
    <w:rsid w:val="000549F5"/>
    <w:rsid w:val="00054BED"/>
    <w:rsid w:val="00054C72"/>
    <w:rsid w:val="00054CDC"/>
    <w:rsid w:val="00054FED"/>
    <w:rsid w:val="000551B7"/>
    <w:rsid w:val="00055295"/>
    <w:rsid w:val="00055387"/>
    <w:rsid w:val="00055459"/>
    <w:rsid w:val="00055589"/>
    <w:rsid w:val="00055606"/>
    <w:rsid w:val="0005564F"/>
    <w:rsid w:val="000558DB"/>
    <w:rsid w:val="00055E20"/>
    <w:rsid w:val="00056166"/>
    <w:rsid w:val="00056182"/>
    <w:rsid w:val="000563AB"/>
    <w:rsid w:val="00056508"/>
    <w:rsid w:val="000565D5"/>
    <w:rsid w:val="000566C8"/>
    <w:rsid w:val="000566F0"/>
    <w:rsid w:val="00056A1D"/>
    <w:rsid w:val="00056BD4"/>
    <w:rsid w:val="00056CB2"/>
    <w:rsid w:val="00057035"/>
    <w:rsid w:val="00057304"/>
    <w:rsid w:val="00057388"/>
    <w:rsid w:val="00057439"/>
    <w:rsid w:val="0005746D"/>
    <w:rsid w:val="000574F3"/>
    <w:rsid w:val="000575CA"/>
    <w:rsid w:val="0005767D"/>
    <w:rsid w:val="0005786B"/>
    <w:rsid w:val="000578E7"/>
    <w:rsid w:val="00057987"/>
    <w:rsid w:val="000579AC"/>
    <w:rsid w:val="00057C98"/>
    <w:rsid w:val="00057D36"/>
    <w:rsid w:val="0006029B"/>
    <w:rsid w:val="000604F8"/>
    <w:rsid w:val="00060528"/>
    <w:rsid w:val="00060827"/>
    <w:rsid w:val="0006088F"/>
    <w:rsid w:val="000608E3"/>
    <w:rsid w:val="0006092B"/>
    <w:rsid w:val="00060ABC"/>
    <w:rsid w:val="00060CAC"/>
    <w:rsid w:val="00061021"/>
    <w:rsid w:val="000612AA"/>
    <w:rsid w:val="0006133F"/>
    <w:rsid w:val="00061372"/>
    <w:rsid w:val="00061457"/>
    <w:rsid w:val="0006195E"/>
    <w:rsid w:val="00061DDB"/>
    <w:rsid w:val="000620F0"/>
    <w:rsid w:val="000623AD"/>
    <w:rsid w:val="000629E2"/>
    <w:rsid w:val="000629F6"/>
    <w:rsid w:val="00062B7C"/>
    <w:rsid w:val="00062D88"/>
    <w:rsid w:val="0006322C"/>
    <w:rsid w:val="00063373"/>
    <w:rsid w:val="000634CC"/>
    <w:rsid w:val="00063557"/>
    <w:rsid w:val="0006356E"/>
    <w:rsid w:val="000636E4"/>
    <w:rsid w:val="000637A6"/>
    <w:rsid w:val="00063961"/>
    <w:rsid w:val="00063AA0"/>
    <w:rsid w:val="0006459F"/>
    <w:rsid w:val="000645AB"/>
    <w:rsid w:val="00064B63"/>
    <w:rsid w:val="00064E21"/>
    <w:rsid w:val="000654B4"/>
    <w:rsid w:val="000656C0"/>
    <w:rsid w:val="00065741"/>
    <w:rsid w:val="00065784"/>
    <w:rsid w:val="0006583D"/>
    <w:rsid w:val="00065D26"/>
    <w:rsid w:val="00065DB1"/>
    <w:rsid w:val="00065DDB"/>
    <w:rsid w:val="00065DF0"/>
    <w:rsid w:val="00065ED8"/>
    <w:rsid w:val="0006602F"/>
    <w:rsid w:val="0006638E"/>
    <w:rsid w:val="00066519"/>
    <w:rsid w:val="000665A4"/>
    <w:rsid w:val="000666FB"/>
    <w:rsid w:val="000667CA"/>
    <w:rsid w:val="0006680B"/>
    <w:rsid w:val="00066864"/>
    <w:rsid w:val="000668C0"/>
    <w:rsid w:val="000668E2"/>
    <w:rsid w:val="00066969"/>
    <w:rsid w:val="00066BBA"/>
    <w:rsid w:val="00066E9A"/>
    <w:rsid w:val="0006709A"/>
    <w:rsid w:val="000670E7"/>
    <w:rsid w:val="000672B8"/>
    <w:rsid w:val="000675D8"/>
    <w:rsid w:val="000675E1"/>
    <w:rsid w:val="00067693"/>
    <w:rsid w:val="000677D3"/>
    <w:rsid w:val="000679D8"/>
    <w:rsid w:val="00067A82"/>
    <w:rsid w:val="00067BE7"/>
    <w:rsid w:val="00067E51"/>
    <w:rsid w:val="00067E79"/>
    <w:rsid w:val="00067EB7"/>
    <w:rsid w:val="000704DF"/>
    <w:rsid w:val="00070908"/>
    <w:rsid w:val="00070956"/>
    <w:rsid w:val="00070984"/>
    <w:rsid w:val="00070A77"/>
    <w:rsid w:val="00070C4A"/>
    <w:rsid w:val="00070C62"/>
    <w:rsid w:val="00070DC5"/>
    <w:rsid w:val="00070F61"/>
    <w:rsid w:val="00070F9A"/>
    <w:rsid w:val="00071131"/>
    <w:rsid w:val="000711D8"/>
    <w:rsid w:val="00071509"/>
    <w:rsid w:val="0007162D"/>
    <w:rsid w:val="00071708"/>
    <w:rsid w:val="000717F3"/>
    <w:rsid w:val="00071831"/>
    <w:rsid w:val="00071F93"/>
    <w:rsid w:val="00071F97"/>
    <w:rsid w:val="00072359"/>
    <w:rsid w:val="0007236E"/>
    <w:rsid w:val="0007250B"/>
    <w:rsid w:val="0007280B"/>
    <w:rsid w:val="0007280F"/>
    <w:rsid w:val="00072CEA"/>
    <w:rsid w:val="00072D73"/>
    <w:rsid w:val="00072D95"/>
    <w:rsid w:val="00072EC7"/>
    <w:rsid w:val="00072F22"/>
    <w:rsid w:val="00073043"/>
    <w:rsid w:val="00073312"/>
    <w:rsid w:val="00073619"/>
    <w:rsid w:val="000736CE"/>
    <w:rsid w:val="00073AA3"/>
    <w:rsid w:val="00073C8D"/>
    <w:rsid w:val="00073DA4"/>
    <w:rsid w:val="00073DCF"/>
    <w:rsid w:val="00073E08"/>
    <w:rsid w:val="00073EDB"/>
    <w:rsid w:val="00073EE4"/>
    <w:rsid w:val="00073F3D"/>
    <w:rsid w:val="00073FAB"/>
    <w:rsid w:val="00073FBB"/>
    <w:rsid w:val="00074199"/>
    <w:rsid w:val="000741F7"/>
    <w:rsid w:val="000742C9"/>
    <w:rsid w:val="0007434B"/>
    <w:rsid w:val="000745F9"/>
    <w:rsid w:val="000748D5"/>
    <w:rsid w:val="00075098"/>
    <w:rsid w:val="000751CB"/>
    <w:rsid w:val="00075387"/>
    <w:rsid w:val="00075465"/>
    <w:rsid w:val="0007546E"/>
    <w:rsid w:val="000756B5"/>
    <w:rsid w:val="000758BF"/>
    <w:rsid w:val="000759CA"/>
    <w:rsid w:val="00075A2C"/>
    <w:rsid w:val="00075B67"/>
    <w:rsid w:val="00075BFD"/>
    <w:rsid w:val="00075C85"/>
    <w:rsid w:val="00075E70"/>
    <w:rsid w:val="00075F26"/>
    <w:rsid w:val="0007608A"/>
    <w:rsid w:val="000761A9"/>
    <w:rsid w:val="000761EF"/>
    <w:rsid w:val="00076294"/>
    <w:rsid w:val="00076398"/>
    <w:rsid w:val="00076436"/>
    <w:rsid w:val="00076439"/>
    <w:rsid w:val="0007643A"/>
    <w:rsid w:val="000764AB"/>
    <w:rsid w:val="000765CD"/>
    <w:rsid w:val="00076DDD"/>
    <w:rsid w:val="00076E9C"/>
    <w:rsid w:val="00076F11"/>
    <w:rsid w:val="00077043"/>
    <w:rsid w:val="00077266"/>
    <w:rsid w:val="000773D5"/>
    <w:rsid w:val="0007751B"/>
    <w:rsid w:val="00077605"/>
    <w:rsid w:val="000776D4"/>
    <w:rsid w:val="00077B05"/>
    <w:rsid w:val="00077BCD"/>
    <w:rsid w:val="00077BE7"/>
    <w:rsid w:val="00077C64"/>
    <w:rsid w:val="00077C74"/>
    <w:rsid w:val="00077EA2"/>
    <w:rsid w:val="00077F00"/>
    <w:rsid w:val="000802BC"/>
    <w:rsid w:val="0008037C"/>
    <w:rsid w:val="00080659"/>
    <w:rsid w:val="00080829"/>
    <w:rsid w:val="00080A4C"/>
    <w:rsid w:val="00080AAD"/>
    <w:rsid w:val="00080C68"/>
    <w:rsid w:val="00080C8A"/>
    <w:rsid w:val="00081003"/>
    <w:rsid w:val="0008114E"/>
    <w:rsid w:val="000812D2"/>
    <w:rsid w:val="000812F8"/>
    <w:rsid w:val="000815B3"/>
    <w:rsid w:val="0008171D"/>
    <w:rsid w:val="000818F9"/>
    <w:rsid w:val="00081A51"/>
    <w:rsid w:val="00081DC4"/>
    <w:rsid w:val="0008206F"/>
    <w:rsid w:val="0008229A"/>
    <w:rsid w:val="00082344"/>
    <w:rsid w:val="00082354"/>
    <w:rsid w:val="000824FB"/>
    <w:rsid w:val="000828BC"/>
    <w:rsid w:val="00082A27"/>
    <w:rsid w:val="00082DD3"/>
    <w:rsid w:val="00082F40"/>
    <w:rsid w:val="00082FAB"/>
    <w:rsid w:val="00083042"/>
    <w:rsid w:val="0008304B"/>
    <w:rsid w:val="00083155"/>
    <w:rsid w:val="000833A7"/>
    <w:rsid w:val="00083456"/>
    <w:rsid w:val="000835A8"/>
    <w:rsid w:val="00083882"/>
    <w:rsid w:val="0008399E"/>
    <w:rsid w:val="000839A8"/>
    <w:rsid w:val="00083B3F"/>
    <w:rsid w:val="00083DD5"/>
    <w:rsid w:val="00083F9D"/>
    <w:rsid w:val="00084212"/>
    <w:rsid w:val="00084551"/>
    <w:rsid w:val="00084668"/>
    <w:rsid w:val="00084673"/>
    <w:rsid w:val="0008489E"/>
    <w:rsid w:val="00084D8C"/>
    <w:rsid w:val="00084E68"/>
    <w:rsid w:val="00084FD4"/>
    <w:rsid w:val="000850BA"/>
    <w:rsid w:val="00085186"/>
    <w:rsid w:val="00085370"/>
    <w:rsid w:val="000853B7"/>
    <w:rsid w:val="0008559C"/>
    <w:rsid w:val="00085811"/>
    <w:rsid w:val="00085E8A"/>
    <w:rsid w:val="0008612C"/>
    <w:rsid w:val="0008650E"/>
    <w:rsid w:val="000866BB"/>
    <w:rsid w:val="000867E9"/>
    <w:rsid w:val="000869A5"/>
    <w:rsid w:val="00086A21"/>
    <w:rsid w:val="00086C87"/>
    <w:rsid w:val="00086D63"/>
    <w:rsid w:val="00086DC6"/>
    <w:rsid w:val="00086E59"/>
    <w:rsid w:val="00086FC6"/>
    <w:rsid w:val="00087118"/>
    <w:rsid w:val="00087186"/>
    <w:rsid w:val="0008722A"/>
    <w:rsid w:val="000875CC"/>
    <w:rsid w:val="000877BE"/>
    <w:rsid w:val="00087814"/>
    <w:rsid w:val="00087C88"/>
    <w:rsid w:val="00087E52"/>
    <w:rsid w:val="00087F0A"/>
    <w:rsid w:val="00090528"/>
    <w:rsid w:val="000905FF"/>
    <w:rsid w:val="00090959"/>
    <w:rsid w:val="000909B8"/>
    <w:rsid w:val="00090BE2"/>
    <w:rsid w:val="00090E46"/>
    <w:rsid w:val="000910F1"/>
    <w:rsid w:val="0009110F"/>
    <w:rsid w:val="0009137D"/>
    <w:rsid w:val="0009139B"/>
    <w:rsid w:val="00091539"/>
    <w:rsid w:val="0009178E"/>
    <w:rsid w:val="00091A3C"/>
    <w:rsid w:val="00091B44"/>
    <w:rsid w:val="00091CE5"/>
    <w:rsid w:val="00091FE3"/>
    <w:rsid w:val="0009222C"/>
    <w:rsid w:val="00092341"/>
    <w:rsid w:val="000924FB"/>
    <w:rsid w:val="00092500"/>
    <w:rsid w:val="00092532"/>
    <w:rsid w:val="00092584"/>
    <w:rsid w:val="00092708"/>
    <w:rsid w:val="000927D1"/>
    <w:rsid w:val="00092821"/>
    <w:rsid w:val="00092854"/>
    <w:rsid w:val="0009298A"/>
    <w:rsid w:val="00092A87"/>
    <w:rsid w:val="00092ABE"/>
    <w:rsid w:val="00092C48"/>
    <w:rsid w:val="00092CE5"/>
    <w:rsid w:val="00092D37"/>
    <w:rsid w:val="00092E2C"/>
    <w:rsid w:val="00092FBF"/>
    <w:rsid w:val="00092FC3"/>
    <w:rsid w:val="000931D4"/>
    <w:rsid w:val="000932DA"/>
    <w:rsid w:val="00093473"/>
    <w:rsid w:val="000934BC"/>
    <w:rsid w:val="00093543"/>
    <w:rsid w:val="00093715"/>
    <w:rsid w:val="0009377A"/>
    <w:rsid w:val="000937A6"/>
    <w:rsid w:val="00093CAA"/>
    <w:rsid w:val="00093F59"/>
    <w:rsid w:val="00093F80"/>
    <w:rsid w:val="00093FE7"/>
    <w:rsid w:val="0009400A"/>
    <w:rsid w:val="00094142"/>
    <w:rsid w:val="000941CF"/>
    <w:rsid w:val="000943AE"/>
    <w:rsid w:val="000944F8"/>
    <w:rsid w:val="0009451B"/>
    <w:rsid w:val="0009458E"/>
    <w:rsid w:val="000945AF"/>
    <w:rsid w:val="000945F0"/>
    <w:rsid w:val="000946CD"/>
    <w:rsid w:val="00094915"/>
    <w:rsid w:val="0009512C"/>
    <w:rsid w:val="00095231"/>
    <w:rsid w:val="0009553E"/>
    <w:rsid w:val="00095579"/>
    <w:rsid w:val="00095651"/>
    <w:rsid w:val="0009567F"/>
    <w:rsid w:val="00095755"/>
    <w:rsid w:val="00095965"/>
    <w:rsid w:val="00095A8C"/>
    <w:rsid w:val="00095E22"/>
    <w:rsid w:val="00095E83"/>
    <w:rsid w:val="00095E98"/>
    <w:rsid w:val="00096011"/>
    <w:rsid w:val="0009602A"/>
    <w:rsid w:val="00096071"/>
    <w:rsid w:val="00096072"/>
    <w:rsid w:val="000961D8"/>
    <w:rsid w:val="0009646C"/>
    <w:rsid w:val="000968FF"/>
    <w:rsid w:val="00096955"/>
    <w:rsid w:val="00096AAE"/>
    <w:rsid w:val="00096B3A"/>
    <w:rsid w:val="00096BB4"/>
    <w:rsid w:val="00096DE7"/>
    <w:rsid w:val="00096E94"/>
    <w:rsid w:val="00096F9F"/>
    <w:rsid w:val="00097268"/>
    <w:rsid w:val="000972D2"/>
    <w:rsid w:val="000974DC"/>
    <w:rsid w:val="00097645"/>
    <w:rsid w:val="00097672"/>
    <w:rsid w:val="0009769F"/>
    <w:rsid w:val="00097773"/>
    <w:rsid w:val="00097885"/>
    <w:rsid w:val="000978C0"/>
    <w:rsid w:val="000979DD"/>
    <w:rsid w:val="00097FE4"/>
    <w:rsid w:val="000A025E"/>
    <w:rsid w:val="000A0317"/>
    <w:rsid w:val="000A031F"/>
    <w:rsid w:val="000A0440"/>
    <w:rsid w:val="000A0670"/>
    <w:rsid w:val="000A074E"/>
    <w:rsid w:val="000A0856"/>
    <w:rsid w:val="000A08AB"/>
    <w:rsid w:val="000A08AD"/>
    <w:rsid w:val="000A09DF"/>
    <w:rsid w:val="000A0AE6"/>
    <w:rsid w:val="000A0C44"/>
    <w:rsid w:val="000A0F3F"/>
    <w:rsid w:val="000A0FC5"/>
    <w:rsid w:val="000A1025"/>
    <w:rsid w:val="000A104D"/>
    <w:rsid w:val="000A105F"/>
    <w:rsid w:val="000A1221"/>
    <w:rsid w:val="000A140B"/>
    <w:rsid w:val="000A158F"/>
    <w:rsid w:val="000A16A3"/>
    <w:rsid w:val="000A19D8"/>
    <w:rsid w:val="000A1BD3"/>
    <w:rsid w:val="000A1CFE"/>
    <w:rsid w:val="000A1D31"/>
    <w:rsid w:val="000A1E3F"/>
    <w:rsid w:val="000A1EFE"/>
    <w:rsid w:val="000A200A"/>
    <w:rsid w:val="000A229B"/>
    <w:rsid w:val="000A27DB"/>
    <w:rsid w:val="000A28E6"/>
    <w:rsid w:val="000A2C77"/>
    <w:rsid w:val="000A2D83"/>
    <w:rsid w:val="000A308A"/>
    <w:rsid w:val="000A32A8"/>
    <w:rsid w:val="000A34D0"/>
    <w:rsid w:val="000A3510"/>
    <w:rsid w:val="000A35E0"/>
    <w:rsid w:val="000A364F"/>
    <w:rsid w:val="000A3667"/>
    <w:rsid w:val="000A3823"/>
    <w:rsid w:val="000A38C1"/>
    <w:rsid w:val="000A390B"/>
    <w:rsid w:val="000A39FD"/>
    <w:rsid w:val="000A3A91"/>
    <w:rsid w:val="000A3E07"/>
    <w:rsid w:val="000A3EAF"/>
    <w:rsid w:val="000A3EB7"/>
    <w:rsid w:val="000A3F0C"/>
    <w:rsid w:val="000A3F85"/>
    <w:rsid w:val="000A4113"/>
    <w:rsid w:val="000A41A7"/>
    <w:rsid w:val="000A42B4"/>
    <w:rsid w:val="000A4313"/>
    <w:rsid w:val="000A431B"/>
    <w:rsid w:val="000A4366"/>
    <w:rsid w:val="000A4777"/>
    <w:rsid w:val="000A4A1D"/>
    <w:rsid w:val="000A4BED"/>
    <w:rsid w:val="000A4C27"/>
    <w:rsid w:val="000A4F7C"/>
    <w:rsid w:val="000A508D"/>
    <w:rsid w:val="000A50C2"/>
    <w:rsid w:val="000A5222"/>
    <w:rsid w:val="000A54B6"/>
    <w:rsid w:val="000A54D5"/>
    <w:rsid w:val="000A54F1"/>
    <w:rsid w:val="000A554B"/>
    <w:rsid w:val="000A56C2"/>
    <w:rsid w:val="000A574D"/>
    <w:rsid w:val="000A57D1"/>
    <w:rsid w:val="000A5822"/>
    <w:rsid w:val="000A5B41"/>
    <w:rsid w:val="000A5B62"/>
    <w:rsid w:val="000A5B8D"/>
    <w:rsid w:val="000A5CB2"/>
    <w:rsid w:val="000A5D9F"/>
    <w:rsid w:val="000A5FC5"/>
    <w:rsid w:val="000A601B"/>
    <w:rsid w:val="000A60EF"/>
    <w:rsid w:val="000A61B1"/>
    <w:rsid w:val="000A642B"/>
    <w:rsid w:val="000A66B0"/>
    <w:rsid w:val="000A675C"/>
    <w:rsid w:val="000A69E3"/>
    <w:rsid w:val="000A6B49"/>
    <w:rsid w:val="000A6B85"/>
    <w:rsid w:val="000A6BF6"/>
    <w:rsid w:val="000A71C9"/>
    <w:rsid w:val="000A7258"/>
    <w:rsid w:val="000A786D"/>
    <w:rsid w:val="000A7AA6"/>
    <w:rsid w:val="000A7C1B"/>
    <w:rsid w:val="000A7C65"/>
    <w:rsid w:val="000A7F05"/>
    <w:rsid w:val="000B010E"/>
    <w:rsid w:val="000B0128"/>
    <w:rsid w:val="000B0213"/>
    <w:rsid w:val="000B0389"/>
    <w:rsid w:val="000B03BB"/>
    <w:rsid w:val="000B03BF"/>
    <w:rsid w:val="000B068F"/>
    <w:rsid w:val="000B0824"/>
    <w:rsid w:val="000B09AF"/>
    <w:rsid w:val="000B0B9C"/>
    <w:rsid w:val="000B0E32"/>
    <w:rsid w:val="000B1009"/>
    <w:rsid w:val="000B1080"/>
    <w:rsid w:val="000B109C"/>
    <w:rsid w:val="000B136C"/>
    <w:rsid w:val="000B1901"/>
    <w:rsid w:val="000B1A56"/>
    <w:rsid w:val="000B1B17"/>
    <w:rsid w:val="000B1BA0"/>
    <w:rsid w:val="000B1CC8"/>
    <w:rsid w:val="000B1E93"/>
    <w:rsid w:val="000B1EF0"/>
    <w:rsid w:val="000B1FA3"/>
    <w:rsid w:val="000B2761"/>
    <w:rsid w:val="000B2B86"/>
    <w:rsid w:val="000B2C2D"/>
    <w:rsid w:val="000B2E3C"/>
    <w:rsid w:val="000B2ECA"/>
    <w:rsid w:val="000B2FE5"/>
    <w:rsid w:val="000B309D"/>
    <w:rsid w:val="000B336A"/>
    <w:rsid w:val="000B3520"/>
    <w:rsid w:val="000B36B4"/>
    <w:rsid w:val="000B3766"/>
    <w:rsid w:val="000B376F"/>
    <w:rsid w:val="000B3796"/>
    <w:rsid w:val="000B37C8"/>
    <w:rsid w:val="000B38A9"/>
    <w:rsid w:val="000B3A95"/>
    <w:rsid w:val="000B3B31"/>
    <w:rsid w:val="000B3DCB"/>
    <w:rsid w:val="000B3E45"/>
    <w:rsid w:val="000B3E92"/>
    <w:rsid w:val="000B401B"/>
    <w:rsid w:val="000B40EE"/>
    <w:rsid w:val="000B41B3"/>
    <w:rsid w:val="000B41DB"/>
    <w:rsid w:val="000B425C"/>
    <w:rsid w:val="000B482E"/>
    <w:rsid w:val="000B4964"/>
    <w:rsid w:val="000B4B6F"/>
    <w:rsid w:val="000B4CF2"/>
    <w:rsid w:val="000B4EE4"/>
    <w:rsid w:val="000B5095"/>
    <w:rsid w:val="000B5327"/>
    <w:rsid w:val="000B54D7"/>
    <w:rsid w:val="000B55AA"/>
    <w:rsid w:val="000B562F"/>
    <w:rsid w:val="000B5669"/>
    <w:rsid w:val="000B5A7B"/>
    <w:rsid w:val="000B5B1A"/>
    <w:rsid w:val="000B5CC7"/>
    <w:rsid w:val="000B5CD0"/>
    <w:rsid w:val="000B5ECC"/>
    <w:rsid w:val="000B5F2E"/>
    <w:rsid w:val="000B61BD"/>
    <w:rsid w:val="000B6412"/>
    <w:rsid w:val="000B647D"/>
    <w:rsid w:val="000B6973"/>
    <w:rsid w:val="000B6BA6"/>
    <w:rsid w:val="000B6C05"/>
    <w:rsid w:val="000B6C12"/>
    <w:rsid w:val="000B6F0B"/>
    <w:rsid w:val="000B707F"/>
    <w:rsid w:val="000B7088"/>
    <w:rsid w:val="000B72C9"/>
    <w:rsid w:val="000B7525"/>
    <w:rsid w:val="000B7586"/>
    <w:rsid w:val="000B777B"/>
    <w:rsid w:val="000B7789"/>
    <w:rsid w:val="000B77AF"/>
    <w:rsid w:val="000B7C0A"/>
    <w:rsid w:val="000B7D0A"/>
    <w:rsid w:val="000B7DD4"/>
    <w:rsid w:val="000B7DD7"/>
    <w:rsid w:val="000C0240"/>
    <w:rsid w:val="000C0476"/>
    <w:rsid w:val="000C0487"/>
    <w:rsid w:val="000C0615"/>
    <w:rsid w:val="000C0666"/>
    <w:rsid w:val="000C0668"/>
    <w:rsid w:val="000C0B09"/>
    <w:rsid w:val="000C0B57"/>
    <w:rsid w:val="000C0C15"/>
    <w:rsid w:val="000C0F28"/>
    <w:rsid w:val="000C0FB6"/>
    <w:rsid w:val="000C188A"/>
    <w:rsid w:val="000C19CF"/>
    <w:rsid w:val="000C1F0A"/>
    <w:rsid w:val="000C2027"/>
    <w:rsid w:val="000C20BD"/>
    <w:rsid w:val="000C225E"/>
    <w:rsid w:val="000C2425"/>
    <w:rsid w:val="000C245D"/>
    <w:rsid w:val="000C2485"/>
    <w:rsid w:val="000C248D"/>
    <w:rsid w:val="000C2564"/>
    <w:rsid w:val="000C25A5"/>
    <w:rsid w:val="000C27EE"/>
    <w:rsid w:val="000C28BA"/>
    <w:rsid w:val="000C2B24"/>
    <w:rsid w:val="000C2C2A"/>
    <w:rsid w:val="000C2E0D"/>
    <w:rsid w:val="000C2E81"/>
    <w:rsid w:val="000C2F58"/>
    <w:rsid w:val="000C31F0"/>
    <w:rsid w:val="000C32D1"/>
    <w:rsid w:val="000C333C"/>
    <w:rsid w:val="000C3AB9"/>
    <w:rsid w:val="000C3AE9"/>
    <w:rsid w:val="000C42A6"/>
    <w:rsid w:val="000C4358"/>
    <w:rsid w:val="000C4406"/>
    <w:rsid w:val="000C455B"/>
    <w:rsid w:val="000C46D6"/>
    <w:rsid w:val="000C47AB"/>
    <w:rsid w:val="000C4C10"/>
    <w:rsid w:val="000C4CE4"/>
    <w:rsid w:val="000C4EE2"/>
    <w:rsid w:val="000C4F27"/>
    <w:rsid w:val="000C5166"/>
    <w:rsid w:val="000C565C"/>
    <w:rsid w:val="000C57AB"/>
    <w:rsid w:val="000C5AAE"/>
    <w:rsid w:val="000C5C00"/>
    <w:rsid w:val="000C5C23"/>
    <w:rsid w:val="000C5E3A"/>
    <w:rsid w:val="000C5EA5"/>
    <w:rsid w:val="000C6121"/>
    <w:rsid w:val="000C6216"/>
    <w:rsid w:val="000C628A"/>
    <w:rsid w:val="000C64D4"/>
    <w:rsid w:val="000C64F1"/>
    <w:rsid w:val="000C65B1"/>
    <w:rsid w:val="000C6A2A"/>
    <w:rsid w:val="000C6A91"/>
    <w:rsid w:val="000C6BFC"/>
    <w:rsid w:val="000C6CF3"/>
    <w:rsid w:val="000C6DD0"/>
    <w:rsid w:val="000C6E5F"/>
    <w:rsid w:val="000C6F28"/>
    <w:rsid w:val="000C6F95"/>
    <w:rsid w:val="000C6FED"/>
    <w:rsid w:val="000C7076"/>
    <w:rsid w:val="000C710B"/>
    <w:rsid w:val="000C7119"/>
    <w:rsid w:val="000C7313"/>
    <w:rsid w:val="000C737C"/>
    <w:rsid w:val="000C73F5"/>
    <w:rsid w:val="000C7400"/>
    <w:rsid w:val="000C7769"/>
    <w:rsid w:val="000C78D2"/>
    <w:rsid w:val="000C7AF5"/>
    <w:rsid w:val="000C7BB8"/>
    <w:rsid w:val="000C7D9B"/>
    <w:rsid w:val="000C7DCE"/>
    <w:rsid w:val="000D02F3"/>
    <w:rsid w:val="000D0400"/>
    <w:rsid w:val="000D042F"/>
    <w:rsid w:val="000D0537"/>
    <w:rsid w:val="000D0995"/>
    <w:rsid w:val="000D0A46"/>
    <w:rsid w:val="000D0B13"/>
    <w:rsid w:val="000D0B58"/>
    <w:rsid w:val="000D0B5B"/>
    <w:rsid w:val="000D0D6C"/>
    <w:rsid w:val="000D0FD8"/>
    <w:rsid w:val="000D1016"/>
    <w:rsid w:val="000D146F"/>
    <w:rsid w:val="000D1503"/>
    <w:rsid w:val="000D15DF"/>
    <w:rsid w:val="000D18C2"/>
    <w:rsid w:val="000D1BA4"/>
    <w:rsid w:val="000D1C6F"/>
    <w:rsid w:val="000D1C7F"/>
    <w:rsid w:val="000D1D56"/>
    <w:rsid w:val="000D20E1"/>
    <w:rsid w:val="000D21BF"/>
    <w:rsid w:val="000D2445"/>
    <w:rsid w:val="000D2634"/>
    <w:rsid w:val="000D2BCC"/>
    <w:rsid w:val="000D2D19"/>
    <w:rsid w:val="000D2DE0"/>
    <w:rsid w:val="000D2DED"/>
    <w:rsid w:val="000D3098"/>
    <w:rsid w:val="000D31A5"/>
    <w:rsid w:val="000D3215"/>
    <w:rsid w:val="000D3272"/>
    <w:rsid w:val="000D32E8"/>
    <w:rsid w:val="000D3394"/>
    <w:rsid w:val="000D33B5"/>
    <w:rsid w:val="000D353B"/>
    <w:rsid w:val="000D3823"/>
    <w:rsid w:val="000D3DC3"/>
    <w:rsid w:val="000D3FD6"/>
    <w:rsid w:val="000D41C1"/>
    <w:rsid w:val="000D4223"/>
    <w:rsid w:val="000D4342"/>
    <w:rsid w:val="000D4501"/>
    <w:rsid w:val="000D46DF"/>
    <w:rsid w:val="000D4841"/>
    <w:rsid w:val="000D4ADD"/>
    <w:rsid w:val="000D4AFA"/>
    <w:rsid w:val="000D4B11"/>
    <w:rsid w:val="000D4BEC"/>
    <w:rsid w:val="000D4C64"/>
    <w:rsid w:val="000D4DA3"/>
    <w:rsid w:val="000D4F9B"/>
    <w:rsid w:val="000D51D7"/>
    <w:rsid w:val="000D54E4"/>
    <w:rsid w:val="000D5680"/>
    <w:rsid w:val="000D58A3"/>
    <w:rsid w:val="000D5929"/>
    <w:rsid w:val="000D5D01"/>
    <w:rsid w:val="000D5D5E"/>
    <w:rsid w:val="000D5E7B"/>
    <w:rsid w:val="000D5EA2"/>
    <w:rsid w:val="000D6041"/>
    <w:rsid w:val="000D6057"/>
    <w:rsid w:val="000D6058"/>
    <w:rsid w:val="000D63E3"/>
    <w:rsid w:val="000D6448"/>
    <w:rsid w:val="000D6731"/>
    <w:rsid w:val="000D686F"/>
    <w:rsid w:val="000D68AD"/>
    <w:rsid w:val="000D6A28"/>
    <w:rsid w:val="000D6A63"/>
    <w:rsid w:val="000D6A96"/>
    <w:rsid w:val="000D6D24"/>
    <w:rsid w:val="000D6FB1"/>
    <w:rsid w:val="000D72C6"/>
    <w:rsid w:val="000D730F"/>
    <w:rsid w:val="000D7399"/>
    <w:rsid w:val="000D73C7"/>
    <w:rsid w:val="000D768A"/>
    <w:rsid w:val="000D768B"/>
    <w:rsid w:val="000D7C4C"/>
    <w:rsid w:val="000D7E3A"/>
    <w:rsid w:val="000D7F90"/>
    <w:rsid w:val="000E0124"/>
    <w:rsid w:val="000E0179"/>
    <w:rsid w:val="000E028F"/>
    <w:rsid w:val="000E0434"/>
    <w:rsid w:val="000E0457"/>
    <w:rsid w:val="000E04CB"/>
    <w:rsid w:val="000E07AD"/>
    <w:rsid w:val="000E088F"/>
    <w:rsid w:val="000E08D8"/>
    <w:rsid w:val="000E09A5"/>
    <w:rsid w:val="000E0A53"/>
    <w:rsid w:val="000E0B9D"/>
    <w:rsid w:val="000E0BE8"/>
    <w:rsid w:val="000E0C00"/>
    <w:rsid w:val="000E0C33"/>
    <w:rsid w:val="000E0D00"/>
    <w:rsid w:val="000E0F17"/>
    <w:rsid w:val="000E0F1D"/>
    <w:rsid w:val="000E107E"/>
    <w:rsid w:val="000E124F"/>
    <w:rsid w:val="000E12CD"/>
    <w:rsid w:val="000E13FC"/>
    <w:rsid w:val="000E1569"/>
    <w:rsid w:val="000E16F9"/>
    <w:rsid w:val="000E189D"/>
    <w:rsid w:val="000E18B3"/>
    <w:rsid w:val="000E19D5"/>
    <w:rsid w:val="000E1BDC"/>
    <w:rsid w:val="000E1D1E"/>
    <w:rsid w:val="000E215D"/>
    <w:rsid w:val="000E236C"/>
    <w:rsid w:val="000E2656"/>
    <w:rsid w:val="000E2689"/>
    <w:rsid w:val="000E26CE"/>
    <w:rsid w:val="000E2844"/>
    <w:rsid w:val="000E28A2"/>
    <w:rsid w:val="000E2936"/>
    <w:rsid w:val="000E2942"/>
    <w:rsid w:val="000E2A2F"/>
    <w:rsid w:val="000E2A94"/>
    <w:rsid w:val="000E2B33"/>
    <w:rsid w:val="000E2C94"/>
    <w:rsid w:val="000E2E45"/>
    <w:rsid w:val="000E31AF"/>
    <w:rsid w:val="000E31FF"/>
    <w:rsid w:val="000E359D"/>
    <w:rsid w:val="000E35C9"/>
    <w:rsid w:val="000E3640"/>
    <w:rsid w:val="000E379A"/>
    <w:rsid w:val="000E37FC"/>
    <w:rsid w:val="000E385A"/>
    <w:rsid w:val="000E3B54"/>
    <w:rsid w:val="000E3BCB"/>
    <w:rsid w:val="000E3C41"/>
    <w:rsid w:val="000E405D"/>
    <w:rsid w:val="000E4068"/>
    <w:rsid w:val="000E416D"/>
    <w:rsid w:val="000E42F7"/>
    <w:rsid w:val="000E45B9"/>
    <w:rsid w:val="000E45E9"/>
    <w:rsid w:val="000E4753"/>
    <w:rsid w:val="000E47E8"/>
    <w:rsid w:val="000E49B3"/>
    <w:rsid w:val="000E49FC"/>
    <w:rsid w:val="000E4AA4"/>
    <w:rsid w:val="000E4B99"/>
    <w:rsid w:val="000E4BAF"/>
    <w:rsid w:val="000E4CCA"/>
    <w:rsid w:val="000E4D05"/>
    <w:rsid w:val="000E4E24"/>
    <w:rsid w:val="000E4E5A"/>
    <w:rsid w:val="000E5002"/>
    <w:rsid w:val="000E537D"/>
    <w:rsid w:val="000E5436"/>
    <w:rsid w:val="000E5465"/>
    <w:rsid w:val="000E564A"/>
    <w:rsid w:val="000E564B"/>
    <w:rsid w:val="000E5848"/>
    <w:rsid w:val="000E5C3C"/>
    <w:rsid w:val="000E5DEC"/>
    <w:rsid w:val="000E5F97"/>
    <w:rsid w:val="000E6298"/>
    <w:rsid w:val="000E665B"/>
    <w:rsid w:val="000E681E"/>
    <w:rsid w:val="000E68A1"/>
    <w:rsid w:val="000E6914"/>
    <w:rsid w:val="000E69B9"/>
    <w:rsid w:val="000E6B55"/>
    <w:rsid w:val="000E6BD6"/>
    <w:rsid w:val="000E6C2E"/>
    <w:rsid w:val="000E6D98"/>
    <w:rsid w:val="000E6FEE"/>
    <w:rsid w:val="000E7136"/>
    <w:rsid w:val="000E74E0"/>
    <w:rsid w:val="000E7A81"/>
    <w:rsid w:val="000E7A98"/>
    <w:rsid w:val="000E7BAA"/>
    <w:rsid w:val="000E7CF7"/>
    <w:rsid w:val="000E7DDA"/>
    <w:rsid w:val="000E7FD6"/>
    <w:rsid w:val="000F0087"/>
    <w:rsid w:val="000F05E4"/>
    <w:rsid w:val="000F09FC"/>
    <w:rsid w:val="000F0A4F"/>
    <w:rsid w:val="000F0B99"/>
    <w:rsid w:val="000F0EFF"/>
    <w:rsid w:val="000F1018"/>
    <w:rsid w:val="000F1470"/>
    <w:rsid w:val="000F15AE"/>
    <w:rsid w:val="000F186E"/>
    <w:rsid w:val="000F1932"/>
    <w:rsid w:val="000F197B"/>
    <w:rsid w:val="000F1A9D"/>
    <w:rsid w:val="000F1AC9"/>
    <w:rsid w:val="000F1E3C"/>
    <w:rsid w:val="000F1E6D"/>
    <w:rsid w:val="000F1FB1"/>
    <w:rsid w:val="000F207E"/>
    <w:rsid w:val="000F20B9"/>
    <w:rsid w:val="000F2669"/>
    <w:rsid w:val="000F27C9"/>
    <w:rsid w:val="000F2864"/>
    <w:rsid w:val="000F2B53"/>
    <w:rsid w:val="000F2C25"/>
    <w:rsid w:val="000F2CC1"/>
    <w:rsid w:val="000F2D7D"/>
    <w:rsid w:val="000F31E9"/>
    <w:rsid w:val="000F357C"/>
    <w:rsid w:val="000F3710"/>
    <w:rsid w:val="000F37C6"/>
    <w:rsid w:val="000F37E3"/>
    <w:rsid w:val="000F3992"/>
    <w:rsid w:val="000F3A00"/>
    <w:rsid w:val="000F3D7E"/>
    <w:rsid w:val="000F3F31"/>
    <w:rsid w:val="000F42AA"/>
    <w:rsid w:val="000F442A"/>
    <w:rsid w:val="000F4789"/>
    <w:rsid w:val="000F4975"/>
    <w:rsid w:val="000F4A47"/>
    <w:rsid w:val="000F4B69"/>
    <w:rsid w:val="000F4BA3"/>
    <w:rsid w:val="000F4EB4"/>
    <w:rsid w:val="000F4F6E"/>
    <w:rsid w:val="000F503C"/>
    <w:rsid w:val="000F50A7"/>
    <w:rsid w:val="000F55B2"/>
    <w:rsid w:val="000F591D"/>
    <w:rsid w:val="000F5B5F"/>
    <w:rsid w:val="000F5C22"/>
    <w:rsid w:val="000F5D81"/>
    <w:rsid w:val="000F5E0F"/>
    <w:rsid w:val="000F5F8C"/>
    <w:rsid w:val="000F63B6"/>
    <w:rsid w:val="000F6468"/>
    <w:rsid w:val="000F65A4"/>
    <w:rsid w:val="000F6939"/>
    <w:rsid w:val="000F69C7"/>
    <w:rsid w:val="000F71CE"/>
    <w:rsid w:val="000F72CB"/>
    <w:rsid w:val="000F7605"/>
    <w:rsid w:val="000F764D"/>
    <w:rsid w:val="000F76CE"/>
    <w:rsid w:val="000F7752"/>
    <w:rsid w:val="000F782F"/>
    <w:rsid w:val="000F7833"/>
    <w:rsid w:val="000F7A2A"/>
    <w:rsid w:val="000F7C88"/>
    <w:rsid w:val="000F7DC8"/>
    <w:rsid w:val="000F7DF4"/>
    <w:rsid w:val="00100298"/>
    <w:rsid w:val="001002E9"/>
    <w:rsid w:val="00100369"/>
    <w:rsid w:val="001005D3"/>
    <w:rsid w:val="00100A15"/>
    <w:rsid w:val="00100AB2"/>
    <w:rsid w:val="00100D45"/>
    <w:rsid w:val="00100D4D"/>
    <w:rsid w:val="00100DB1"/>
    <w:rsid w:val="00100F2B"/>
    <w:rsid w:val="0010113D"/>
    <w:rsid w:val="0010149B"/>
    <w:rsid w:val="001014E2"/>
    <w:rsid w:val="00101685"/>
    <w:rsid w:val="00101768"/>
    <w:rsid w:val="001018AB"/>
    <w:rsid w:val="00101980"/>
    <w:rsid w:val="001019BB"/>
    <w:rsid w:val="00101CE6"/>
    <w:rsid w:val="00101DAD"/>
    <w:rsid w:val="00101F04"/>
    <w:rsid w:val="00101F9A"/>
    <w:rsid w:val="0010269D"/>
    <w:rsid w:val="0010293D"/>
    <w:rsid w:val="00102A0E"/>
    <w:rsid w:val="00102DEE"/>
    <w:rsid w:val="00102ED7"/>
    <w:rsid w:val="001030A2"/>
    <w:rsid w:val="0010319F"/>
    <w:rsid w:val="00103337"/>
    <w:rsid w:val="0010359D"/>
    <w:rsid w:val="00103636"/>
    <w:rsid w:val="001038B9"/>
    <w:rsid w:val="001038E5"/>
    <w:rsid w:val="00103A62"/>
    <w:rsid w:val="00103A89"/>
    <w:rsid w:val="00103C3F"/>
    <w:rsid w:val="00103C53"/>
    <w:rsid w:val="00103E96"/>
    <w:rsid w:val="00103F58"/>
    <w:rsid w:val="00103FCD"/>
    <w:rsid w:val="0010408D"/>
    <w:rsid w:val="0010417C"/>
    <w:rsid w:val="001043A3"/>
    <w:rsid w:val="00104462"/>
    <w:rsid w:val="00104499"/>
    <w:rsid w:val="001044A6"/>
    <w:rsid w:val="001045A3"/>
    <w:rsid w:val="001045E1"/>
    <w:rsid w:val="0010462B"/>
    <w:rsid w:val="0010484D"/>
    <w:rsid w:val="00104ED3"/>
    <w:rsid w:val="00104F92"/>
    <w:rsid w:val="00105163"/>
    <w:rsid w:val="00105188"/>
    <w:rsid w:val="001051DC"/>
    <w:rsid w:val="001051E9"/>
    <w:rsid w:val="001053CC"/>
    <w:rsid w:val="001056B7"/>
    <w:rsid w:val="00105714"/>
    <w:rsid w:val="0010577F"/>
    <w:rsid w:val="001059A9"/>
    <w:rsid w:val="00105A84"/>
    <w:rsid w:val="00105B66"/>
    <w:rsid w:val="00105DD5"/>
    <w:rsid w:val="00105DDB"/>
    <w:rsid w:val="00105E14"/>
    <w:rsid w:val="00105E7C"/>
    <w:rsid w:val="00105E8A"/>
    <w:rsid w:val="00105F98"/>
    <w:rsid w:val="0010607F"/>
    <w:rsid w:val="001060C9"/>
    <w:rsid w:val="0010666E"/>
    <w:rsid w:val="0010679D"/>
    <w:rsid w:val="00106802"/>
    <w:rsid w:val="0010683B"/>
    <w:rsid w:val="00106B4B"/>
    <w:rsid w:val="00106C95"/>
    <w:rsid w:val="001073ED"/>
    <w:rsid w:val="00107476"/>
    <w:rsid w:val="0010749A"/>
    <w:rsid w:val="00107526"/>
    <w:rsid w:val="00107920"/>
    <w:rsid w:val="001079E0"/>
    <w:rsid w:val="00107B12"/>
    <w:rsid w:val="00107DC8"/>
    <w:rsid w:val="0011019D"/>
    <w:rsid w:val="001101A1"/>
    <w:rsid w:val="00110341"/>
    <w:rsid w:val="00110358"/>
    <w:rsid w:val="0011064B"/>
    <w:rsid w:val="001106F7"/>
    <w:rsid w:val="00110ABA"/>
    <w:rsid w:val="00110BAA"/>
    <w:rsid w:val="00110C92"/>
    <w:rsid w:val="00110CB3"/>
    <w:rsid w:val="00111144"/>
    <w:rsid w:val="00111177"/>
    <w:rsid w:val="001111EF"/>
    <w:rsid w:val="0011120B"/>
    <w:rsid w:val="0011137F"/>
    <w:rsid w:val="001116A9"/>
    <w:rsid w:val="001117F8"/>
    <w:rsid w:val="0011199B"/>
    <w:rsid w:val="00111BA5"/>
    <w:rsid w:val="00111C13"/>
    <w:rsid w:val="00111CB5"/>
    <w:rsid w:val="00111CD2"/>
    <w:rsid w:val="00111CE1"/>
    <w:rsid w:val="00111EA4"/>
    <w:rsid w:val="001121F1"/>
    <w:rsid w:val="001122C1"/>
    <w:rsid w:val="00112324"/>
    <w:rsid w:val="0011278D"/>
    <w:rsid w:val="00112818"/>
    <w:rsid w:val="00112BB6"/>
    <w:rsid w:val="00112BE3"/>
    <w:rsid w:val="00112EEA"/>
    <w:rsid w:val="001131FB"/>
    <w:rsid w:val="0011356F"/>
    <w:rsid w:val="00113799"/>
    <w:rsid w:val="0011383A"/>
    <w:rsid w:val="0011388D"/>
    <w:rsid w:val="00113973"/>
    <w:rsid w:val="00113A1E"/>
    <w:rsid w:val="00113B50"/>
    <w:rsid w:val="00113DC9"/>
    <w:rsid w:val="0011405C"/>
    <w:rsid w:val="001140D8"/>
    <w:rsid w:val="0011439F"/>
    <w:rsid w:val="00114592"/>
    <w:rsid w:val="001145BD"/>
    <w:rsid w:val="001146A7"/>
    <w:rsid w:val="00114799"/>
    <w:rsid w:val="001148BC"/>
    <w:rsid w:val="00114A87"/>
    <w:rsid w:val="00114AD3"/>
    <w:rsid w:val="00114BCC"/>
    <w:rsid w:val="00114E13"/>
    <w:rsid w:val="00114FE7"/>
    <w:rsid w:val="00115097"/>
    <w:rsid w:val="001151BF"/>
    <w:rsid w:val="0011528D"/>
    <w:rsid w:val="001153CB"/>
    <w:rsid w:val="0011540A"/>
    <w:rsid w:val="001154AB"/>
    <w:rsid w:val="001155A5"/>
    <w:rsid w:val="001155A9"/>
    <w:rsid w:val="001155B6"/>
    <w:rsid w:val="0011562D"/>
    <w:rsid w:val="00115701"/>
    <w:rsid w:val="001157BB"/>
    <w:rsid w:val="0011591E"/>
    <w:rsid w:val="00115B95"/>
    <w:rsid w:val="0011602C"/>
    <w:rsid w:val="00116237"/>
    <w:rsid w:val="001162B1"/>
    <w:rsid w:val="00116350"/>
    <w:rsid w:val="00116477"/>
    <w:rsid w:val="0011653A"/>
    <w:rsid w:val="0011653D"/>
    <w:rsid w:val="00116A32"/>
    <w:rsid w:val="00116BC3"/>
    <w:rsid w:val="0011718D"/>
    <w:rsid w:val="001173E0"/>
    <w:rsid w:val="001174A1"/>
    <w:rsid w:val="0011752B"/>
    <w:rsid w:val="001175A9"/>
    <w:rsid w:val="00117730"/>
    <w:rsid w:val="0011777A"/>
    <w:rsid w:val="00117C31"/>
    <w:rsid w:val="001200C5"/>
    <w:rsid w:val="00120634"/>
    <w:rsid w:val="00120660"/>
    <w:rsid w:val="00120777"/>
    <w:rsid w:val="0012091C"/>
    <w:rsid w:val="00120958"/>
    <w:rsid w:val="00120A47"/>
    <w:rsid w:val="00120D95"/>
    <w:rsid w:val="00120E1C"/>
    <w:rsid w:val="00120F7D"/>
    <w:rsid w:val="00120FA6"/>
    <w:rsid w:val="0012101A"/>
    <w:rsid w:val="001211AF"/>
    <w:rsid w:val="001212C7"/>
    <w:rsid w:val="001213CF"/>
    <w:rsid w:val="0012190E"/>
    <w:rsid w:val="00121D1D"/>
    <w:rsid w:val="00121E17"/>
    <w:rsid w:val="001221AF"/>
    <w:rsid w:val="001222B9"/>
    <w:rsid w:val="0012231C"/>
    <w:rsid w:val="00122323"/>
    <w:rsid w:val="001223CA"/>
    <w:rsid w:val="001223F2"/>
    <w:rsid w:val="0012286B"/>
    <w:rsid w:val="00122A7D"/>
    <w:rsid w:val="00122AB7"/>
    <w:rsid w:val="00122C3E"/>
    <w:rsid w:val="00122F06"/>
    <w:rsid w:val="00122F66"/>
    <w:rsid w:val="00122FEB"/>
    <w:rsid w:val="0012304C"/>
    <w:rsid w:val="00123269"/>
    <w:rsid w:val="001233DC"/>
    <w:rsid w:val="001235D5"/>
    <w:rsid w:val="0012386A"/>
    <w:rsid w:val="00123870"/>
    <w:rsid w:val="001238F6"/>
    <w:rsid w:val="001239FF"/>
    <w:rsid w:val="00123AD3"/>
    <w:rsid w:val="00123BAA"/>
    <w:rsid w:val="00123BC5"/>
    <w:rsid w:val="00123CC3"/>
    <w:rsid w:val="00124144"/>
    <w:rsid w:val="00124274"/>
    <w:rsid w:val="00124376"/>
    <w:rsid w:val="001244FF"/>
    <w:rsid w:val="00124835"/>
    <w:rsid w:val="0012484D"/>
    <w:rsid w:val="00124B34"/>
    <w:rsid w:val="00124BB6"/>
    <w:rsid w:val="00124DED"/>
    <w:rsid w:val="00124E63"/>
    <w:rsid w:val="00124F71"/>
    <w:rsid w:val="00124FC2"/>
    <w:rsid w:val="00124FE2"/>
    <w:rsid w:val="0012505E"/>
    <w:rsid w:val="001251C2"/>
    <w:rsid w:val="0012528D"/>
    <w:rsid w:val="001253A6"/>
    <w:rsid w:val="00125478"/>
    <w:rsid w:val="00125559"/>
    <w:rsid w:val="0012571B"/>
    <w:rsid w:val="0012576C"/>
    <w:rsid w:val="00125B68"/>
    <w:rsid w:val="00125BDD"/>
    <w:rsid w:val="00126227"/>
    <w:rsid w:val="001265CF"/>
    <w:rsid w:val="00126AD9"/>
    <w:rsid w:val="00126AF9"/>
    <w:rsid w:val="00126BE5"/>
    <w:rsid w:val="00126C3D"/>
    <w:rsid w:val="001272C0"/>
    <w:rsid w:val="001272F3"/>
    <w:rsid w:val="00127303"/>
    <w:rsid w:val="00127321"/>
    <w:rsid w:val="00127629"/>
    <w:rsid w:val="0012774D"/>
    <w:rsid w:val="0012778A"/>
    <w:rsid w:val="00127907"/>
    <w:rsid w:val="00127942"/>
    <w:rsid w:val="00127989"/>
    <w:rsid w:val="00127A0D"/>
    <w:rsid w:val="00127BE7"/>
    <w:rsid w:val="00127C16"/>
    <w:rsid w:val="00127D24"/>
    <w:rsid w:val="00127DC5"/>
    <w:rsid w:val="0013004C"/>
    <w:rsid w:val="0013008F"/>
    <w:rsid w:val="00130191"/>
    <w:rsid w:val="001301F0"/>
    <w:rsid w:val="00130277"/>
    <w:rsid w:val="001303CC"/>
    <w:rsid w:val="0013048A"/>
    <w:rsid w:val="001306E7"/>
    <w:rsid w:val="0013097C"/>
    <w:rsid w:val="00130A8B"/>
    <w:rsid w:val="00130D24"/>
    <w:rsid w:val="00130D2E"/>
    <w:rsid w:val="00130E05"/>
    <w:rsid w:val="0013158F"/>
    <w:rsid w:val="001316D4"/>
    <w:rsid w:val="001316ED"/>
    <w:rsid w:val="0013189A"/>
    <w:rsid w:val="0013189F"/>
    <w:rsid w:val="00131A21"/>
    <w:rsid w:val="00131A25"/>
    <w:rsid w:val="00131BD3"/>
    <w:rsid w:val="00131C53"/>
    <w:rsid w:val="00131C82"/>
    <w:rsid w:val="00131E26"/>
    <w:rsid w:val="00132103"/>
    <w:rsid w:val="00132107"/>
    <w:rsid w:val="001321C6"/>
    <w:rsid w:val="001321D2"/>
    <w:rsid w:val="0013220A"/>
    <w:rsid w:val="00132296"/>
    <w:rsid w:val="001324D7"/>
    <w:rsid w:val="00132596"/>
    <w:rsid w:val="001325D5"/>
    <w:rsid w:val="00132703"/>
    <w:rsid w:val="001328B2"/>
    <w:rsid w:val="00132D40"/>
    <w:rsid w:val="00132EB6"/>
    <w:rsid w:val="00132F05"/>
    <w:rsid w:val="00132FC3"/>
    <w:rsid w:val="00132FD9"/>
    <w:rsid w:val="00133139"/>
    <w:rsid w:val="00133223"/>
    <w:rsid w:val="00133238"/>
    <w:rsid w:val="00133288"/>
    <w:rsid w:val="00133383"/>
    <w:rsid w:val="001336BE"/>
    <w:rsid w:val="001339D8"/>
    <w:rsid w:val="001339EA"/>
    <w:rsid w:val="00133D10"/>
    <w:rsid w:val="00133D11"/>
    <w:rsid w:val="00133E41"/>
    <w:rsid w:val="00133E73"/>
    <w:rsid w:val="00134145"/>
    <w:rsid w:val="00134165"/>
    <w:rsid w:val="0013418D"/>
    <w:rsid w:val="0013421B"/>
    <w:rsid w:val="001344A8"/>
    <w:rsid w:val="00134654"/>
    <w:rsid w:val="0013465F"/>
    <w:rsid w:val="00134680"/>
    <w:rsid w:val="001348E6"/>
    <w:rsid w:val="00134B74"/>
    <w:rsid w:val="00134C2A"/>
    <w:rsid w:val="00134C33"/>
    <w:rsid w:val="00134DC3"/>
    <w:rsid w:val="00134DE4"/>
    <w:rsid w:val="0013509F"/>
    <w:rsid w:val="0013519A"/>
    <w:rsid w:val="0013581E"/>
    <w:rsid w:val="00135AEB"/>
    <w:rsid w:val="00135F00"/>
    <w:rsid w:val="00136164"/>
    <w:rsid w:val="0013623A"/>
    <w:rsid w:val="00136294"/>
    <w:rsid w:val="001362B0"/>
    <w:rsid w:val="001364F0"/>
    <w:rsid w:val="001367E0"/>
    <w:rsid w:val="0013686B"/>
    <w:rsid w:val="00136ADA"/>
    <w:rsid w:val="00136C5E"/>
    <w:rsid w:val="00136DDA"/>
    <w:rsid w:val="00136E36"/>
    <w:rsid w:val="00136E3A"/>
    <w:rsid w:val="0013704C"/>
    <w:rsid w:val="00137057"/>
    <w:rsid w:val="001370B8"/>
    <w:rsid w:val="001373DB"/>
    <w:rsid w:val="00137672"/>
    <w:rsid w:val="00137693"/>
    <w:rsid w:val="0013778D"/>
    <w:rsid w:val="00137822"/>
    <w:rsid w:val="0013783C"/>
    <w:rsid w:val="00137A33"/>
    <w:rsid w:val="00137CF9"/>
    <w:rsid w:val="00137DB7"/>
    <w:rsid w:val="00137EB2"/>
    <w:rsid w:val="00137EE2"/>
    <w:rsid w:val="00137F51"/>
    <w:rsid w:val="001400AD"/>
    <w:rsid w:val="00140220"/>
    <w:rsid w:val="0014090D"/>
    <w:rsid w:val="00140A7E"/>
    <w:rsid w:val="00140B19"/>
    <w:rsid w:val="00140C7B"/>
    <w:rsid w:val="00140F3F"/>
    <w:rsid w:val="00140FB5"/>
    <w:rsid w:val="00141091"/>
    <w:rsid w:val="0014113F"/>
    <w:rsid w:val="00141181"/>
    <w:rsid w:val="00141198"/>
    <w:rsid w:val="00141214"/>
    <w:rsid w:val="00141725"/>
    <w:rsid w:val="001417EE"/>
    <w:rsid w:val="001418A3"/>
    <w:rsid w:val="001418A9"/>
    <w:rsid w:val="00141924"/>
    <w:rsid w:val="00141A72"/>
    <w:rsid w:val="00141B0B"/>
    <w:rsid w:val="00141B39"/>
    <w:rsid w:val="001421B8"/>
    <w:rsid w:val="00142240"/>
    <w:rsid w:val="001422B0"/>
    <w:rsid w:val="001423F8"/>
    <w:rsid w:val="001425AA"/>
    <w:rsid w:val="001426EF"/>
    <w:rsid w:val="001428FC"/>
    <w:rsid w:val="0014299C"/>
    <w:rsid w:val="00142A53"/>
    <w:rsid w:val="00142AC7"/>
    <w:rsid w:val="00142B37"/>
    <w:rsid w:val="001431D5"/>
    <w:rsid w:val="00143200"/>
    <w:rsid w:val="001433B3"/>
    <w:rsid w:val="0014349A"/>
    <w:rsid w:val="00143500"/>
    <w:rsid w:val="00143545"/>
    <w:rsid w:val="001435B3"/>
    <w:rsid w:val="00143A7E"/>
    <w:rsid w:val="00143CCA"/>
    <w:rsid w:val="00143D12"/>
    <w:rsid w:val="00143E53"/>
    <w:rsid w:val="00143ED5"/>
    <w:rsid w:val="00143F88"/>
    <w:rsid w:val="00144009"/>
    <w:rsid w:val="001444AA"/>
    <w:rsid w:val="00144709"/>
    <w:rsid w:val="00144BA3"/>
    <w:rsid w:val="00144BFE"/>
    <w:rsid w:val="00144C40"/>
    <w:rsid w:val="00144C99"/>
    <w:rsid w:val="00144C9F"/>
    <w:rsid w:val="00144E85"/>
    <w:rsid w:val="00144F69"/>
    <w:rsid w:val="001454B0"/>
    <w:rsid w:val="001457BC"/>
    <w:rsid w:val="001458DE"/>
    <w:rsid w:val="00145932"/>
    <w:rsid w:val="00145963"/>
    <w:rsid w:val="001459AC"/>
    <w:rsid w:val="00145BA4"/>
    <w:rsid w:val="00145C6D"/>
    <w:rsid w:val="00145CCE"/>
    <w:rsid w:val="00145E1E"/>
    <w:rsid w:val="0014602B"/>
    <w:rsid w:val="00146141"/>
    <w:rsid w:val="00146161"/>
    <w:rsid w:val="0014626B"/>
    <w:rsid w:val="001467E0"/>
    <w:rsid w:val="001469A6"/>
    <w:rsid w:val="00146C5A"/>
    <w:rsid w:val="00146CF7"/>
    <w:rsid w:val="00146E3F"/>
    <w:rsid w:val="00146EA3"/>
    <w:rsid w:val="00146FE6"/>
    <w:rsid w:val="001470FC"/>
    <w:rsid w:val="001473FF"/>
    <w:rsid w:val="001474D5"/>
    <w:rsid w:val="00147B52"/>
    <w:rsid w:val="00147BEB"/>
    <w:rsid w:val="00147CD9"/>
    <w:rsid w:val="00147E40"/>
    <w:rsid w:val="00147FC2"/>
    <w:rsid w:val="00150101"/>
    <w:rsid w:val="001503CD"/>
    <w:rsid w:val="00150462"/>
    <w:rsid w:val="001504F3"/>
    <w:rsid w:val="001505B8"/>
    <w:rsid w:val="00150960"/>
    <w:rsid w:val="001509B0"/>
    <w:rsid w:val="00150A56"/>
    <w:rsid w:val="00150B0A"/>
    <w:rsid w:val="001511A4"/>
    <w:rsid w:val="001512C5"/>
    <w:rsid w:val="00151485"/>
    <w:rsid w:val="001515A6"/>
    <w:rsid w:val="0015195D"/>
    <w:rsid w:val="00151B0D"/>
    <w:rsid w:val="00151BB1"/>
    <w:rsid w:val="00151C61"/>
    <w:rsid w:val="00151E34"/>
    <w:rsid w:val="00151FE1"/>
    <w:rsid w:val="00152079"/>
    <w:rsid w:val="00152120"/>
    <w:rsid w:val="001522D1"/>
    <w:rsid w:val="00152485"/>
    <w:rsid w:val="0015250B"/>
    <w:rsid w:val="00152689"/>
    <w:rsid w:val="001527D4"/>
    <w:rsid w:val="00152854"/>
    <w:rsid w:val="00152865"/>
    <w:rsid w:val="001528F7"/>
    <w:rsid w:val="001529AF"/>
    <w:rsid w:val="00152B11"/>
    <w:rsid w:val="00152CF2"/>
    <w:rsid w:val="00152DB4"/>
    <w:rsid w:val="00152F5E"/>
    <w:rsid w:val="0015336A"/>
    <w:rsid w:val="001533AB"/>
    <w:rsid w:val="00153492"/>
    <w:rsid w:val="00153497"/>
    <w:rsid w:val="001535A9"/>
    <w:rsid w:val="001536AE"/>
    <w:rsid w:val="00153881"/>
    <w:rsid w:val="0015388F"/>
    <w:rsid w:val="001538E1"/>
    <w:rsid w:val="001538F0"/>
    <w:rsid w:val="00153900"/>
    <w:rsid w:val="00153979"/>
    <w:rsid w:val="00153CAD"/>
    <w:rsid w:val="00153CE7"/>
    <w:rsid w:val="00153DA5"/>
    <w:rsid w:val="00153E3F"/>
    <w:rsid w:val="00153F2E"/>
    <w:rsid w:val="001540BB"/>
    <w:rsid w:val="00154170"/>
    <w:rsid w:val="0015419D"/>
    <w:rsid w:val="0015447B"/>
    <w:rsid w:val="00154744"/>
    <w:rsid w:val="0015475D"/>
    <w:rsid w:val="00154A8A"/>
    <w:rsid w:val="00154B22"/>
    <w:rsid w:val="00154DF3"/>
    <w:rsid w:val="00154E2D"/>
    <w:rsid w:val="00154F19"/>
    <w:rsid w:val="00155005"/>
    <w:rsid w:val="00155205"/>
    <w:rsid w:val="0015522C"/>
    <w:rsid w:val="00155238"/>
    <w:rsid w:val="001558D5"/>
    <w:rsid w:val="001558E6"/>
    <w:rsid w:val="00155B06"/>
    <w:rsid w:val="00155B9B"/>
    <w:rsid w:val="00155E3F"/>
    <w:rsid w:val="00155E49"/>
    <w:rsid w:val="00155E7F"/>
    <w:rsid w:val="00156031"/>
    <w:rsid w:val="0015603D"/>
    <w:rsid w:val="00156040"/>
    <w:rsid w:val="0015606E"/>
    <w:rsid w:val="0015606F"/>
    <w:rsid w:val="001560DD"/>
    <w:rsid w:val="00156172"/>
    <w:rsid w:val="001561BA"/>
    <w:rsid w:val="001561BE"/>
    <w:rsid w:val="001561D3"/>
    <w:rsid w:val="001561E9"/>
    <w:rsid w:val="0015631C"/>
    <w:rsid w:val="001564D0"/>
    <w:rsid w:val="00156616"/>
    <w:rsid w:val="001567CB"/>
    <w:rsid w:val="00156844"/>
    <w:rsid w:val="00156913"/>
    <w:rsid w:val="00156A4A"/>
    <w:rsid w:val="00156BC7"/>
    <w:rsid w:val="00156FD5"/>
    <w:rsid w:val="0015707A"/>
    <w:rsid w:val="0015722F"/>
    <w:rsid w:val="0015751A"/>
    <w:rsid w:val="00157686"/>
    <w:rsid w:val="0015773B"/>
    <w:rsid w:val="00157806"/>
    <w:rsid w:val="00157BBC"/>
    <w:rsid w:val="00157BD7"/>
    <w:rsid w:val="00157C0D"/>
    <w:rsid w:val="00157C75"/>
    <w:rsid w:val="00157D5D"/>
    <w:rsid w:val="00157DC6"/>
    <w:rsid w:val="00157E40"/>
    <w:rsid w:val="00160425"/>
    <w:rsid w:val="001607FE"/>
    <w:rsid w:val="0016089B"/>
    <w:rsid w:val="001609B1"/>
    <w:rsid w:val="00160A43"/>
    <w:rsid w:val="00160A6A"/>
    <w:rsid w:val="00160E97"/>
    <w:rsid w:val="00160F87"/>
    <w:rsid w:val="001610BE"/>
    <w:rsid w:val="0016176A"/>
    <w:rsid w:val="001617DE"/>
    <w:rsid w:val="00161814"/>
    <w:rsid w:val="00161B1D"/>
    <w:rsid w:val="00161B59"/>
    <w:rsid w:val="00161BD0"/>
    <w:rsid w:val="00161CEA"/>
    <w:rsid w:val="00161F55"/>
    <w:rsid w:val="00161FA5"/>
    <w:rsid w:val="001620F8"/>
    <w:rsid w:val="00162384"/>
    <w:rsid w:val="00162758"/>
    <w:rsid w:val="001628A9"/>
    <w:rsid w:val="00162A6A"/>
    <w:rsid w:val="00162ECF"/>
    <w:rsid w:val="00162F52"/>
    <w:rsid w:val="00163030"/>
    <w:rsid w:val="00163046"/>
    <w:rsid w:val="001633B8"/>
    <w:rsid w:val="001636EA"/>
    <w:rsid w:val="00163881"/>
    <w:rsid w:val="00163996"/>
    <w:rsid w:val="00163C03"/>
    <w:rsid w:val="00163C27"/>
    <w:rsid w:val="00163CF9"/>
    <w:rsid w:val="00163DFD"/>
    <w:rsid w:val="00163EF5"/>
    <w:rsid w:val="00163FC4"/>
    <w:rsid w:val="00163FDB"/>
    <w:rsid w:val="001640C8"/>
    <w:rsid w:val="0016411A"/>
    <w:rsid w:val="00164263"/>
    <w:rsid w:val="00164523"/>
    <w:rsid w:val="00164533"/>
    <w:rsid w:val="001645B5"/>
    <w:rsid w:val="00164613"/>
    <w:rsid w:val="00164B3F"/>
    <w:rsid w:val="00164CC2"/>
    <w:rsid w:val="00164E73"/>
    <w:rsid w:val="00164F4B"/>
    <w:rsid w:val="001651CC"/>
    <w:rsid w:val="0016527A"/>
    <w:rsid w:val="00165375"/>
    <w:rsid w:val="001653C2"/>
    <w:rsid w:val="00165531"/>
    <w:rsid w:val="001657E5"/>
    <w:rsid w:val="001658BF"/>
    <w:rsid w:val="00165994"/>
    <w:rsid w:val="001659E4"/>
    <w:rsid w:val="00165A48"/>
    <w:rsid w:val="00165D68"/>
    <w:rsid w:val="00165DA1"/>
    <w:rsid w:val="00165F40"/>
    <w:rsid w:val="00165FDE"/>
    <w:rsid w:val="0016619D"/>
    <w:rsid w:val="001661E8"/>
    <w:rsid w:val="00166343"/>
    <w:rsid w:val="00166480"/>
    <w:rsid w:val="00166612"/>
    <w:rsid w:val="00166675"/>
    <w:rsid w:val="00166B30"/>
    <w:rsid w:val="00166C80"/>
    <w:rsid w:val="00166DC7"/>
    <w:rsid w:val="00166DDA"/>
    <w:rsid w:val="00166E2E"/>
    <w:rsid w:val="00166EE2"/>
    <w:rsid w:val="00167161"/>
    <w:rsid w:val="001671D2"/>
    <w:rsid w:val="0016756A"/>
    <w:rsid w:val="0016769D"/>
    <w:rsid w:val="0016774A"/>
    <w:rsid w:val="00167923"/>
    <w:rsid w:val="00167993"/>
    <w:rsid w:val="00167B38"/>
    <w:rsid w:val="00167B40"/>
    <w:rsid w:val="00167D1D"/>
    <w:rsid w:val="00167FB7"/>
    <w:rsid w:val="00170134"/>
    <w:rsid w:val="001702CA"/>
    <w:rsid w:val="00170321"/>
    <w:rsid w:val="00170434"/>
    <w:rsid w:val="001704A1"/>
    <w:rsid w:val="00170723"/>
    <w:rsid w:val="001707CA"/>
    <w:rsid w:val="001708B9"/>
    <w:rsid w:val="001709F1"/>
    <w:rsid w:val="00170B11"/>
    <w:rsid w:val="00170C13"/>
    <w:rsid w:val="00170D58"/>
    <w:rsid w:val="00170D8A"/>
    <w:rsid w:val="00170F4D"/>
    <w:rsid w:val="00171109"/>
    <w:rsid w:val="00171154"/>
    <w:rsid w:val="001713AD"/>
    <w:rsid w:val="00171617"/>
    <w:rsid w:val="00171836"/>
    <w:rsid w:val="00171C50"/>
    <w:rsid w:val="00171FDD"/>
    <w:rsid w:val="001721CD"/>
    <w:rsid w:val="0017237F"/>
    <w:rsid w:val="001726DD"/>
    <w:rsid w:val="0017280D"/>
    <w:rsid w:val="001728F3"/>
    <w:rsid w:val="00172E00"/>
    <w:rsid w:val="00172E62"/>
    <w:rsid w:val="00172E73"/>
    <w:rsid w:val="00172ECD"/>
    <w:rsid w:val="00172F47"/>
    <w:rsid w:val="00172FA8"/>
    <w:rsid w:val="00173188"/>
    <w:rsid w:val="001731C0"/>
    <w:rsid w:val="00173244"/>
    <w:rsid w:val="00173554"/>
    <w:rsid w:val="0017373F"/>
    <w:rsid w:val="00173791"/>
    <w:rsid w:val="001738E2"/>
    <w:rsid w:val="00173C1F"/>
    <w:rsid w:val="00173C57"/>
    <w:rsid w:val="001743F0"/>
    <w:rsid w:val="001745BB"/>
    <w:rsid w:val="00174966"/>
    <w:rsid w:val="00174ABF"/>
    <w:rsid w:val="00174F37"/>
    <w:rsid w:val="00175057"/>
    <w:rsid w:val="001750E5"/>
    <w:rsid w:val="001752F0"/>
    <w:rsid w:val="0017530D"/>
    <w:rsid w:val="00175403"/>
    <w:rsid w:val="001757CE"/>
    <w:rsid w:val="0017583B"/>
    <w:rsid w:val="00175A53"/>
    <w:rsid w:val="00175C81"/>
    <w:rsid w:val="00175F29"/>
    <w:rsid w:val="00175FD7"/>
    <w:rsid w:val="00176099"/>
    <w:rsid w:val="001762C6"/>
    <w:rsid w:val="00176563"/>
    <w:rsid w:val="00176626"/>
    <w:rsid w:val="00176820"/>
    <w:rsid w:val="00176823"/>
    <w:rsid w:val="00176A52"/>
    <w:rsid w:val="00176B64"/>
    <w:rsid w:val="00176CE8"/>
    <w:rsid w:val="00177001"/>
    <w:rsid w:val="001775E2"/>
    <w:rsid w:val="00177837"/>
    <w:rsid w:val="00177C75"/>
    <w:rsid w:val="00177FA3"/>
    <w:rsid w:val="00180250"/>
    <w:rsid w:val="001807FA"/>
    <w:rsid w:val="001809AB"/>
    <w:rsid w:val="00180BCF"/>
    <w:rsid w:val="00180BDA"/>
    <w:rsid w:val="00180C18"/>
    <w:rsid w:val="00180DB2"/>
    <w:rsid w:val="00180E83"/>
    <w:rsid w:val="00180FFA"/>
    <w:rsid w:val="0018108F"/>
    <w:rsid w:val="00181124"/>
    <w:rsid w:val="00181126"/>
    <w:rsid w:val="0018134E"/>
    <w:rsid w:val="00181418"/>
    <w:rsid w:val="00181489"/>
    <w:rsid w:val="001815A0"/>
    <w:rsid w:val="001815EE"/>
    <w:rsid w:val="001816EF"/>
    <w:rsid w:val="00181AAD"/>
    <w:rsid w:val="00181B63"/>
    <w:rsid w:val="00181B9F"/>
    <w:rsid w:val="00181D24"/>
    <w:rsid w:val="00181F56"/>
    <w:rsid w:val="0018235B"/>
    <w:rsid w:val="00182465"/>
    <w:rsid w:val="001826E7"/>
    <w:rsid w:val="00182713"/>
    <w:rsid w:val="0018283A"/>
    <w:rsid w:val="00182A0F"/>
    <w:rsid w:val="00182A7A"/>
    <w:rsid w:val="00182B36"/>
    <w:rsid w:val="00182E3B"/>
    <w:rsid w:val="00182E7E"/>
    <w:rsid w:val="00182F94"/>
    <w:rsid w:val="001831B6"/>
    <w:rsid w:val="001833E9"/>
    <w:rsid w:val="00183520"/>
    <w:rsid w:val="0018361A"/>
    <w:rsid w:val="0018368A"/>
    <w:rsid w:val="001837F5"/>
    <w:rsid w:val="00183DE8"/>
    <w:rsid w:val="00183F22"/>
    <w:rsid w:val="00183FE8"/>
    <w:rsid w:val="001840A1"/>
    <w:rsid w:val="0018425F"/>
    <w:rsid w:val="0018426D"/>
    <w:rsid w:val="001842F2"/>
    <w:rsid w:val="00184355"/>
    <w:rsid w:val="001843B8"/>
    <w:rsid w:val="00184634"/>
    <w:rsid w:val="00184697"/>
    <w:rsid w:val="001846AF"/>
    <w:rsid w:val="00184839"/>
    <w:rsid w:val="00184960"/>
    <w:rsid w:val="0018497E"/>
    <w:rsid w:val="00184C05"/>
    <w:rsid w:val="00184E7A"/>
    <w:rsid w:val="00184F20"/>
    <w:rsid w:val="00184FD7"/>
    <w:rsid w:val="00184FD9"/>
    <w:rsid w:val="0018515A"/>
    <w:rsid w:val="001853AA"/>
    <w:rsid w:val="001853F6"/>
    <w:rsid w:val="00185620"/>
    <w:rsid w:val="001857EB"/>
    <w:rsid w:val="00185864"/>
    <w:rsid w:val="00185AD7"/>
    <w:rsid w:val="00185B23"/>
    <w:rsid w:val="00185B3F"/>
    <w:rsid w:val="00185FED"/>
    <w:rsid w:val="001864A4"/>
    <w:rsid w:val="001864EB"/>
    <w:rsid w:val="00186559"/>
    <w:rsid w:val="0018656F"/>
    <w:rsid w:val="001866C7"/>
    <w:rsid w:val="00186D26"/>
    <w:rsid w:val="00186ECE"/>
    <w:rsid w:val="00186FA2"/>
    <w:rsid w:val="00186FC8"/>
    <w:rsid w:val="0018724B"/>
    <w:rsid w:val="001873E2"/>
    <w:rsid w:val="001877D4"/>
    <w:rsid w:val="00187A63"/>
    <w:rsid w:val="00187AA0"/>
    <w:rsid w:val="00187BB2"/>
    <w:rsid w:val="00187D0F"/>
    <w:rsid w:val="00187EB5"/>
    <w:rsid w:val="00187ECD"/>
    <w:rsid w:val="00187FA5"/>
    <w:rsid w:val="00190349"/>
    <w:rsid w:val="00190882"/>
    <w:rsid w:val="001909BF"/>
    <w:rsid w:val="00190BC1"/>
    <w:rsid w:val="00190BDD"/>
    <w:rsid w:val="00190C09"/>
    <w:rsid w:val="00190C5C"/>
    <w:rsid w:val="00190CAC"/>
    <w:rsid w:val="00190E9E"/>
    <w:rsid w:val="00190F08"/>
    <w:rsid w:val="00190FAB"/>
    <w:rsid w:val="0019128B"/>
    <w:rsid w:val="0019130F"/>
    <w:rsid w:val="00191355"/>
    <w:rsid w:val="00191391"/>
    <w:rsid w:val="00191534"/>
    <w:rsid w:val="00191573"/>
    <w:rsid w:val="0019167C"/>
    <w:rsid w:val="00191DBE"/>
    <w:rsid w:val="00191DF6"/>
    <w:rsid w:val="00192169"/>
    <w:rsid w:val="0019233B"/>
    <w:rsid w:val="00192431"/>
    <w:rsid w:val="0019244F"/>
    <w:rsid w:val="00192940"/>
    <w:rsid w:val="00192953"/>
    <w:rsid w:val="00192BD9"/>
    <w:rsid w:val="00192C45"/>
    <w:rsid w:val="00192D4F"/>
    <w:rsid w:val="00192F8D"/>
    <w:rsid w:val="00193022"/>
    <w:rsid w:val="0019383E"/>
    <w:rsid w:val="00193962"/>
    <w:rsid w:val="001939B5"/>
    <w:rsid w:val="00193A9F"/>
    <w:rsid w:val="00193EE3"/>
    <w:rsid w:val="00193F05"/>
    <w:rsid w:val="001941C0"/>
    <w:rsid w:val="001944A4"/>
    <w:rsid w:val="00194636"/>
    <w:rsid w:val="00194693"/>
    <w:rsid w:val="001946F1"/>
    <w:rsid w:val="0019470C"/>
    <w:rsid w:val="0019498A"/>
    <w:rsid w:val="0019499F"/>
    <w:rsid w:val="00194A8A"/>
    <w:rsid w:val="00194A8D"/>
    <w:rsid w:val="00194B26"/>
    <w:rsid w:val="00194B54"/>
    <w:rsid w:val="001950C8"/>
    <w:rsid w:val="00195202"/>
    <w:rsid w:val="0019538C"/>
    <w:rsid w:val="001954B3"/>
    <w:rsid w:val="00195953"/>
    <w:rsid w:val="00195B10"/>
    <w:rsid w:val="00195C7E"/>
    <w:rsid w:val="00195CE4"/>
    <w:rsid w:val="001962B1"/>
    <w:rsid w:val="001962F6"/>
    <w:rsid w:val="00196445"/>
    <w:rsid w:val="0019652D"/>
    <w:rsid w:val="001968FC"/>
    <w:rsid w:val="00196AE2"/>
    <w:rsid w:val="00196B4D"/>
    <w:rsid w:val="00196B82"/>
    <w:rsid w:val="00196D8E"/>
    <w:rsid w:val="00196DCC"/>
    <w:rsid w:val="001972A6"/>
    <w:rsid w:val="001975EF"/>
    <w:rsid w:val="0019765A"/>
    <w:rsid w:val="00197705"/>
    <w:rsid w:val="00197840"/>
    <w:rsid w:val="00197AC1"/>
    <w:rsid w:val="00197B59"/>
    <w:rsid w:val="00197B7C"/>
    <w:rsid w:val="00197BD0"/>
    <w:rsid w:val="00197C4C"/>
    <w:rsid w:val="00197CFB"/>
    <w:rsid w:val="00197E94"/>
    <w:rsid w:val="00197EF0"/>
    <w:rsid w:val="001A0002"/>
    <w:rsid w:val="001A0057"/>
    <w:rsid w:val="001A024F"/>
    <w:rsid w:val="001A027B"/>
    <w:rsid w:val="001A07B6"/>
    <w:rsid w:val="001A0884"/>
    <w:rsid w:val="001A0B0E"/>
    <w:rsid w:val="001A0FC8"/>
    <w:rsid w:val="001A1117"/>
    <w:rsid w:val="001A13D7"/>
    <w:rsid w:val="001A13EE"/>
    <w:rsid w:val="001A145A"/>
    <w:rsid w:val="001A1769"/>
    <w:rsid w:val="001A18DF"/>
    <w:rsid w:val="001A1E67"/>
    <w:rsid w:val="001A204D"/>
    <w:rsid w:val="001A2301"/>
    <w:rsid w:val="001A2520"/>
    <w:rsid w:val="001A2594"/>
    <w:rsid w:val="001A2688"/>
    <w:rsid w:val="001A2862"/>
    <w:rsid w:val="001A2C9D"/>
    <w:rsid w:val="001A2CD4"/>
    <w:rsid w:val="001A2D7F"/>
    <w:rsid w:val="001A2E39"/>
    <w:rsid w:val="001A2FE0"/>
    <w:rsid w:val="001A3250"/>
    <w:rsid w:val="001A32F2"/>
    <w:rsid w:val="001A3399"/>
    <w:rsid w:val="001A339A"/>
    <w:rsid w:val="001A37D7"/>
    <w:rsid w:val="001A38B0"/>
    <w:rsid w:val="001A3B1F"/>
    <w:rsid w:val="001A3B3E"/>
    <w:rsid w:val="001A3C96"/>
    <w:rsid w:val="001A3DB7"/>
    <w:rsid w:val="001A3EEB"/>
    <w:rsid w:val="001A4346"/>
    <w:rsid w:val="001A4511"/>
    <w:rsid w:val="001A45A0"/>
    <w:rsid w:val="001A45CF"/>
    <w:rsid w:val="001A47A3"/>
    <w:rsid w:val="001A4E92"/>
    <w:rsid w:val="001A4FA7"/>
    <w:rsid w:val="001A5102"/>
    <w:rsid w:val="001A510F"/>
    <w:rsid w:val="001A5146"/>
    <w:rsid w:val="001A5187"/>
    <w:rsid w:val="001A53BF"/>
    <w:rsid w:val="001A5569"/>
    <w:rsid w:val="001A56A6"/>
    <w:rsid w:val="001A56BB"/>
    <w:rsid w:val="001A5841"/>
    <w:rsid w:val="001A5B26"/>
    <w:rsid w:val="001A5D84"/>
    <w:rsid w:val="001A5DB4"/>
    <w:rsid w:val="001A5E1D"/>
    <w:rsid w:val="001A5FC7"/>
    <w:rsid w:val="001A6093"/>
    <w:rsid w:val="001A6146"/>
    <w:rsid w:val="001A616F"/>
    <w:rsid w:val="001A618C"/>
    <w:rsid w:val="001A61E6"/>
    <w:rsid w:val="001A645C"/>
    <w:rsid w:val="001A65C7"/>
    <w:rsid w:val="001A66FE"/>
    <w:rsid w:val="001A670D"/>
    <w:rsid w:val="001A698F"/>
    <w:rsid w:val="001A6AF6"/>
    <w:rsid w:val="001A6B55"/>
    <w:rsid w:val="001A6C8C"/>
    <w:rsid w:val="001A7336"/>
    <w:rsid w:val="001A746C"/>
    <w:rsid w:val="001A74CC"/>
    <w:rsid w:val="001A74F8"/>
    <w:rsid w:val="001A7517"/>
    <w:rsid w:val="001A7957"/>
    <w:rsid w:val="001A7B03"/>
    <w:rsid w:val="001A7CA7"/>
    <w:rsid w:val="001A7CCD"/>
    <w:rsid w:val="001A7D92"/>
    <w:rsid w:val="001A7DD3"/>
    <w:rsid w:val="001A7E7A"/>
    <w:rsid w:val="001A7F08"/>
    <w:rsid w:val="001A7F81"/>
    <w:rsid w:val="001A7FA7"/>
    <w:rsid w:val="001A7FF1"/>
    <w:rsid w:val="001B0056"/>
    <w:rsid w:val="001B013A"/>
    <w:rsid w:val="001B0230"/>
    <w:rsid w:val="001B02D9"/>
    <w:rsid w:val="001B03D2"/>
    <w:rsid w:val="001B03F9"/>
    <w:rsid w:val="001B06C8"/>
    <w:rsid w:val="001B0724"/>
    <w:rsid w:val="001B093D"/>
    <w:rsid w:val="001B0978"/>
    <w:rsid w:val="001B0A9E"/>
    <w:rsid w:val="001B0BF5"/>
    <w:rsid w:val="001B0F94"/>
    <w:rsid w:val="001B112B"/>
    <w:rsid w:val="001B13F5"/>
    <w:rsid w:val="001B1610"/>
    <w:rsid w:val="001B161D"/>
    <w:rsid w:val="001B178C"/>
    <w:rsid w:val="001B180C"/>
    <w:rsid w:val="001B1853"/>
    <w:rsid w:val="001B1DF1"/>
    <w:rsid w:val="001B1E83"/>
    <w:rsid w:val="001B1F43"/>
    <w:rsid w:val="001B2056"/>
    <w:rsid w:val="001B20D2"/>
    <w:rsid w:val="001B237F"/>
    <w:rsid w:val="001B2493"/>
    <w:rsid w:val="001B25CB"/>
    <w:rsid w:val="001B26B8"/>
    <w:rsid w:val="001B27AB"/>
    <w:rsid w:val="001B2924"/>
    <w:rsid w:val="001B2966"/>
    <w:rsid w:val="001B2AF5"/>
    <w:rsid w:val="001B2CCF"/>
    <w:rsid w:val="001B2CD1"/>
    <w:rsid w:val="001B2DA0"/>
    <w:rsid w:val="001B2E00"/>
    <w:rsid w:val="001B2E73"/>
    <w:rsid w:val="001B3333"/>
    <w:rsid w:val="001B34AC"/>
    <w:rsid w:val="001B34EC"/>
    <w:rsid w:val="001B3520"/>
    <w:rsid w:val="001B354A"/>
    <w:rsid w:val="001B35EC"/>
    <w:rsid w:val="001B36B3"/>
    <w:rsid w:val="001B3907"/>
    <w:rsid w:val="001B3A4A"/>
    <w:rsid w:val="001B3B2E"/>
    <w:rsid w:val="001B3DFA"/>
    <w:rsid w:val="001B3E55"/>
    <w:rsid w:val="001B44A5"/>
    <w:rsid w:val="001B4649"/>
    <w:rsid w:val="001B4781"/>
    <w:rsid w:val="001B49CE"/>
    <w:rsid w:val="001B4BAF"/>
    <w:rsid w:val="001B4E48"/>
    <w:rsid w:val="001B4EBB"/>
    <w:rsid w:val="001B5252"/>
    <w:rsid w:val="001B52B0"/>
    <w:rsid w:val="001B535B"/>
    <w:rsid w:val="001B5517"/>
    <w:rsid w:val="001B5520"/>
    <w:rsid w:val="001B581C"/>
    <w:rsid w:val="001B5A70"/>
    <w:rsid w:val="001B5B8F"/>
    <w:rsid w:val="001B5C19"/>
    <w:rsid w:val="001B5C2C"/>
    <w:rsid w:val="001B5C78"/>
    <w:rsid w:val="001B61CB"/>
    <w:rsid w:val="001B623A"/>
    <w:rsid w:val="001B62B4"/>
    <w:rsid w:val="001B637D"/>
    <w:rsid w:val="001B66EE"/>
    <w:rsid w:val="001B67D8"/>
    <w:rsid w:val="001B6C01"/>
    <w:rsid w:val="001B7171"/>
    <w:rsid w:val="001B7231"/>
    <w:rsid w:val="001B7453"/>
    <w:rsid w:val="001B7776"/>
    <w:rsid w:val="001B7871"/>
    <w:rsid w:val="001B7D53"/>
    <w:rsid w:val="001C026A"/>
    <w:rsid w:val="001C02AA"/>
    <w:rsid w:val="001C0352"/>
    <w:rsid w:val="001C0623"/>
    <w:rsid w:val="001C0661"/>
    <w:rsid w:val="001C07BB"/>
    <w:rsid w:val="001C07DD"/>
    <w:rsid w:val="001C0924"/>
    <w:rsid w:val="001C0BFC"/>
    <w:rsid w:val="001C0C05"/>
    <w:rsid w:val="001C0F9C"/>
    <w:rsid w:val="001C1154"/>
    <w:rsid w:val="001C12F7"/>
    <w:rsid w:val="001C16A8"/>
    <w:rsid w:val="001C1703"/>
    <w:rsid w:val="001C1707"/>
    <w:rsid w:val="001C1892"/>
    <w:rsid w:val="001C1ACC"/>
    <w:rsid w:val="001C1C28"/>
    <w:rsid w:val="001C2606"/>
    <w:rsid w:val="001C272E"/>
    <w:rsid w:val="001C2791"/>
    <w:rsid w:val="001C2908"/>
    <w:rsid w:val="001C290D"/>
    <w:rsid w:val="001C2B59"/>
    <w:rsid w:val="001C2C2E"/>
    <w:rsid w:val="001C2CA6"/>
    <w:rsid w:val="001C3089"/>
    <w:rsid w:val="001C30C6"/>
    <w:rsid w:val="001C31ED"/>
    <w:rsid w:val="001C329F"/>
    <w:rsid w:val="001C34B7"/>
    <w:rsid w:val="001C3890"/>
    <w:rsid w:val="001C3B3B"/>
    <w:rsid w:val="001C3CCB"/>
    <w:rsid w:val="001C3F66"/>
    <w:rsid w:val="001C404C"/>
    <w:rsid w:val="001C4178"/>
    <w:rsid w:val="001C4204"/>
    <w:rsid w:val="001C4451"/>
    <w:rsid w:val="001C46BF"/>
    <w:rsid w:val="001C46D6"/>
    <w:rsid w:val="001C4853"/>
    <w:rsid w:val="001C4926"/>
    <w:rsid w:val="001C498F"/>
    <w:rsid w:val="001C4A09"/>
    <w:rsid w:val="001C4A53"/>
    <w:rsid w:val="001C4A91"/>
    <w:rsid w:val="001C4C7A"/>
    <w:rsid w:val="001C4CCF"/>
    <w:rsid w:val="001C4ED5"/>
    <w:rsid w:val="001C4F47"/>
    <w:rsid w:val="001C4FAC"/>
    <w:rsid w:val="001C50AD"/>
    <w:rsid w:val="001C51A7"/>
    <w:rsid w:val="001C5473"/>
    <w:rsid w:val="001C601A"/>
    <w:rsid w:val="001C6524"/>
    <w:rsid w:val="001C655D"/>
    <w:rsid w:val="001C690B"/>
    <w:rsid w:val="001C6B1B"/>
    <w:rsid w:val="001C6C9E"/>
    <w:rsid w:val="001C6D2E"/>
    <w:rsid w:val="001C6F35"/>
    <w:rsid w:val="001C7010"/>
    <w:rsid w:val="001C7047"/>
    <w:rsid w:val="001C70EB"/>
    <w:rsid w:val="001C71DC"/>
    <w:rsid w:val="001C7303"/>
    <w:rsid w:val="001C73A9"/>
    <w:rsid w:val="001C7420"/>
    <w:rsid w:val="001C744A"/>
    <w:rsid w:val="001C7708"/>
    <w:rsid w:val="001C7AE6"/>
    <w:rsid w:val="001C7FCE"/>
    <w:rsid w:val="001D008E"/>
    <w:rsid w:val="001D00E7"/>
    <w:rsid w:val="001D03A7"/>
    <w:rsid w:val="001D03DB"/>
    <w:rsid w:val="001D048C"/>
    <w:rsid w:val="001D0632"/>
    <w:rsid w:val="001D0641"/>
    <w:rsid w:val="001D06F8"/>
    <w:rsid w:val="001D0957"/>
    <w:rsid w:val="001D095D"/>
    <w:rsid w:val="001D0A3C"/>
    <w:rsid w:val="001D0B05"/>
    <w:rsid w:val="001D0B71"/>
    <w:rsid w:val="001D0C07"/>
    <w:rsid w:val="001D0C20"/>
    <w:rsid w:val="001D0DCB"/>
    <w:rsid w:val="001D0E48"/>
    <w:rsid w:val="001D0EC7"/>
    <w:rsid w:val="001D0EF3"/>
    <w:rsid w:val="001D1077"/>
    <w:rsid w:val="001D1348"/>
    <w:rsid w:val="001D13A0"/>
    <w:rsid w:val="001D15DB"/>
    <w:rsid w:val="001D1764"/>
    <w:rsid w:val="001D18B2"/>
    <w:rsid w:val="001D1AC9"/>
    <w:rsid w:val="001D1AD8"/>
    <w:rsid w:val="001D1F27"/>
    <w:rsid w:val="001D206E"/>
    <w:rsid w:val="001D2117"/>
    <w:rsid w:val="001D254A"/>
    <w:rsid w:val="001D2554"/>
    <w:rsid w:val="001D2601"/>
    <w:rsid w:val="001D26E7"/>
    <w:rsid w:val="001D290E"/>
    <w:rsid w:val="001D2B91"/>
    <w:rsid w:val="001D2D03"/>
    <w:rsid w:val="001D2D76"/>
    <w:rsid w:val="001D2EB1"/>
    <w:rsid w:val="001D3085"/>
    <w:rsid w:val="001D312A"/>
    <w:rsid w:val="001D33D1"/>
    <w:rsid w:val="001D3571"/>
    <w:rsid w:val="001D3614"/>
    <w:rsid w:val="001D3757"/>
    <w:rsid w:val="001D3DB3"/>
    <w:rsid w:val="001D3E71"/>
    <w:rsid w:val="001D3F94"/>
    <w:rsid w:val="001D3FD6"/>
    <w:rsid w:val="001D4089"/>
    <w:rsid w:val="001D41DB"/>
    <w:rsid w:val="001D4C32"/>
    <w:rsid w:val="001D4DD8"/>
    <w:rsid w:val="001D4DF8"/>
    <w:rsid w:val="001D50FB"/>
    <w:rsid w:val="001D53B4"/>
    <w:rsid w:val="001D5618"/>
    <w:rsid w:val="001D573C"/>
    <w:rsid w:val="001D5BFD"/>
    <w:rsid w:val="001D5F09"/>
    <w:rsid w:val="001D62A8"/>
    <w:rsid w:val="001D6446"/>
    <w:rsid w:val="001D649C"/>
    <w:rsid w:val="001D64D2"/>
    <w:rsid w:val="001D6670"/>
    <w:rsid w:val="001D6793"/>
    <w:rsid w:val="001D6B26"/>
    <w:rsid w:val="001D6D13"/>
    <w:rsid w:val="001D6F75"/>
    <w:rsid w:val="001D715E"/>
    <w:rsid w:val="001D72AB"/>
    <w:rsid w:val="001D73E8"/>
    <w:rsid w:val="001D7875"/>
    <w:rsid w:val="001D7902"/>
    <w:rsid w:val="001D7B2D"/>
    <w:rsid w:val="001D7BDC"/>
    <w:rsid w:val="001D7C31"/>
    <w:rsid w:val="001D7C3D"/>
    <w:rsid w:val="001E010C"/>
    <w:rsid w:val="001E0166"/>
    <w:rsid w:val="001E016B"/>
    <w:rsid w:val="001E0340"/>
    <w:rsid w:val="001E04FB"/>
    <w:rsid w:val="001E0632"/>
    <w:rsid w:val="001E0DF4"/>
    <w:rsid w:val="001E1234"/>
    <w:rsid w:val="001E13D6"/>
    <w:rsid w:val="001E15A3"/>
    <w:rsid w:val="001E163C"/>
    <w:rsid w:val="001E1667"/>
    <w:rsid w:val="001E16B7"/>
    <w:rsid w:val="001E19AB"/>
    <w:rsid w:val="001E1A3C"/>
    <w:rsid w:val="001E1ABB"/>
    <w:rsid w:val="001E1B8E"/>
    <w:rsid w:val="001E1E80"/>
    <w:rsid w:val="001E1EB6"/>
    <w:rsid w:val="001E2096"/>
    <w:rsid w:val="001E234B"/>
    <w:rsid w:val="001E23A5"/>
    <w:rsid w:val="001E25EA"/>
    <w:rsid w:val="001E2A1A"/>
    <w:rsid w:val="001E2A53"/>
    <w:rsid w:val="001E2C0C"/>
    <w:rsid w:val="001E3362"/>
    <w:rsid w:val="001E3383"/>
    <w:rsid w:val="001E349B"/>
    <w:rsid w:val="001E34BE"/>
    <w:rsid w:val="001E35D5"/>
    <w:rsid w:val="001E3691"/>
    <w:rsid w:val="001E3716"/>
    <w:rsid w:val="001E3994"/>
    <w:rsid w:val="001E3A2F"/>
    <w:rsid w:val="001E3ACA"/>
    <w:rsid w:val="001E3B68"/>
    <w:rsid w:val="001E3C6A"/>
    <w:rsid w:val="001E3C8F"/>
    <w:rsid w:val="001E4383"/>
    <w:rsid w:val="001E44DF"/>
    <w:rsid w:val="001E49A9"/>
    <w:rsid w:val="001E4BCC"/>
    <w:rsid w:val="001E4BEB"/>
    <w:rsid w:val="001E4C44"/>
    <w:rsid w:val="001E4F8A"/>
    <w:rsid w:val="001E500B"/>
    <w:rsid w:val="001E50AC"/>
    <w:rsid w:val="001E54EB"/>
    <w:rsid w:val="001E5541"/>
    <w:rsid w:val="001E562F"/>
    <w:rsid w:val="001E569A"/>
    <w:rsid w:val="001E584B"/>
    <w:rsid w:val="001E58AA"/>
    <w:rsid w:val="001E5B96"/>
    <w:rsid w:val="001E5BBC"/>
    <w:rsid w:val="001E5BFE"/>
    <w:rsid w:val="001E5F71"/>
    <w:rsid w:val="001E6154"/>
    <w:rsid w:val="001E618A"/>
    <w:rsid w:val="001E619B"/>
    <w:rsid w:val="001E61DF"/>
    <w:rsid w:val="001E61ED"/>
    <w:rsid w:val="001E646B"/>
    <w:rsid w:val="001E654E"/>
    <w:rsid w:val="001E66EE"/>
    <w:rsid w:val="001E6704"/>
    <w:rsid w:val="001E69EF"/>
    <w:rsid w:val="001E6B20"/>
    <w:rsid w:val="001E6C66"/>
    <w:rsid w:val="001E7154"/>
    <w:rsid w:val="001E7248"/>
    <w:rsid w:val="001E797E"/>
    <w:rsid w:val="001E79AD"/>
    <w:rsid w:val="001E7A0D"/>
    <w:rsid w:val="001E7A6A"/>
    <w:rsid w:val="001E7AFA"/>
    <w:rsid w:val="001E7D3E"/>
    <w:rsid w:val="001F00A7"/>
    <w:rsid w:val="001F029F"/>
    <w:rsid w:val="001F02FD"/>
    <w:rsid w:val="001F057B"/>
    <w:rsid w:val="001F06D9"/>
    <w:rsid w:val="001F06E8"/>
    <w:rsid w:val="001F0793"/>
    <w:rsid w:val="001F0B6C"/>
    <w:rsid w:val="001F0BC0"/>
    <w:rsid w:val="001F0C1E"/>
    <w:rsid w:val="001F0D31"/>
    <w:rsid w:val="001F0D46"/>
    <w:rsid w:val="001F0EE3"/>
    <w:rsid w:val="001F0F0B"/>
    <w:rsid w:val="001F0F11"/>
    <w:rsid w:val="001F0FAF"/>
    <w:rsid w:val="001F10AC"/>
    <w:rsid w:val="001F10E1"/>
    <w:rsid w:val="001F1185"/>
    <w:rsid w:val="001F1364"/>
    <w:rsid w:val="001F14CA"/>
    <w:rsid w:val="001F1757"/>
    <w:rsid w:val="001F194A"/>
    <w:rsid w:val="001F196C"/>
    <w:rsid w:val="001F1B5D"/>
    <w:rsid w:val="001F1CAB"/>
    <w:rsid w:val="001F1ED3"/>
    <w:rsid w:val="001F1FE3"/>
    <w:rsid w:val="001F214F"/>
    <w:rsid w:val="001F2289"/>
    <w:rsid w:val="001F2396"/>
    <w:rsid w:val="001F245F"/>
    <w:rsid w:val="001F262A"/>
    <w:rsid w:val="001F2B3C"/>
    <w:rsid w:val="001F2B62"/>
    <w:rsid w:val="001F2D5A"/>
    <w:rsid w:val="001F2E66"/>
    <w:rsid w:val="001F2F07"/>
    <w:rsid w:val="001F3235"/>
    <w:rsid w:val="001F3324"/>
    <w:rsid w:val="001F33F7"/>
    <w:rsid w:val="001F3517"/>
    <w:rsid w:val="001F35FD"/>
    <w:rsid w:val="001F3689"/>
    <w:rsid w:val="001F37CD"/>
    <w:rsid w:val="001F385C"/>
    <w:rsid w:val="001F38BE"/>
    <w:rsid w:val="001F39B4"/>
    <w:rsid w:val="001F3B0A"/>
    <w:rsid w:val="001F3B6A"/>
    <w:rsid w:val="001F3C2F"/>
    <w:rsid w:val="001F3E44"/>
    <w:rsid w:val="001F3EB4"/>
    <w:rsid w:val="001F4825"/>
    <w:rsid w:val="001F4903"/>
    <w:rsid w:val="001F4B59"/>
    <w:rsid w:val="001F4C11"/>
    <w:rsid w:val="001F4D9D"/>
    <w:rsid w:val="001F4ECE"/>
    <w:rsid w:val="001F4FFD"/>
    <w:rsid w:val="001F501C"/>
    <w:rsid w:val="001F5052"/>
    <w:rsid w:val="001F5082"/>
    <w:rsid w:val="001F513C"/>
    <w:rsid w:val="001F551F"/>
    <w:rsid w:val="001F55BE"/>
    <w:rsid w:val="001F56C2"/>
    <w:rsid w:val="001F579F"/>
    <w:rsid w:val="001F57CC"/>
    <w:rsid w:val="001F58E8"/>
    <w:rsid w:val="001F5ADE"/>
    <w:rsid w:val="001F5DD0"/>
    <w:rsid w:val="001F5EAE"/>
    <w:rsid w:val="001F61B8"/>
    <w:rsid w:val="001F634B"/>
    <w:rsid w:val="001F6383"/>
    <w:rsid w:val="001F65FD"/>
    <w:rsid w:val="001F6839"/>
    <w:rsid w:val="001F69AD"/>
    <w:rsid w:val="001F6A99"/>
    <w:rsid w:val="001F6BD0"/>
    <w:rsid w:val="001F6E14"/>
    <w:rsid w:val="001F6F88"/>
    <w:rsid w:val="001F7262"/>
    <w:rsid w:val="001F736E"/>
    <w:rsid w:val="001F7503"/>
    <w:rsid w:val="001F777A"/>
    <w:rsid w:val="001F79C4"/>
    <w:rsid w:val="001F7A07"/>
    <w:rsid w:val="001F7B64"/>
    <w:rsid w:val="001F7D43"/>
    <w:rsid w:val="002003EE"/>
    <w:rsid w:val="00200731"/>
    <w:rsid w:val="00200888"/>
    <w:rsid w:val="00200A79"/>
    <w:rsid w:val="00200A97"/>
    <w:rsid w:val="00200E84"/>
    <w:rsid w:val="00200FFD"/>
    <w:rsid w:val="00201206"/>
    <w:rsid w:val="00201226"/>
    <w:rsid w:val="00201403"/>
    <w:rsid w:val="0020140A"/>
    <w:rsid w:val="0020141D"/>
    <w:rsid w:val="002016F3"/>
    <w:rsid w:val="002017D7"/>
    <w:rsid w:val="002018EF"/>
    <w:rsid w:val="0020195F"/>
    <w:rsid w:val="00201C58"/>
    <w:rsid w:val="00201D81"/>
    <w:rsid w:val="002020FF"/>
    <w:rsid w:val="002023BF"/>
    <w:rsid w:val="002023F9"/>
    <w:rsid w:val="00202954"/>
    <w:rsid w:val="0020295C"/>
    <w:rsid w:val="00202F28"/>
    <w:rsid w:val="00202F46"/>
    <w:rsid w:val="00202FA2"/>
    <w:rsid w:val="00203154"/>
    <w:rsid w:val="00203176"/>
    <w:rsid w:val="002032F8"/>
    <w:rsid w:val="00203738"/>
    <w:rsid w:val="002037C1"/>
    <w:rsid w:val="002039EF"/>
    <w:rsid w:val="00203B7D"/>
    <w:rsid w:val="00203EE0"/>
    <w:rsid w:val="00204012"/>
    <w:rsid w:val="002041DC"/>
    <w:rsid w:val="002043D6"/>
    <w:rsid w:val="0020446E"/>
    <w:rsid w:val="002045A0"/>
    <w:rsid w:val="00204674"/>
    <w:rsid w:val="002046D0"/>
    <w:rsid w:val="002047B7"/>
    <w:rsid w:val="00204846"/>
    <w:rsid w:val="00204B18"/>
    <w:rsid w:val="00204B79"/>
    <w:rsid w:val="00204CB5"/>
    <w:rsid w:val="00204CBA"/>
    <w:rsid w:val="00204CD9"/>
    <w:rsid w:val="002051C9"/>
    <w:rsid w:val="00205247"/>
    <w:rsid w:val="0020525D"/>
    <w:rsid w:val="002055E6"/>
    <w:rsid w:val="0020583F"/>
    <w:rsid w:val="00205930"/>
    <w:rsid w:val="00205990"/>
    <w:rsid w:val="00205C6C"/>
    <w:rsid w:val="00205CB6"/>
    <w:rsid w:val="00205E0E"/>
    <w:rsid w:val="00205E4B"/>
    <w:rsid w:val="00205F97"/>
    <w:rsid w:val="002060A8"/>
    <w:rsid w:val="00206111"/>
    <w:rsid w:val="002063AE"/>
    <w:rsid w:val="00206400"/>
    <w:rsid w:val="00206437"/>
    <w:rsid w:val="00206870"/>
    <w:rsid w:val="00206943"/>
    <w:rsid w:val="00206A1D"/>
    <w:rsid w:val="00206A7C"/>
    <w:rsid w:val="00206A8F"/>
    <w:rsid w:val="00206BB8"/>
    <w:rsid w:val="00207046"/>
    <w:rsid w:val="0020706C"/>
    <w:rsid w:val="00207476"/>
    <w:rsid w:val="0020773D"/>
    <w:rsid w:val="002078A2"/>
    <w:rsid w:val="00207BF0"/>
    <w:rsid w:val="00207D4C"/>
    <w:rsid w:val="00207D69"/>
    <w:rsid w:val="00207FC7"/>
    <w:rsid w:val="002101D5"/>
    <w:rsid w:val="002102C7"/>
    <w:rsid w:val="002102EB"/>
    <w:rsid w:val="0021073B"/>
    <w:rsid w:val="0021092F"/>
    <w:rsid w:val="00210957"/>
    <w:rsid w:val="0021110C"/>
    <w:rsid w:val="002112DD"/>
    <w:rsid w:val="002113B7"/>
    <w:rsid w:val="00211512"/>
    <w:rsid w:val="002119D0"/>
    <w:rsid w:val="00211A19"/>
    <w:rsid w:val="00211AC1"/>
    <w:rsid w:val="00211B07"/>
    <w:rsid w:val="00211C63"/>
    <w:rsid w:val="00211E04"/>
    <w:rsid w:val="00212091"/>
    <w:rsid w:val="00212150"/>
    <w:rsid w:val="0021249E"/>
    <w:rsid w:val="002125AD"/>
    <w:rsid w:val="0021265E"/>
    <w:rsid w:val="00212686"/>
    <w:rsid w:val="00212852"/>
    <w:rsid w:val="00212AAE"/>
    <w:rsid w:val="00212C24"/>
    <w:rsid w:val="00212CF6"/>
    <w:rsid w:val="0021311A"/>
    <w:rsid w:val="00213300"/>
    <w:rsid w:val="00213370"/>
    <w:rsid w:val="002133AE"/>
    <w:rsid w:val="00213795"/>
    <w:rsid w:val="002138A3"/>
    <w:rsid w:val="00213950"/>
    <w:rsid w:val="00213CC2"/>
    <w:rsid w:val="00214218"/>
    <w:rsid w:val="002142EC"/>
    <w:rsid w:val="00214472"/>
    <w:rsid w:val="002144D1"/>
    <w:rsid w:val="0021488A"/>
    <w:rsid w:val="0021489B"/>
    <w:rsid w:val="00214988"/>
    <w:rsid w:val="00214C49"/>
    <w:rsid w:val="00214C8E"/>
    <w:rsid w:val="00215161"/>
    <w:rsid w:val="002153FE"/>
    <w:rsid w:val="00215483"/>
    <w:rsid w:val="002157E1"/>
    <w:rsid w:val="00215877"/>
    <w:rsid w:val="00215C20"/>
    <w:rsid w:val="00215F29"/>
    <w:rsid w:val="00215FDA"/>
    <w:rsid w:val="002162CE"/>
    <w:rsid w:val="002166D3"/>
    <w:rsid w:val="00216978"/>
    <w:rsid w:val="00216CF6"/>
    <w:rsid w:val="00216E53"/>
    <w:rsid w:val="00216ECF"/>
    <w:rsid w:val="00216F22"/>
    <w:rsid w:val="00216FCB"/>
    <w:rsid w:val="00216FCF"/>
    <w:rsid w:val="00217350"/>
    <w:rsid w:val="002175E3"/>
    <w:rsid w:val="00217717"/>
    <w:rsid w:val="00217B54"/>
    <w:rsid w:val="00217C17"/>
    <w:rsid w:val="00217E75"/>
    <w:rsid w:val="00217FC9"/>
    <w:rsid w:val="00220023"/>
    <w:rsid w:val="002201BF"/>
    <w:rsid w:val="0022053C"/>
    <w:rsid w:val="0022068C"/>
    <w:rsid w:val="002206C9"/>
    <w:rsid w:val="0022086E"/>
    <w:rsid w:val="00220949"/>
    <w:rsid w:val="00220A05"/>
    <w:rsid w:val="00220A6F"/>
    <w:rsid w:val="00220CCF"/>
    <w:rsid w:val="00220E2D"/>
    <w:rsid w:val="00220E8A"/>
    <w:rsid w:val="00220F66"/>
    <w:rsid w:val="00220F78"/>
    <w:rsid w:val="00220F7B"/>
    <w:rsid w:val="00220FF2"/>
    <w:rsid w:val="0022107D"/>
    <w:rsid w:val="00221130"/>
    <w:rsid w:val="002211F5"/>
    <w:rsid w:val="00221347"/>
    <w:rsid w:val="002214BE"/>
    <w:rsid w:val="002215EB"/>
    <w:rsid w:val="00221A46"/>
    <w:rsid w:val="00221B8E"/>
    <w:rsid w:val="00221EE3"/>
    <w:rsid w:val="00221F91"/>
    <w:rsid w:val="002220B8"/>
    <w:rsid w:val="00222154"/>
    <w:rsid w:val="0022224C"/>
    <w:rsid w:val="0022230E"/>
    <w:rsid w:val="00222524"/>
    <w:rsid w:val="00222779"/>
    <w:rsid w:val="002229B3"/>
    <w:rsid w:val="00222A22"/>
    <w:rsid w:val="00222BA1"/>
    <w:rsid w:val="00222D6E"/>
    <w:rsid w:val="00223010"/>
    <w:rsid w:val="002232CC"/>
    <w:rsid w:val="0022334E"/>
    <w:rsid w:val="00223860"/>
    <w:rsid w:val="0022389F"/>
    <w:rsid w:val="002238BD"/>
    <w:rsid w:val="00223C1D"/>
    <w:rsid w:val="00223C9F"/>
    <w:rsid w:val="00223CD4"/>
    <w:rsid w:val="00223CD7"/>
    <w:rsid w:val="00223D12"/>
    <w:rsid w:val="00223F42"/>
    <w:rsid w:val="0022416E"/>
    <w:rsid w:val="00224174"/>
    <w:rsid w:val="0022418F"/>
    <w:rsid w:val="0022428B"/>
    <w:rsid w:val="00224596"/>
    <w:rsid w:val="002247EE"/>
    <w:rsid w:val="00224805"/>
    <w:rsid w:val="0022491F"/>
    <w:rsid w:val="002249E3"/>
    <w:rsid w:val="00224BD5"/>
    <w:rsid w:val="00224E64"/>
    <w:rsid w:val="00225158"/>
    <w:rsid w:val="00225586"/>
    <w:rsid w:val="002255EF"/>
    <w:rsid w:val="00225782"/>
    <w:rsid w:val="00225989"/>
    <w:rsid w:val="002259B2"/>
    <w:rsid w:val="00225A32"/>
    <w:rsid w:val="00225B27"/>
    <w:rsid w:val="00225C87"/>
    <w:rsid w:val="00225CF8"/>
    <w:rsid w:val="00225D13"/>
    <w:rsid w:val="00225D8F"/>
    <w:rsid w:val="00225EB7"/>
    <w:rsid w:val="00225F89"/>
    <w:rsid w:val="00226322"/>
    <w:rsid w:val="00226494"/>
    <w:rsid w:val="002264D1"/>
    <w:rsid w:val="0022658E"/>
    <w:rsid w:val="00226645"/>
    <w:rsid w:val="002268CC"/>
    <w:rsid w:val="002269FA"/>
    <w:rsid w:val="00226A25"/>
    <w:rsid w:val="00226E74"/>
    <w:rsid w:val="0022702E"/>
    <w:rsid w:val="0022713B"/>
    <w:rsid w:val="002273BF"/>
    <w:rsid w:val="00227583"/>
    <w:rsid w:val="00227C90"/>
    <w:rsid w:val="00227D9A"/>
    <w:rsid w:val="00227EFA"/>
    <w:rsid w:val="00227F1F"/>
    <w:rsid w:val="0023012F"/>
    <w:rsid w:val="00230161"/>
    <w:rsid w:val="00230410"/>
    <w:rsid w:val="002307A2"/>
    <w:rsid w:val="002308FD"/>
    <w:rsid w:val="002309F1"/>
    <w:rsid w:val="00230CB2"/>
    <w:rsid w:val="00230F3B"/>
    <w:rsid w:val="0023111E"/>
    <w:rsid w:val="00231273"/>
    <w:rsid w:val="00231325"/>
    <w:rsid w:val="00231B44"/>
    <w:rsid w:val="00231BF2"/>
    <w:rsid w:val="00231E2F"/>
    <w:rsid w:val="00232701"/>
    <w:rsid w:val="00232866"/>
    <w:rsid w:val="0023286B"/>
    <w:rsid w:val="00232AC7"/>
    <w:rsid w:val="00232B68"/>
    <w:rsid w:val="00232BBB"/>
    <w:rsid w:val="00232C17"/>
    <w:rsid w:val="00232C24"/>
    <w:rsid w:val="00232FF8"/>
    <w:rsid w:val="002333A7"/>
    <w:rsid w:val="002334EC"/>
    <w:rsid w:val="00233798"/>
    <w:rsid w:val="0023379D"/>
    <w:rsid w:val="002337E2"/>
    <w:rsid w:val="00233A26"/>
    <w:rsid w:val="00233AD0"/>
    <w:rsid w:val="00234019"/>
    <w:rsid w:val="00234085"/>
    <w:rsid w:val="002340B6"/>
    <w:rsid w:val="00234164"/>
    <w:rsid w:val="00234503"/>
    <w:rsid w:val="0023450C"/>
    <w:rsid w:val="0023451B"/>
    <w:rsid w:val="0023452F"/>
    <w:rsid w:val="0023456E"/>
    <w:rsid w:val="0023469D"/>
    <w:rsid w:val="002346B4"/>
    <w:rsid w:val="002348FA"/>
    <w:rsid w:val="0023495F"/>
    <w:rsid w:val="00234989"/>
    <w:rsid w:val="002349FE"/>
    <w:rsid w:val="00234BA2"/>
    <w:rsid w:val="00235040"/>
    <w:rsid w:val="00235171"/>
    <w:rsid w:val="002351AC"/>
    <w:rsid w:val="00235326"/>
    <w:rsid w:val="00235582"/>
    <w:rsid w:val="00235828"/>
    <w:rsid w:val="0023586A"/>
    <w:rsid w:val="00235D8A"/>
    <w:rsid w:val="0023634E"/>
    <w:rsid w:val="0023644B"/>
    <w:rsid w:val="002364B7"/>
    <w:rsid w:val="00236C50"/>
    <w:rsid w:val="00236CD5"/>
    <w:rsid w:val="00236D47"/>
    <w:rsid w:val="00236EC3"/>
    <w:rsid w:val="00237097"/>
    <w:rsid w:val="002370AB"/>
    <w:rsid w:val="00237174"/>
    <w:rsid w:val="002371CA"/>
    <w:rsid w:val="00237268"/>
    <w:rsid w:val="00237328"/>
    <w:rsid w:val="00237490"/>
    <w:rsid w:val="002375F6"/>
    <w:rsid w:val="0023768A"/>
    <w:rsid w:val="0023770D"/>
    <w:rsid w:val="00237765"/>
    <w:rsid w:val="00237872"/>
    <w:rsid w:val="002379A7"/>
    <w:rsid w:val="002379CC"/>
    <w:rsid w:val="00237A76"/>
    <w:rsid w:val="00237B88"/>
    <w:rsid w:val="00237CD1"/>
    <w:rsid w:val="00237DDC"/>
    <w:rsid w:val="00237E6C"/>
    <w:rsid w:val="002401D2"/>
    <w:rsid w:val="0024032E"/>
    <w:rsid w:val="002407B5"/>
    <w:rsid w:val="00240D58"/>
    <w:rsid w:val="00240D88"/>
    <w:rsid w:val="00240E5B"/>
    <w:rsid w:val="00240EC8"/>
    <w:rsid w:val="00240ECF"/>
    <w:rsid w:val="00240EDB"/>
    <w:rsid w:val="00241058"/>
    <w:rsid w:val="0024119B"/>
    <w:rsid w:val="002412D4"/>
    <w:rsid w:val="002417B8"/>
    <w:rsid w:val="00241831"/>
    <w:rsid w:val="002418C5"/>
    <w:rsid w:val="00241A0C"/>
    <w:rsid w:val="00241B6D"/>
    <w:rsid w:val="00241F5D"/>
    <w:rsid w:val="0024225A"/>
    <w:rsid w:val="00242358"/>
    <w:rsid w:val="00242459"/>
    <w:rsid w:val="00242594"/>
    <w:rsid w:val="002426DA"/>
    <w:rsid w:val="0024275B"/>
    <w:rsid w:val="002427A4"/>
    <w:rsid w:val="00242821"/>
    <w:rsid w:val="00242B65"/>
    <w:rsid w:val="00242C2D"/>
    <w:rsid w:val="00242C36"/>
    <w:rsid w:val="00242D59"/>
    <w:rsid w:val="00242EA2"/>
    <w:rsid w:val="00243209"/>
    <w:rsid w:val="00243404"/>
    <w:rsid w:val="00243594"/>
    <w:rsid w:val="00243688"/>
    <w:rsid w:val="00243A0F"/>
    <w:rsid w:val="00243B5B"/>
    <w:rsid w:val="00243BEB"/>
    <w:rsid w:val="00243C40"/>
    <w:rsid w:val="00244010"/>
    <w:rsid w:val="00244042"/>
    <w:rsid w:val="002440FB"/>
    <w:rsid w:val="002442C8"/>
    <w:rsid w:val="0024454B"/>
    <w:rsid w:val="00244561"/>
    <w:rsid w:val="00244594"/>
    <w:rsid w:val="00244699"/>
    <w:rsid w:val="0024471A"/>
    <w:rsid w:val="00244811"/>
    <w:rsid w:val="00244AFF"/>
    <w:rsid w:val="00244BD5"/>
    <w:rsid w:val="00244C3C"/>
    <w:rsid w:val="00244DB9"/>
    <w:rsid w:val="00244EE3"/>
    <w:rsid w:val="00245073"/>
    <w:rsid w:val="002450AB"/>
    <w:rsid w:val="00245509"/>
    <w:rsid w:val="00245948"/>
    <w:rsid w:val="002459FE"/>
    <w:rsid w:val="00245A15"/>
    <w:rsid w:val="00245A3E"/>
    <w:rsid w:val="00245EC1"/>
    <w:rsid w:val="00245EF0"/>
    <w:rsid w:val="0024602E"/>
    <w:rsid w:val="00246172"/>
    <w:rsid w:val="00246320"/>
    <w:rsid w:val="00246350"/>
    <w:rsid w:val="002463D9"/>
    <w:rsid w:val="00246420"/>
    <w:rsid w:val="002466EF"/>
    <w:rsid w:val="0024699A"/>
    <w:rsid w:val="00246C23"/>
    <w:rsid w:val="00246C53"/>
    <w:rsid w:val="00246E5C"/>
    <w:rsid w:val="00246E81"/>
    <w:rsid w:val="00246F48"/>
    <w:rsid w:val="002473FB"/>
    <w:rsid w:val="00247525"/>
    <w:rsid w:val="002475D0"/>
    <w:rsid w:val="0024765C"/>
    <w:rsid w:val="002477AC"/>
    <w:rsid w:val="00247A51"/>
    <w:rsid w:val="00247B0E"/>
    <w:rsid w:val="00247CF5"/>
    <w:rsid w:val="00247ED2"/>
    <w:rsid w:val="00250585"/>
    <w:rsid w:val="002506EF"/>
    <w:rsid w:val="00250728"/>
    <w:rsid w:val="002508A7"/>
    <w:rsid w:val="00250C11"/>
    <w:rsid w:val="00250D3A"/>
    <w:rsid w:val="00251323"/>
    <w:rsid w:val="002514C0"/>
    <w:rsid w:val="00251588"/>
    <w:rsid w:val="002515B0"/>
    <w:rsid w:val="00251623"/>
    <w:rsid w:val="0025178A"/>
    <w:rsid w:val="00251C42"/>
    <w:rsid w:val="00251C52"/>
    <w:rsid w:val="00251CA9"/>
    <w:rsid w:val="00251D7A"/>
    <w:rsid w:val="00251DB3"/>
    <w:rsid w:val="00251F33"/>
    <w:rsid w:val="00252116"/>
    <w:rsid w:val="0025211E"/>
    <w:rsid w:val="0025218E"/>
    <w:rsid w:val="00252262"/>
    <w:rsid w:val="002523A0"/>
    <w:rsid w:val="002525D7"/>
    <w:rsid w:val="00252705"/>
    <w:rsid w:val="002528C7"/>
    <w:rsid w:val="0025294A"/>
    <w:rsid w:val="00252BA5"/>
    <w:rsid w:val="00252F2D"/>
    <w:rsid w:val="00252F65"/>
    <w:rsid w:val="00253076"/>
    <w:rsid w:val="00253153"/>
    <w:rsid w:val="00253165"/>
    <w:rsid w:val="0025323D"/>
    <w:rsid w:val="00253493"/>
    <w:rsid w:val="002534C8"/>
    <w:rsid w:val="00253662"/>
    <w:rsid w:val="00253AF8"/>
    <w:rsid w:val="00253D04"/>
    <w:rsid w:val="00253D2A"/>
    <w:rsid w:val="00253F41"/>
    <w:rsid w:val="00253FEA"/>
    <w:rsid w:val="00254499"/>
    <w:rsid w:val="0025455F"/>
    <w:rsid w:val="00254579"/>
    <w:rsid w:val="002546B7"/>
    <w:rsid w:val="002546E3"/>
    <w:rsid w:val="002549F5"/>
    <w:rsid w:val="00254B22"/>
    <w:rsid w:val="00254D81"/>
    <w:rsid w:val="00254EB7"/>
    <w:rsid w:val="00254ED5"/>
    <w:rsid w:val="00254F22"/>
    <w:rsid w:val="00255028"/>
    <w:rsid w:val="0025512E"/>
    <w:rsid w:val="002551D3"/>
    <w:rsid w:val="002552D9"/>
    <w:rsid w:val="0025546A"/>
    <w:rsid w:val="002554A2"/>
    <w:rsid w:val="00255587"/>
    <w:rsid w:val="0025560D"/>
    <w:rsid w:val="00255685"/>
    <w:rsid w:val="00255C82"/>
    <w:rsid w:val="00255CF3"/>
    <w:rsid w:val="00255D09"/>
    <w:rsid w:val="00255D53"/>
    <w:rsid w:val="002560C8"/>
    <w:rsid w:val="00256340"/>
    <w:rsid w:val="0025637D"/>
    <w:rsid w:val="002565A1"/>
    <w:rsid w:val="002566FF"/>
    <w:rsid w:val="002569B7"/>
    <w:rsid w:val="00256C6F"/>
    <w:rsid w:val="00256CF9"/>
    <w:rsid w:val="00256DEE"/>
    <w:rsid w:val="00256F34"/>
    <w:rsid w:val="00256FBF"/>
    <w:rsid w:val="0025711A"/>
    <w:rsid w:val="002574DE"/>
    <w:rsid w:val="00257519"/>
    <w:rsid w:val="00257631"/>
    <w:rsid w:val="00257745"/>
    <w:rsid w:val="00257C3C"/>
    <w:rsid w:val="002601E5"/>
    <w:rsid w:val="0026033D"/>
    <w:rsid w:val="002607E0"/>
    <w:rsid w:val="00260968"/>
    <w:rsid w:val="00260998"/>
    <w:rsid w:val="00260B35"/>
    <w:rsid w:val="00260C4C"/>
    <w:rsid w:val="00260CDE"/>
    <w:rsid w:val="00260F66"/>
    <w:rsid w:val="002613E3"/>
    <w:rsid w:val="0026142A"/>
    <w:rsid w:val="002615A8"/>
    <w:rsid w:val="002615E1"/>
    <w:rsid w:val="00261651"/>
    <w:rsid w:val="00261656"/>
    <w:rsid w:val="00261931"/>
    <w:rsid w:val="00261BAA"/>
    <w:rsid w:val="00261D0B"/>
    <w:rsid w:val="00261D90"/>
    <w:rsid w:val="00261DDC"/>
    <w:rsid w:val="00261F19"/>
    <w:rsid w:val="002622BF"/>
    <w:rsid w:val="002623B7"/>
    <w:rsid w:val="002625DE"/>
    <w:rsid w:val="002628A2"/>
    <w:rsid w:val="002629B8"/>
    <w:rsid w:val="00262A95"/>
    <w:rsid w:val="00262B7F"/>
    <w:rsid w:val="00262C1A"/>
    <w:rsid w:val="00262C25"/>
    <w:rsid w:val="00262CAA"/>
    <w:rsid w:val="00263081"/>
    <w:rsid w:val="002632A9"/>
    <w:rsid w:val="00263450"/>
    <w:rsid w:val="002634E4"/>
    <w:rsid w:val="00263713"/>
    <w:rsid w:val="00263718"/>
    <w:rsid w:val="002637C8"/>
    <w:rsid w:val="00263A09"/>
    <w:rsid w:val="00263A4E"/>
    <w:rsid w:val="00263BFE"/>
    <w:rsid w:val="00263E43"/>
    <w:rsid w:val="00263FD7"/>
    <w:rsid w:val="00264040"/>
    <w:rsid w:val="002640EF"/>
    <w:rsid w:val="0026423E"/>
    <w:rsid w:val="002643D8"/>
    <w:rsid w:val="0026455D"/>
    <w:rsid w:val="002645C4"/>
    <w:rsid w:val="002646D4"/>
    <w:rsid w:val="0026470F"/>
    <w:rsid w:val="00264827"/>
    <w:rsid w:val="00264911"/>
    <w:rsid w:val="00264CF0"/>
    <w:rsid w:val="00264DE9"/>
    <w:rsid w:val="00264F3D"/>
    <w:rsid w:val="00264F68"/>
    <w:rsid w:val="00265124"/>
    <w:rsid w:val="0026513F"/>
    <w:rsid w:val="00265505"/>
    <w:rsid w:val="00265A35"/>
    <w:rsid w:val="00265AD5"/>
    <w:rsid w:val="00265E3A"/>
    <w:rsid w:val="00266060"/>
    <w:rsid w:val="00266130"/>
    <w:rsid w:val="00266333"/>
    <w:rsid w:val="0026649B"/>
    <w:rsid w:val="0026664F"/>
    <w:rsid w:val="00266863"/>
    <w:rsid w:val="002668F8"/>
    <w:rsid w:val="00266A17"/>
    <w:rsid w:val="00266B0B"/>
    <w:rsid w:val="00266B4C"/>
    <w:rsid w:val="00266B8A"/>
    <w:rsid w:val="00266CB3"/>
    <w:rsid w:val="00266E6A"/>
    <w:rsid w:val="00266EF3"/>
    <w:rsid w:val="00267028"/>
    <w:rsid w:val="002670C3"/>
    <w:rsid w:val="002672DA"/>
    <w:rsid w:val="0026746D"/>
    <w:rsid w:val="002674E8"/>
    <w:rsid w:val="002677A1"/>
    <w:rsid w:val="00267948"/>
    <w:rsid w:val="00267BAF"/>
    <w:rsid w:val="00267C69"/>
    <w:rsid w:val="00267CE6"/>
    <w:rsid w:val="00267D12"/>
    <w:rsid w:val="00267E2A"/>
    <w:rsid w:val="00267EB9"/>
    <w:rsid w:val="0027023E"/>
    <w:rsid w:val="002702BB"/>
    <w:rsid w:val="002705FD"/>
    <w:rsid w:val="00270AE0"/>
    <w:rsid w:val="00270B72"/>
    <w:rsid w:val="00270C9B"/>
    <w:rsid w:val="00270EB6"/>
    <w:rsid w:val="00270F83"/>
    <w:rsid w:val="00270FBE"/>
    <w:rsid w:val="002711EA"/>
    <w:rsid w:val="00271211"/>
    <w:rsid w:val="00271480"/>
    <w:rsid w:val="0027183C"/>
    <w:rsid w:val="002719B4"/>
    <w:rsid w:val="00271A5A"/>
    <w:rsid w:val="00271D10"/>
    <w:rsid w:val="00271D5C"/>
    <w:rsid w:val="00271D62"/>
    <w:rsid w:val="00271DC1"/>
    <w:rsid w:val="0027213B"/>
    <w:rsid w:val="002728D4"/>
    <w:rsid w:val="0027291C"/>
    <w:rsid w:val="002729CC"/>
    <w:rsid w:val="00272E4D"/>
    <w:rsid w:val="00273237"/>
    <w:rsid w:val="002733DC"/>
    <w:rsid w:val="0027349F"/>
    <w:rsid w:val="002737E1"/>
    <w:rsid w:val="002737E7"/>
    <w:rsid w:val="002739F5"/>
    <w:rsid w:val="00273B0B"/>
    <w:rsid w:val="00273B53"/>
    <w:rsid w:val="00273C2E"/>
    <w:rsid w:val="00273DF0"/>
    <w:rsid w:val="00273ED4"/>
    <w:rsid w:val="0027443E"/>
    <w:rsid w:val="002745C7"/>
    <w:rsid w:val="00274816"/>
    <w:rsid w:val="00274B11"/>
    <w:rsid w:val="00274CB6"/>
    <w:rsid w:val="00274D2A"/>
    <w:rsid w:val="00274D52"/>
    <w:rsid w:val="00274DD9"/>
    <w:rsid w:val="00275001"/>
    <w:rsid w:val="002751C1"/>
    <w:rsid w:val="00275310"/>
    <w:rsid w:val="0027540E"/>
    <w:rsid w:val="002754B1"/>
    <w:rsid w:val="0027557C"/>
    <w:rsid w:val="002755BB"/>
    <w:rsid w:val="002756C5"/>
    <w:rsid w:val="00275A6B"/>
    <w:rsid w:val="00275AFD"/>
    <w:rsid w:val="00275D3E"/>
    <w:rsid w:val="00275E89"/>
    <w:rsid w:val="00275E8B"/>
    <w:rsid w:val="00275F7F"/>
    <w:rsid w:val="0027610B"/>
    <w:rsid w:val="00276154"/>
    <w:rsid w:val="00276166"/>
    <w:rsid w:val="002761DD"/>
    <w:rsid w:val="00276280"/>
    <w:rsid w:val="0027686E"/>
    <w:rsid w:val="002768E8"/>
    <w:rsid w:val="00276B22"/>
    <w:rsid w:val="00276BC9"/>
    <w:rsid w:val="002770AD"/>
    <w:rsid w:val="00277138"/>
    <w:rsid w:val="00277252"/>
    <w:rsid w:val="00277532"/>
    <w:rsid w:val="002776B1"/>
    <w:rsid w:val="002779E7"/>
    <w:rsid w:val="00277AD4"/>
    <w:rsid w:val="00277C5A"/>
    <w:rsid w:val="00277C6C"/>
    <w:rsid w:val="00277DF6"/>
    <w:rsid w:val="00277EF0"/>
    <w:rsid w:val="0028036C"/>
    <w:rsid w:val="00280BB0"/>
    <w:rsid w:val="00280CA1"/>
    <w:rsid w:val="00280E13"/>
    <w:rsid w:val="002812BD"/>
    <w:rsid w:val="002812C6"/>
    <w:rsid w:val="00281977"/>
    <w:rsid w:val="00281AAD"/>
    <w:rsid w:val="00281AEE"/>
    <w:rsid w:val="00281B24"/>
    <w:rsid w:val="00281B75"/>
    <w:rsid w:val="00281EFD"/>
    <w:rsid w:val="00282064"/>
    <w:rsid w:val="002820C6"/>
    <w:rsid w:val="002820E7"/>
    <w:rsid w:val="00282306"/>
    <w:rsid w:val="0028264F"/>
    <w:rsid w:val="00282729"/>
    <w:rsid w:val="002827E2"/>
    <w:rsid w:val="00282876"/>
    <w:rsid w:val="0028296D"/>
    <w:rsid w:val="00282A6E"/>
    <w:rsid w:val="00282A86"/>
    <w:rsid w:val="00282B33"/>
    <w:rsid w:val="00282D5F"/>
    <w:rsid w:val="002832F2"/>
    <w:rsid w:val="0028331C"/>
    <w:rsid w:val="00283503"/>
    <w:rsid w:val="002835A9"/>
    <w:rsid w:val="002835C7"/>
    <w:rsid w:val="00283FFC"/>
    <w:rsid w:val="002840F8"/>
    <w:rsid w:val="0028416D"/>
    <w:rsid w:val="0028420D"/>
    <w:rsid w:val="0028443C"/>
    <w:rsid w:val="00284521"/>
    <w:rsid w:val="00284699"/>
    <w:rsid w:val="002847F9"/>
    <w:rsid w:val="0028496D"/>
    <w:rsid w:val="002849A2"/>
    <w:rsid w:val="00284B9B"/>
    <w:rsid w:val="00284D32"/>
    <w:rsid w:val="00285047"/>
    <w:rsid w:val="002854A5"/>
    <w:rsid w:val="002854DB"/>
    <w:rsid w:val="00285765"/>
    <w:rsid w:val="002857B9"/>
    <w:rsid w:val="00285828"/>
    <w:rsid w:val="00285941"/>
    <w:rsid w:val="00285A88"/>
    <w:rsid w:val="00285A8B"/>
    <w:rsid w:val="00285B86"/>
    <w:rsid w:val="00285BFA"/>
    <w:rsid w:val="00285EFD"/>
    <w:rsid w:val="00286236"/>
    <w:rsid w:val="00286285"/>
    <w:rsid w:val="00286308"/>
    <w:rsid w:val="00286346"/>
    <w:rsid w:val="00286408"/>
    <w:rsid w:val="002864D0"/>
    <w:rsid w:val="00286544"/>
    <w:rsid w:val="00286545"/>
    <w:rsid w:val="002869FD"/>
    <w:rsid w:val="00286CEB"/>
    <w:rsid w:val="00286DD9"/>
    <w:rsid w:val="00286E2D"/>
    <w:rsid w:val="00286F10"/>
    <w:rsid w:val="00287104"/>
    <w:rsid w:val="0028736D"/>
    <w:rsid w:val="00287495"/>
    <w:rsid w:val="002875F9"/>
    <w:rsid w:val="00287896"/>
    <w:rsid w:val="0028789B"/>
    <w:rsid w:val="0028790A"/>
    <w:rsid w:val="00287921"/>
    <w:rsid w:val="00290006"/>
    <w:rsid w:val="00290159"/>
    <w:rsid w:val="0029029D"/>
    <w:rsid w:val="00290642"/>
    <w:rsid w:val="0029068C"/>
    <w:rsid w:val="0029074D"/>
    <w:rsid w:val="00290A52"/>
    <w:rsid w:val="00290FE3"/>
    <w:rsid w:val="00291006"/>
    <w:rsid w:val="00291236"/>
    <w:rsid w:val="002913C1"/>
    <w:rsid w:val="00291467"/>
    <w:rsid w:val="0029147F"/>
    <w:rsid w:val="0029149E"/>
    <w:rsid w:val="00291616"/>
    <w:rsid w:val="00291893"/>
    <w:rsid w:val="00291E19"/>
    <w:rsid w:val="00292016"/>
    <w:rsid w:val="00292074"/>
    <w:rsid w:val="00292164"/>
    <w:rsid w:val="00292251"/>
    <w:rsid w:val="00292438"/>
    <w:rsid w:val="00292481"/>
    <w:rsid w:val="0029274D"/>
    <w:rsid w:val="00292B55"/>
    <w:rsid w:val="00292B57"/>
    <w:rsid w:val="00292C44"/>
    <w:rsid w:val="00292C83"/>
    <w:rsid w:val="00292C8D"/>
    <w:rsid w:val="00292D6E"/>
    <w:rsid w:val="00292DA3"/>
    <w:rsid w:val="00293080"/>
    <w:rsid w:val="002930B2"/>
    <w:rsid w:val="002931C7"/>
    <w:rsid w:val="002931FA"/>
    <w:rsid w:val="002933D5"/>
    <w:rsid w:val="00293608"/>
    <w:rsid w:val="00293710"/>
    <w:rsid w:val="00293AE8"/>
    <w:rsid w:val="00293D16"/>
    <w:rsid w:val="00293EE0"/>
    <w:rsid w:val="00293F79"/>
    <w:rsid w:val="0029402D"/>
    <w:rsid w:val="0029405C"/>
    <w:rsid w:val="00294106"/>
    <w:rsid w:val="0029424C"/>
    <w:rsid w:val="0029465F"/>
    <w:rsid w:val="002947EF"/>
    <w:rsid w:val="00294896"/>
    <w:rsid w:val="00294A41"/>
    <w:rsid w:val="00294B0D"/>
    <w:rsid w:val="00294BBA"/>
    <w:rsid w:val="00294BBF"/>
    <w:rsid w:val="00294DC8"/>
    <w:rsid w:val="00294F55"/>
    <w:rsid w:val="00295140"/>
    <w:rsid w:val="00295250"/>
    <w:rsid w:val="002952C1"/>
    <w:rsid w:val="0029559F"/>
    <w:rsid w:val="002955E4"/>
    <w:rsid w:val="002955EA"/>
    <w:rsid w:val="00295753"/>
    <w:rsid w:val="00295B6A"/>
    <w:rsid w:val="00295D40"/>
    <w:rsid w:val="00295F74"/>
    <w:rsid w:val="002965CD"/>
    <w:rsid w:val="002968C1"/>
    <w:rsid w:val="002968DE"/>
    <w:rsid w:val="002968E9"/>
    <w:rsid w:val="00296A45"/>
    <w:rsid w:val="00296A5F"/>
    <w:rsid w:val="00296A96"/>
    <w:rsid w:val="00296B24"/>
    <w:rsid w:val="00296DF8"/>
    <w:rsid w:val="00296EC5"/>
    <w:rsid w:val="00296F29"/>
    <w:rsid w:val="002970DF"/>
    <w:rsid w:val="00297214"/>
    <w:rsid w:val="0029727C"/>
    <w:rsid w:val="0029740E"/>
    <w:rsid w:val="0029780F"/>
    <w:rsid w:val="00297986"/>
    <w:rsid w:val="00297A67"/>
    <w:rsid w:val="00297AC2"/>
    <w:rsid w:val="00297D57"/>
    <w:rsid w:val="00297DB1"/>
    <w:rsid w:val="00297ECE"/>
    <w:rsid w:val="00297EE4"/>
    <w:rsid w:val="002A014E"/>
    <w:rsid w:val="002A01C4"/>
    <w:rsid w:val="002A0225"/>
    <w:rsid w:val="002A0530"/>
    <w:rsid w:val="002A0718"/>
    <w:rsid w:val="002A07C0"/>
    <w:rsid w:val="002A098B"/>
    <w:rsid w:val="002A09D4"/>
    <w:rsid w:val="002A0A32"/>
    <w:rsid w:val="002A0C2A"/>
    <w:rsid w:val="002A0CC9"/>
    <w:rsid w:val="002A0E0F"/>
    <w:rsid w:val="002A0EFB"/>
    <w:rsid w:val="002A0EFF"/>
    <w:rsid w:val="002A1036"/>
    <w:rsid w:val="002A128D"/>
    <w:rsid w:val="002A1306"/>
    <w:rsid w:val="002A1329"/>
    <w:rsid w:val="002A13CA"/>
    <w:rsid w:val="002A13CC"/>
    <w:rsid w:val="002A142A"/>
    <w:rsid w:val="002A157D"/>
    <w:rsid w:val="002A17C4"/>
    <w:rsid w:val="002A1847"/>
    <w:rsid w:val="002A18DF"/>
    <w:rsid w:val="002A1C31"/>
    <w:rsid w:val="002A1C81"/>
    <w:rsid w:val="002A1E1F"/>
    <w:rsid w:val="002A1FEB"/>
    <w:rsid w:val="002A20F7"/>
    <w:rsid w:val="002A2192"/>
    <w:rsid w:val="002A21EA"/>
    <w:rsid w:val="002A252C"/>
    <w:rsid w:val="002A25EC"/>
    <w:rsid w:val="002A2684"/>
    <w:rsid w:val="002A26C7"/>
    <w:rsid w:val="002A2736"/>
    <w:rsid w:val="002A2787"/>
    <w:rsid w:val="002A2BB2"/>
    <w:rsid w:val="002A2D48"/>
    <w:rsid w:val="002A2D9B"/>
    <w:rsid w:val="002A2DF2"/>
    <w:rsid w:val="002A2F16"/>
    <w:rsid w:val="002A30F3"/>
    <w:rsid w:val="002A32B3"/>
    <w:rsid w:val="002A3446"/>
    <w:rsid w:val="002A3650"/>
    <w:rsid w:val="002A3663"/>
    <w:rsid w:val="002A36EC"/>
    <w:rsid w:val="002A37F4"/>
    <w:rsid w:val="002A383B"/>
    <w:rsid w:val="002A384C"/>
    <w:rsid w:val="002A3A93"/>
    <w:rsid w:val="002A3B17"/>
    <w:rsid w:val="002A3B2B"/>
    <w:rsid w:val="002A3C32"/>
    <w:rsid w:val="002A3CEA"/>
    <w:rsid w:val="002A3E85"/>
    <w:rsid w:val="002A4086"/>
    <w:rsid w:val="002A40DA"/>
    <w:rsid w:val="002A41E1"/>
    <w:rsid w:val="002A43D0"/>
    <w:rsid w:val="002A4442"/>
    <w:rsid w:val="002A45AB"/>
    <w:rsid w:val="002A47D1"/>
    <w:rsid w:val="002A47EF"/>
    <w:rsid w:val="002A486C"/>
    <w:rsid w:val="002A48B5"/>
    <w:rsid w:val="002A48E4"/>
    <w:rsid w:val="002A49B9"/>
    <w:rsid w:val="002A4F01"/>
    <w:rsid w:val="002A51C7"/>
    <w:rsid w:val="002A51D7"/>
    <w:rsid w:val="002A51D9"/>
    <w:rsid w:val="002A5374"/>
    <w:rsid w:val="002A56F0"/>
    <w:rsid w:val="002A5841"/>
    <w:rsid w:val="002A5AED"/>
    <w:rsid w:val="002A5CA0"/>
    <w:rsid w:val="002A5E48"/>
    <w:rsid w:val="002A60AA"/>
    <w:rsid w:val="002A60AB"/>
    <w:rsid w:val="002A6724"/>
    <w:rsid w:val="002A68C9"/>
    <w:rsid w:val="002A68CE"/>
    <w:rsid w:val="002A6BFA"/>
    <w:rsid w:val="002A6C56"/>
    <w:rsid w:val="002A6EAE"/>
    <w:rsid w:val="002A705C"/>
    <w:rsid w:val="002A70A6"/>
    <w:rsid w:val="002A70BA"/>
    <w:rsid w:val="002A7114"/>
    <w:rsid w:val="002A74EF"/>
    <w:rsid w:val="002A7585"/>
    <w:rsid w:val="002A76F1"/>
    <w:rsid w:val="002A7732"/>
    <w:rsid w:val="002A792D"/>
    <w:rsid w:val="002A7A5D"/>
    <w:rsid w:val="002A7AC4"/>
    <w:rsid w:val="002A7D90"/>
    <w:rsid w:val="002A7E13"/>
    <w:rsid w:val="002B023C"/>
    <w:rsid w:val="002B04B5"/>
    <w:rsid w:val="002B04FA"/>
    <w:rsid w:val="002B0524"/>
    <w:rsid w:val="002B073C"/>
    <w:rsid w:val="002B07E8"/>
    <w:rsid w:val="002B0A04"/>
    <w:rsid w:val="002B0D3B"/>
    <w:rsid w:val="002B0DFA"/>
    <w:rsid w:val="002B0EA2"/>
    <w:rsid w:val="002B0F6D"/>
    <w:rsid w:val="002B1095"/>
    <w:rsid w:val="002B1249"/>
    <w:rsid w:val="002B124E"/>
    <w:rsid w:val="002B12A2"/>
    <w:rsid w:val="002B1348"/>
    <w:rsid w:val="002B14C1"/>
    <w:rsid w:val="002B163A"/>
    <w:rsid w:val="002B163E"/>
    <w:rsid w:val="002B1704"/>
    <w:rsid w:val="002B17CF"/>
    <w:rsid w:val="002B18A4"/>
    <w:rsid w:val="002B19C7"/>
    <w:rsid w:val="002B19F9"/>
    <w:rsid w:val="002B1AE5"/>
    <w:rsid w:val="002B1DE3"/>
    <w:rsid w:val="002B1E99"/>
    <w:rsid w:val="002B1F95"/>
    <w:rsid w:val="002B1FC1"/>
    <w:rsid w:val="002B2021"/>
    <w:rsid w:val="002B2025"/>
    <w:rsid w:val="002B2071"/>
    <w:rsid w:val="002B2137"/>
    <w:rsid w:val="002B229F"/>
    <w:rsid w:val="002B2376"/>
    <w:rsid w:val="002B238F"/>
    <w:rsid w:val="002B24DE"/>
    <w:rsid w:val="002B266C"/>
    <w:rsid w:val="002B2B0B"/>
    <w:rsid w:val="002B2DE8"/>
    <w:rsid w:val="002B2E16"/>
    <w:rsid w:val="002B30A0"/>
    <w:rsid w:val="002B3156"/>
    <w:rsid w:val="002B3191"/>
    <w:rsid w:val="002B33CA"/>
    <w:rsid w:val="002B3411"/>
    <w:rsid w:val="002B35AB"/>
    <w:rsid w:val="002B37E9"/>
    <w:rsid w:val="002B3A25"/>
    <w:rsid w:val="002B3AD7"/>
    <w:rsid w:val="002B3D84"/>
    <w:rsid w:val="002B3F14"/>
    <w:rsid w:val="002B4054"/>
    <w:rsid w:val="002B4164"/>
    <w:rsid w:val="002B4256"/>
    <w:rsid w:val="002B4258"/>
    <w:rsid w:val="002B457E"/>
    <w:rsid w:val="002B4696"/>
    <w:rsid w:val="002B47FC"/>
    <w:rsid w:val="002B4B4B"/>
    <w:rsid w:val="002B4D02"/>
    <w:rsid w:val="002B4D49"/>
    <w:rsid w:val="002B4EE4"/>
    <w:rsid w:val="002B5298"/>
    <w:rsid w:val="002B5364"/>
    <w:rsid w:val="002B5507"/>
    <w:rsid w:val="002B55AF"/>
    <w:rsid w:val="002B5AD7"/>
    <w:rsid w:val="002B5C37"/>
    <w:rsid w:val="002B5EB8"/>
    <w:rsid w:val="002B6041"/>
    <w:rsid w:val="002B6090"/>
    <w:rsid w:val="002B60A6"/>
    <w:rsid w:val="002B62BB"/>
    <w:rsid w:val="002B645F"/>
    <w:rsid w:val="002B64A2"/>
    <w:rsid w:val="002B67FC"/>
    <w:rsid w:val="002B6A35"/>
    <w:rsid w:val="002B6A52"/>
    <w:rsid w:val="002B6AEF"/>
    <w:rsid w:val="002B6BC6"/>
    <w:rsid w:val="002B6C86"/>
    <w:rsid w:val="002B6D2E"/>
    <w:rsid w:val="002B6F98"/>
    <w:rsid w:val="002B7231"/>
    <w:rsid w:val="002B74CB"/>
    <w:rsid w:val="002B774C"/>
    <w:rsid w:val="002B792E"/>
    <w:rsid w:val="002C00D7"/>
    <w:rsid w:val="002C0332"/>
    <w:rsid w:val="002C03D3"/>
    <w:rsid w:val="002C071A"/>
    <w:rsid w:val="002C09FE"/>
    <w:rsid w:val="002C0D26"/>
    <w:rsid w:val="002C0D5F"/>
    <w:rsid w:val="002C0FFB"/>
    <w:rsid w:val="002C1005"/>
    <w:rsid w:val="002C10A9"/>
    <w:rsid w:val="002C1140"/>
    <w:rsid w:val="002C1252"/>
    <w:rsid w:val="002C1705"/>
    <w:rsid w:val="002C19A5"/>
    <w:rsid w:val="002C1A3C"/>
    <w:rsid w:val="002C1B49"/>
    <w:rsid w:val="002C1C4B"/>
    <w:rsid w:val="002C1C90"/>
    <w:rsid w:val="002C1D59"/>
    <w:rsid w:val="002C1DAF"/>
    <w:rsid w:val="002C1FFB"/>
    <w:rsid w:val="002C2210"/>
    <w:rsid w:val="002C2356"/>
    <w:rsid w:val="002C2451"/>
    <w:rsid w:val="002C2651"/>
    <w:rsid w:val="002C26ED"/>
    <w:rsid w:val="002C2892"/>
    <w:rsid w:val="002C291B"/>
    <w:rsid w:val="002C292E"/>
    <w:rsid w:val="002C2995"/>
    <w:rsid w:val="002C30C5"/>
    <w:rsid w:val="002C34EA"/>
    <w:rsid w:val="002C351D"/>
    <w:rsid w:val="002C3568"/>
    <w:rsid w:val="002C3663"/>
    <w:rsid w:val="002C3935"/>
    <w:rsid w:val="002C3EAC"/>
    <w:rsid w:val="002C3ED6"/>
    <w:rsid w:val="002C3F68"/>
    <w:rsid w:val="002C3FBC"/>
    <w:rsid w:val="002C40D5"/>
    <w:rsid w:val="002C421E"/>
    <w:rsid w:val="002C4283"/>
    <w:rsid w:val="002C43E6"/>
    <w:rsid w:val="002C443A"/>
    <w:rsid w:val="002C469D"/>
    <w:rsid w:val="002C46E5"/>
    <w:rsid w:val="002C4943"/>
    <w:rsid w:val="002C49EA"/>
    <w:rsid w:val="002C4BAC"/>
    <w:rsid w:val="002C4C9C"/>
    <w:rsid w:val="002C4E55"/>
    <w:rsid w:val="002C4F48"/>
    <w:rsid w:val="002C4FEE"/>
    <w:rsid w:val="002C50E6"/>
    <w:rsid w:val="002C5150"/>
    <w:rsid w:val="002C548D"/>
    <w:rsid w:val="002C5546"/>
    <w:rsid w:val="002C5662"/>
    <w:rsid w:val="002C5A48"/>
    <w:rsid w:val="002C5C58"/>
    <w:rsid w:val="002C5E67"/>
    <w:rsid w:val="002C5FEA"/>
    <w:rsid w:val="002C65C2"/>
    <w:rsid w:val="002C690A"/>
    <w:rsid w:val="002C6966"/>
    <w:rsid w:val="002C69A1"/>
    <w:rsid w:val="002C69FC"/>
    <w:rsid w:val="002C6A80"/>
    <w:rsid w:val="002C6A8F"/>
    <w:rsid w:val="002C6D25"/>
    <w:rsid w:val="002C6EC5"/>
    <w:rsid w:val="002C6F1D"/>
    <w:rsid w:val="002C6F50"/>
    <w:rsid w:val="002C6FC8"/>
    <w:rsid w:val="002C70F7"/>
    <w:rsid w:val="002C72A0"/>
    <w:rsid w:val="002C737D"/>
    <w:rsid w:val="002C7381"/>
    <w:rsid w:val="002C7521"/>
    <w:rsid w:val="002C7592"/>
    <w:rsid w:val="002C766C"/>
    <w:rsid w:val="002C76AE"/>
    <w:rsid w:val="002C7859"/>
    <w:rsid w:val="002C78A9"/>
    <w:rsid w:val="002C792C"/>
    <w:rsid w:val="002C7A92"/>
    <w:rsid w:val="002C7CDA"/>
    <w:rsid w:val="002C7E6E"/>
    <w:rsid w:val="002C7F5B"/>
    <w:rsid w:val="002D0033"/>
    <w:rsid w:val="002D00D3"/>
    <w:rsid w:val="002D00EE"/>
    <w:rsid w:val="002D012B"/>
    <w:rsid w:val="002D0265"/>
    <w:rsid w:val="002D05D7"/>
    <w:rsid w:val="002D07EE"/>
    <w:rsid w:val="002D08AF"/>
    <w:rsid w:val="002D09EE"/>
    <w:rsid w:val="002D0AA4"/>
    <w:rsid w:val="002D0E66"/>
    <w:rsid w:val="002D1129"/>
    <w:rsid w:val="002D121F"/>
    <w:rsid w:val="002D1456"/>
    <w:rsid w:val="002D1577"/>
    <w:rsid w:val="002D1785"/>
    <w:rsid w:val="002D1B0D"/>
    <w:rsid w:val="002D1EB4"/>
    <w:rsid w:val="002D20F6"/>
    <w:rsid w:val="002D21EF"/>
    <w:rsid w:val="002D2219"/>
    <w:rsid w:val="002D2279"/>
    <w:rsid w:val="002D248D"/>
    <w:rsid w:val="002D24AB"/>
    <w:rsid w:val="002D24D8"/>
    <w:rsid w:val="002D29F2"/>
    <w:rsid w:val="002D2B31"/>
    <w:rsid w:val="002D2B78"/>
    <w:rsid w:val="002D2BB8"/>
    <w:rsid w:val="002D2D0A"/>
    <w:rsid w:val="002D3204"/>
    <w:rsid w:val="002D347F"/>
    <w:rsid w:val="002D354E"/>
    <w:rsid w:val="002D3584"/>
    <w:rsid w:val="002D3695"/>
    <w:rsid w:val="002D3855"/>
    <w:rsid w:val="002D3A86"/>
    <w:rsid w:val="002D3C03"/>
    <w:rsid w:val="002D3CDD"/>
    <w:rsid w:val="002D3F8C"/>
    <w:rsid w:val="002D3FE4"/>
    <w:rsid w:val="002D3FED"/>
    <w:rsid w:val="002D41F7"/>
    <w:rsid w:val="002D4386"/>
    <w:rsid w:val="002D439C"/>
    <w:rsid w:val="002D45BB"/>
    <w:rsid w:val="002D4605"/>
    <w:rsid w:val="002D4B3C"/>
    <w:rsid w:val="002D502D"/>
    <w:rsid w:val="002D53C1"/>
    <w:rsid w:val="002D557B"/>
    <w:rsid w:val="002D55E9"/>
    <w:rsid w:val="002D57E6"/>
    <w:rsid w:val="002D5862"/>
    <w:rsid w:val="002D5863"/>
    <w:rsid w:val="002D5BF8"/>
    <w:rsid w:val="002D5CE1"/>
    <w:rsid w:val="002D5D90"/>
    <w:rsid w:val="002D5E01"/>
    <w:rsid w:val="002D5E3A"/>
    <w:rsid w:val="002D6063"/>
    <w:rsid w:val="002D609B"/>
    <w:rsid w:val="002D624C"/>
    <w:rsid w:val="002D62D4"/>
    <w:rsid w:val="002D6336"/>
    <w:rsid w:val="002D66A1"/>
    <w:rsid w:val="002D6AFA"/>
    <w:rsid w:val="002D6B5E"/>
    <w:rsid w:val="002D6BC9"/>
    <w:rsid w:val="002D70D3"/>
    <w:rsid w:val="002D720C"/>
    <w:rsid w:val="002D72A1"/>
    <w:rsid w:val="002D754D"/>
    <w:rsid w:val="002D76AA"/>
    <w:rsid w:val="002D76E0"/>
    <w:rsid w:val="002D774F"/>
    <w:rsid w:val="002D77BF"/>
    <w:rsid w:val="002D7C43"/>
    <w:rsid w:val="002D7C4A"/>
    <w:rsid w:val="002E010A"/>
    <w:rsid w:val="002E022C"/>
    <w:rsid w:val="002E025C"/>
    <w:rsid w:val="002E032E"/>
    <w:rsid w:val="002E034D"/>
    <w:rsid w:val="002E0521"/>
    <w:rsid w:val="002E06B8"/>
    <w:rsid w:val="002E06FE"/>
    <w:rsid w:val="002E09C4"/>
    <w:rsid w:val="002E0B81"/>
    <w:rsid w:val="002E1044"/>
    <w:rsid w:val="002E1454"/>
    <w:rsid w:val="002E167A"/>
    <w:rsid w:val="002E1844"/>
    <w:rsid w:val="002E1983"/>
    <w:rsid w:val="002E1B94"/>
    <w:rsid w:val="002E1C00"/>
    <w:rsid w:val="002E1DAE"/>
    <w:rsid w:val="002E1F3E"/>
    <w:rsid w:val="002E22D8"/>
    <w:rsid w:val="002E260A"/>
    <w:rsid w:val="002E26F9"/>
    <w:rsid w:val="002E2756"/>
    <w:rsid w:val="002E2845"/>
    <w:rsid w:val="002E2973"/>
    <w:rsid w:val="002E2B33"/>
    <w:rsid w:val="002E2BBC"/>
    <w:rsid w:val="002E2BEC"/>
    <w:rsid w:val="002E2D62"/>
    <w:rsid w:val="002E2DF3"/>
    <w:rsid w:val="002E30D4"/>
    <w:rsid w:val="002E31EC"/>
    <w:rsid w:val="002E3232"/>
    <w:rsid w:val="002E32F5"/>
    <w:rsid w:val="002E3714"/>
    <w:rsid w:val="002E3A87"/>
    <w:rsid w:val="002E3C1D"/>
    <w:rsid w:val="002E3C6F"/>
    <w:rsid w:val="002E3D46"/>
    <w:rsid w:val="002E3E3E"/>
    <w:rsid w:val="002E3E62"/>
    <w:rsid w:val="002E3FB2"/>
    <w:rsid w:val="002E44E0"/>
    <w:rsid w:val="002E4807"/>
    <w:rsid w:val="002E4924"/>
    <w:rsid w:val="002E4DB9"/>
    <w:rsid w:val="002E4E21"/>
    <w:rsid w:val="002E4FC4"/>
    <w:rsid w:val="002E5065"/>
    <w:rsid w:val="002E50FA"/>
    <w:rsid w:val="002E514F"/>
    <w:rsid w:val="002E5663"/>
    <w:rsid w:val="002E58D4"/>
    <w:rsid w:val="002E5961"/>
    <w:rsid w:val="002E5B4A"/>
    <w:rsid w:val="002E5B8C"/>
    <w:rsid w:val="002E5BC9"/>
    <w:rsid w:val="002E5C16"/>
    <w:rsid w:val="002E5F9F"/>
    <w:rsid w:val="002E626B"/>
    <w:rsid w:val="002E630D"/>
    <w:rsid w:val="002E6607"/>
    <w:rsid w:val="002E66C9"/>
    <w:rsid w:val="002E6726"/>
    <w:rsid w:val="002E67BC"/>
    <w:rsid w:val="002E67C3"/>
    <w:rsid w:val="002E685C"/>
    <w:rsid w:val="002E694A"/>
    <w:rsid w:val="002E6B51"/>
    <w:rsid w:val="002E6CE8"/>
    <w:rsid w:val="002E6F2E"/>
    <w:rsid w:val="002E6FA1"/>
    <w:rsid w:val="002E7099"/>
    <w:rsid w:val="002E7263"/>
    <w:rsid w:val="002E73C1"/>
    <w:rsid w:val="002E74DE"/>
    <w:rsid w:val="002E74E7"/>
    <w:rsid w:val="002E75D1"/>
    <w:rsid w:val="002E76DC"/>
    <w:rsid w:val="002E78EC"/>
    <w:rsid w:val="002E7996"/>
    <w:rsid w:val="002E79C2"/>
    <w:rsid w:val="002E7A55"/>
    <w:rsid w:val="002E7A78"/>
    <w:rsid w:val="002E7E6B"/>
    <w:rsid w:val="002E7F93"/>
    <w:rsid w:val="002F00ED"/>
    <w:rsid w:val="002F0108"/>
    <w:rsid w:val="002F0199"/>
    <w:rsid w:val="002F021C"/>
    <w:rsid w:val="002F03A1"/>
    <w:rsid w:val="002F03FA"/>
    <w:rsid w:val="002F0584"/>
    <w:rsid w:val="002F0669"/>
    <w:rsid w:val="002F0AEA"/>
    <w:rsid w:val="002F0B0D"/>
    <w:rsid w:val="002F0E42"/>
    <w:rsid w:val="002F0E8F"/>
    <w:rsid w:val="002F10BA"/>
    <w:rsid w:val="002F14F6"/>
    <w:rsid w:val="002F1591"/>
    <w:rsid w:val="002F1974"/>
    <w:rsid w:val="002F1CE5"/>
    <w:rsid w:val="002F1DF4"/>
    <w:rsid w:val="002F2037"/>
    <w:rsid w:val="002F20DA"/>
    <w:rsid w:val="002F2390"/>
    <w:rsid w:val="002F23D0"/>
    <w:rsid w:val="002F263F"/>
    <w:rsid w:val="002F26CB"/>
    <w:rsid w:val="002F2771"/>
    <w:rsid w:val="002F277C"/>
    <w:rsid w:val="002F2AE0"/>
    <w:rsid w:val="002F2B1D"/>
    <w:rsid w:val="002F2D43"/>
    <w:rsid w:val="002F3065"/>
    <w:rsid w:val="002F30B3"/>
    <w:rsid w:val="002F3264"/>
    <w:rsid w:val="002F32A6"/>
    <w:rsid w:val="002F330A"/>
    <w:rsid w:val="002F336C"/>
    <w:rsid w:val="002F345E"/>
    <w:rsid w:val="002F360A"/>
    <w:rsid w:val="002F3624"/>
    <w:rsid w:val="002F37F2"/>
    <w:rsid w:val="002F3829"/>
    <w:rsid w:val="002F3869"/>
    <w:rsid w:val="002F38BE"/>
    <w:rsid w:val="002F3A67"/>
    <w:rsid w:val="002F3C6E"/>
    <w:rsid w:val="002F3CEA"/>
    <w:rsid w:val="002F3D6E"/>
    <w:rsid w:val="002F3E2F"/>
    <w:rsid w:val="002F42DC"/>
    <w:rsid w:val="002F42EF"/>
    <w:rsid w:val="002F43BD"/>
    <w:rsid w:val="002F457E"/>
    <w:rsid w:val="002F4965"/>
    <w:rsid w:val="002F4B0C"/>
    <w:rsid w:val="002F4DA9"/>
    <w:rsid w:val="002F5053"/>
    <w:rsid w:val="002F5347"/>
    <w:rsid w:val="002F5462"/>
    <w:rsid w:val="002F586B"/>
    <w:rsid w:val="002F58E0"/>
    <w:rsid w:val="002F5B44"/>
    <w:rsid w:val="002F5C16"/>
    <w:rsid w:val="002F5C82"/>
    <w:rsid w:val="002F5CD8"/>
    <w:rsid w:val="002F5D25"/>
    <w:rsid w:val="002F5D64"/>
    <w:rsid w:val="002F5F53"/>
    <w:rsid w:val="002F5FAB"/>
    <w:rsid w:val="002F61CB"/>
    <w:rsid w:val="002F61E6"/>
    <w:rsid w:val="002F62C4"/>
    <w:rsid w:val="002F6474"/>
    <w:rsid w:val="002F6B55"/>
    <w:rsid w:val="002F6C3D"/>
    <w:rsid w:val="002F6C90"/>
    <w:rsid w:val="002F6E15"/>
    <w:rsid w:val="002F6FAE"/>
    <w:rsid w:val="002F6FBC"/>
    <w:rsid w:val="002F7147"/>
    <w:rsid w:val="002F7251"/>
    <w:rsid w:val="002F729C"/>
    <w:rsid w:val="002F7406"/>
    <w:rsid w:val="002F77F5"/>
    <w:rsid w:val="002F79D2"/>
    <w:rsid w:val="002F7A77"/>
    <w:rsid w:val="002F7AF0"/>
    <w:rsid w:val="0030004A"/>
    <w:rsid w:val="0030032F"/>
    <w:rsid w:val="0030034B"/>
    <w:rsid w:val="00300414"/>
    <w:rsid w:val="003005B5"/>
    <w:rsid w:val="00300760"/>
    <w:rsid w:val="00300AC6"/>
    <w:rsid w:val="00300C7D"/>
    <w:rsid w:val="00301444"/>
    <w:rsid w:val="003017B5"/>
    <w:rsid w:val="0030190A"/>
    <w:rsid w:val="003019CE"/>
    <w:rsid w:val="00301AFE"/>
    <w:rsid w:val="00301E1B"/>
    <w:rsid w:val="00301FBA"/>
    <w:rsid w:val="00302067"/>
    <w:rsid w:val="003020BA"/>
    <w:rsid w:val="00302387"/>
    <w:rsid w:val="00302697"/>
    <w:rsid w:val="003026AC"/>
    <w:rsid w:val="003028E4"/>
    <w:rsid w:val="003029FA"/>
    <w:rsid w:val="00302A91"/>
    <w:rsid w:val="00302B3E"/>
    <w:rsid w:val="00302D44"/>
    <w:rsid w:val="00302E14"/>
    <w:rsid w:val="00302FA2"/>
    <w:rsid w:val="0030304D"/>
    <w:rsid w:val="00303218"/>
    <w:rsid w:val="0030321D"/>
    <w:rsid w:val="003033BC"/>
    <w:rsid w:val="003033D5"/>
    <w:rsid w:val="003039C0"/>
    <w:rsid w:val="003039DA"/>
    <w:rsid w:val="00303AE3"/>
    <w:rsid w:val="00303BFE"/>
    <w:rsid w:val="00303C30"/>
    <w:rsid w:val="00303DB8"/>
    <w:rsid w:val="00303E6D"/>
    <w:rsid w:val="00303ED7"/>
    <w:rsid w:val="00303EDB"/>
    <w:rsid w:val="00303EF7"/>
    <w:rsid w:val="00303F33"/>
    <w:rsid w:val="00303F7D"/>
    <w:rsid w:val="00304073"/>
    <w:rsid w:val="00304306"/>
    <w:rsid w:val="003043A0"/>
    <w:rsid w:val="003044AA"/>
    <w:rsid w:val="003044E0"/>
    <w:rsid w:val="0030474F"/>
    <w:rsid w:val="00304D1D"/>
    <w:rsid w:val="0030501F"/>
    <w:rsid w:val="00305065"/>
    <w:rsid w:val="0030513D"/>
    <w:rsid w:val="00305365"/>
    <w:rsid w:val="00305504"/>
    <w:rsid w:val="003056BF"/>
    <w:rsid w:val="00305A93"/>
    <w:rsid w:val="00305AAC"/>
    <w:rsid w:val="00305BF4"/>
    <w:rsid w:val="00305DA4"/>
    <w:rsid w:val="00305EA1"/>
    <w:rsid w:val="00305EC4"/>
    <w:rsid w:val="00305F5C"/>
    <w:rsid w:val="0030610B"/>
    <w:rsid w:val="00306370"/>
    <w:rsid w:val="00306399"/>
    <w:rsid w:val="0030667B"/>
    <w:rsid w:val="003067FC"/>
    <w:rsid w:val="00306840"/>
    <w:rsid w:val="00306875"/>
    <w:rsid w:val="00306BE2"/>
    <w:rsid w:val="00306D2A"/>
    <w:rsid w:val="00306D53"/>
    <w:rsid w:val="00306E15"/>
    <w:rsid w:val="00306F25"/>
    <w:rsid w:val="003073EC"/>
    <w:rsid w:val="00307429"/>
    <w:rsid w:val="0030749A"/>
    <w:rsid w:val="003074AB"/>
    <w:rsid w:val="00307907"/>
    <w:rsid w:val="00307BDD"/>
    <w:rsid w:val="00307CEF"/>
    <w:rsid w:val="00307F56"/>
    <w:rsid w:val="00307F67"/>
    <w:rsid w:val="00307FCC"/>
    <w:rsid w:val="003101B5"/>
    <w:rsid w:val="0031044E"/>
    <w:rsid w:val="003106D6"/>
    <w:rsid w:val="00310854"/>
    <w:rsid w:val="0031092D"/>
    <w:rsid w:val="0031095D"/>
    <w:rsid w:val="0031097B"/>
    <w:rsid w:val="00310A9F"/>
    <w:rsid w:val="00310DE5"/>
    <w:rsid w:val="00310E75"/>
    <w:rsid w:val="003110E5"/>
    <w:rsid w:val="00311357"/>
    <w:rsid w:val="00311600"/>
    <w:rsid w:val="00311A69"/>
    <w:rsid w:val="003121C1"/>
    <w:rsid w:val="00312438"/>
    <w:rsid w:val="00312761"/>
    <w:rsid w:val="003129B4"/>
    <w:rsid w:val="00312A80"/>
    <w:rsid w:val="00312ABC"/>
    <w:rsid w:val="00312F60"/>
    <w:rsid w:val="00313006"/>
    <w:rsid w:val="00313162"/>
    <w:rsid w:val="00313256"/>
    <w:rsid w:val="00313274"/>
    <w:rsid w:val="003134D5"/>
    <w:rsid w:val="003135F2"/>
    <w:rsid w:val="003138CA"/>
    <w:rsid w:val="00313BCA"/>
    <w:rsid w:val="0031466F"/>
    <w:rsid w:val="0031471E"/>
    <w:rsid w:val="003147F1"/>
    <w:rsid w:val="0031494C"/>
    <w:rsid w:val="00314B8D"/>
    <w:rsid w:val="00314EBC"/>
    <w:rsid w:val="003150D8"/>
    <w:rsid w:val="00315110"/>
    <w:rsid w:val="003152D4"/>
    <w:rsid w:val="00315451"/>
    <w:rsid w:val="003155B4"/>
    <w:rsid w:val="00315654"/>
    <w:rsid w:val="00315943"/>
    <w:rsid w:val="00315A9A"/>
    <w:rsid w:val="00315C25"/>
    <w:rsid w:val="00316028"/>
    <w:rsid w:val="00316382"/>
    <w:rsid w:val="0031644B"/>
    <w:rsid w:val="00316451"/>
    <w:rsid w:val="0031662B"/>
    <w:rsid w:val="00316AB9"/>
    <w:rsid w:val="00316C2F"/>
    <w:rsid w:val="00316C88"/>
    <w:rsid w:val="00316E23"/>
    <w:rsid w:val="00316E6D"/>
    <w:rsid w:val="00316E6F"/>
    <w:rsid w:val="003173BE"/>
    <w:rsid w:val="00317455"/>
    <w:rsid w:val="0031753F"/>
    <w:rsid w:val="00317587"/>
    <w:rsid w:val="0031761E"/>
    <w:rsid w:val="003176A8"/>
    <w:rsid w:val="0031773E"/>
    <w:rsid w:val="003177A8"/>
    <w:rsid w:val="003179CD"/>
    <w:rsid w:val="00317AED"/>
    <w:rsid w:val="00317B4C"/>
    <w:rsid w:val="00317BB8"/>
    <w:rsid w:val="00317D70"/>
    <w:rsid w:val="00317FB9"/>
    <w:rsid w:val="0032016A"/>
    <w:rsid w:val="003202D0"/>
    <w:rsid w:val="003203D2"/>
    <w:rsid w:val="003204CB"/>
    <w:rsid w:val="003204D6"/>
    <w:rsid w:val="003204E3"/>
    <w:rsid w:val="00320537"/>
    <w:rsid w:val="003205A3"/>
    <w:rsid w:val="00320697"/>
    <w:rsid w:val="003207AF"/>
    <w:rsid w:val="00320805"/>
    <w:rsid w:val="00320EE1"/>
    <w:rsid w:val="003214C5"/>
    <w:rsid w:val="0032175C"/>
    <w:rsid w:val="003218B4"/>
    <w:rsid w:val="00321969"/>
    <w:rsid w:val="00321A58"/>
    <w:rsid w:val="00321C02"/>
    <w:rsid w:val="00321D68"/>
    <w:rsid w:val="00321EF3"/>
    <w:rsid w:val="00321F7F"/>
    <w:rsid w:val="00321F84"/>
    <w:rsid w:val="003221B8"/>
    <w:rsid w:val="003223BB"/>
    <w:rsid w:val="003226A0"/>
    <w:rsid w:val="003229B5"/>
    <w:rsid w:val="003229BB"/>
    <w:rsid w:val="00322B68"/>
    <w:rsid w:val="00322DD6"/>
    <w:rsid w:val="00322FA3"/>
    <w:rsid w:val="00323311"/>
    <w:rsid w:val="003234CA"/>
    <w:rsid w:val="00323694"/>
    <w:rsid w:val="003236FD"/>
    <w:rsid w:val="0032371A"/>
    <w:rsid w:val="0032373B"/>
    <w:rsid w:val="003237CB"/>
    <w:rsid w:val="003238FA"/>
    <w:rsid w:val="00323B1D"/>
    <w:rsid w:val="00323C23"/>
    <w:rsid w:val="00323C3F"/>
    <w:rsid w:val="00323F38"/>
    <w:rsid w:val="00323F73"/>
    <w:rsid w:val="0032404A"/>
    <w:rsid w:val="0032424C"/>
    <w:rsid w:val="003245AC"/>
    <w:rsid w:val="00324616"/>
    <w:rsid w:val="0032467B"/>
    <w:rsid w:val="00324758"/>
    <w:rsid w:val="00324995"/>
    <w:rsid w:val="00324C60"/>
    <w:rsid w:val="00324CD3"/>
    <w:rsid w:val="003252E9"/>
    <w:rsid w:val="00325484"/>
    <w:rsid w:val="00325583"/>
    <w:rsid w:val="0032581C"/>
    <w:rsid w:val="003258A9"/>
    <w:rsid w:val="00325905"/>
    <w:rsid w:val="0032591F"/>
    <w:rsid w:val="00325ADE"/>
    <w:rsid w:val="00325EF4"/>
    <w:rsid w:val="00325FE6"/>
    <w:rsid w:val="003261E6"/>
    <w:rsid w:val="00326251"/>
    <w:rsid w:val="0032625C"/>
    <w:rsid w:val="0032626F"/>
    <w:rsid w:val="00326273"/>
    <w:rsid w:val="003262CD"/>
    <w:rsid w:val="003266F3"/>
    <w:rsid w:val="00326729"/>
    <w:rsid w:val="00326755"/>
    <w:rsid w:val="003267F1"/>
    <w:rsid w:val="00326A09"/>
    <w:rsid w:val="00326AF6"/>
    <w:rsid w:val="00326D96"/>
    <w:rsid w:val="00326D99"/>
    <w:rsid w:val="00326F6C"/>
    <w:rsid w:val="003273C6"/>
    <w:rsid w:val="0032747D"/>
    <w:rsid w:val="003274E4"/>
    <w:rsid w:val="003274E7"/>
    <w:rsid w:val="0032759B"/>
    <w:rsid w:val="003276EC"/>
    <w:rsid w:val="0032775E"/>
    <w:rsid w:val="00327770"/>
    <w:rsid w:val="00327788"/>
    <w:rsid w:val="00327AF0"/>
    <w:rsid w:val="00327B8F"/>
    <w:rsid w:val="00327BFD"/>
    <w:rsid w:val="00327DA7"/>
    <w:rsid w:val="00327E01"/>
    <w:rsid w:val="00330056"/>
    <w:rsid w:val="0033017E"/>
    <w:rsid w:val="0033030F"/>
    <w:rsid w:val="00330782"/>
    <w:rsid w:val="00330B5C"/>
    <w:rsid w:val="00330C2E"/>
    <w:rsid w:val="00330CA4"/>
    <w:rsid w:val="00331312"/>
    <w:rsid w:val="00331702"/>
    <w:rsid w:val="00331718"/>
    <w:rsid w:val="003318F9"/>
    <w:rsid w:val="00331987"/>
    <w:rsid w:val="003319F2"/>
    <w:rsid w:val="00331B53"/>
    <w:rsid w:val="00331D1F"/>
    <w:rsid w:val="00331D45"/>
    <w:rsid w:val="003322D3"/>
    <w:rsid w:val="003323BE"/>
    <w:rsid w:val="003329E3"/>
    <w:rsid w:val="00332B58"/>
    <w:rsid w:val="00332D96"/>
    <w:rsid w:val="00332E28"/>
    <w:rsid w:val="00332FFC"/>
    <w:rsid w:val="003331D9"/>
    <w:rsid w:val="0033336A"/>
    <w:rsid w:val="003339E0"/>
    <w:rsid w:val="003339E3"/>
    <w:rsid w:val="00333BDC"/>
    <w:rsid w:val="00334147"/>
    <w:rsid w:val="003343B0"/>
    <w:rsid w:val="00334405"/>
    <w:rsid w:val="00334585"/>
    <w:rsid w:val="003346F4"/>
    <w:rsid w:val="003348DF"/>
    <w:rsid w:val="00334951"/>
    <w:rsid w:val="00334C69"/>
    <w:rsid w:val="00334C8E"/>
    <w:rsid w:val="00334F0E"/>
    <w:rsid w:val="003350DA"/>
    <w:rsid w:val="003350E6"/>
    <w:rsid w:val="00335267"/>
    <w:rsid w:val="00335524"/>
    <w:rsid w:val="003355E2"/>
    <w:rsid w:val="0033569B"/>
    <w:rsid w:val="00335761"/>
    <w:rsid w:val="0033579D"/>
    <w:rsid w:val="003357E5"/>
    <w:rsid w:val="00335904"/>
    <w:rsid w:val="00335916"/>
    <w:rsid w:val="0033604E"/>
    <w:rsid w:val="003360AE"/>
    <w:rsid w:val="003362BA"/>
    <w:rsid w:val="00336694"/>
    <w:rsid w:val="003367DD"/>
    <w:rsid w:val="00336933"/>
    <w:rsid w:val="00336AA0"/>
    <w:rsid w:val="00336B24"/>
    <w:rsid w:val="00336B8C"/>
    <w:rsid w:val="00336F0E"/>
    <w:rsid w:val="00337253"/>
    <w:rsid w:val="003373AA"/>
    <w:rsid w:val="0033755F"/>
    <w:rsid w:val="00337680"/>
    <w:rsid w:val="003376E3"/>
    <w:rsid w:val="003377D0"/>
    <w:rsid w:val="00337854"/>
    <w:rsid w:val="003379AF"/>
    <w:rsid w:val="00337CC0"/>
    <w:rsid w:val="00337D81"/>
    <w:rsid w:val="00337E6C"/>
    <w:rsid w:val="00337EC9"/>
    <w:rsid w:val="00337FC9"/>
    <w:rsid w:val="00337FDF"/>
    <w:rsid w:val="00340006"/>
    <w:rsid w:val="00340181"/>
    <w:rsid w:val="0034026B"/>
    <w:rsid w:val="00340296"/>
    <w:rsid w:val="00340594"/>
    <w:rsid w:val="003408CE"/>
    <w:rsid w:val="00340957"/>
    <w:rsid w:val="00340958"/>
    <w:rsid w:val="00340A26"/>
    <w:rsid w:val="00340BA2"/>
    <w:rsid w:val="00340E74"/>
    <w:rsid w:val="0034101D"/>
    <w:rsid w:val="0034118D"/>
    <w:rsid w:val="00341195"/>
    <w:rsid w:val="003414C3"/>
    <w:rsid w:val="00341506"/>
    <w:rsid w:val="00341511"/>
    <w:rsid w:val="0034166D"/>
    <w:rsid w:val="00341791"/>
    <w:rsid w:val="003419B8"/>
    <w:rsid w:val="00341A5B"/>
    <w:rsid w:val="00341FD0"/>
    <w:rsid w:val="003420EB"/>
    <w:rsid w:val="003422A2"/>
    <w:rsid w:val="00342894"/>
    <w:rsid w:val="00342A3F"/>
    <w:rsid w:val="00342A85"/>
    <w:rsid w:val="00342AF5"/>
    <w:rsid w:val="00342C02"/>
    <w:rsid w:val="00342CEB"/>
    <w:rsid w:val="0034342C"/>
    <w:rsid w:val="00343456"/>
    <w:rsid w:val="003434A0"/>
    <w:rsid w:val="00343512"/>
    <w:rsid w:val="003437C0"/>
    <w:rsid w:val="00343B90"/>
    <w:rsid w:val="00343F35"/>
    <w:rsid w:val="00343F8E"/>
    <w:rsid w:val="00344127"/>
    <w:rsid w:val="0034433C"/>
    <w:rsid w:val="003443D7"/>
    <w:rsid w:val="00344479"/>
    <w:rsid w:val="0034451A"/>
    <w:rsid w:val="00344564"/>
    <w:rsid w:val="003447FC"/>
    <w:rsid w:val="0034480D"/>
    <w:rsid w:val="003448EB"/>
    <w:rsid w:val="00344A0E"/>
    <w:rsid w:val="003454BC"/>
    <w:rsid w:val="0034557B"/>
    <w:rsid w:val="003455FD"/>
    <w:rsid w:val="003456E9"/>
    <w:rsid w:val="003456F4"/>
    <w:rsid w:val="00345731"/>
    <w:rsid w:val="003457CA"/>
    <w:rsid w:val="003457D5"/>
    <w:rsid w:val="0034598B"/>
    <w:rsid w:val="00345C84"/>
    <w:rsid w:val="00345E01"/>
    <w:rsid w:val="00345EA5"/>
    <w:rsid w:val="0034601E"/>
    <w:rsid w:val="00346444"/>
    <w:rsid w:val="0034647D"/>
    <w:rsid w:val="0034671A"/>
    <w:rsid w:val="0034671C"/>
    <w:rsid w:val="003468D5"/>
    <w:rsid w:val="003469BD"/>
    <w:rsid w:val="00346AC5"/>
    <w:rsid w:val="00346E7F"/>
    <w:rsid w:val="003473D3"/>
    <w:rsid w:val="0034767A"/>
    <w:rsid w:val="003476CA"/>
    <w:rsid w:val="00347874"/>
    <w:rsid w:val="003478D1"/>
    <w:rsid w:val="003479D4"/>
    <w:rsid w:val="00347D0E"/>
    <w:rsid w:val="00347F7C"/>
    <w:rsid w:val="00347FF5"/>
    <w:rsid w:val="00350024"/>
    <w:rsid w:val="0035005B"/>
    <w:rsid w:val="0035019C"/>
    <w:rsid w:val="003502EB"/>
    <w:rsid w:val="00350371"/>
    <w:rsid w:val="0035083B"/>
    <w:rsid w:val="00350BCD"/>
    <w:rsid w:val="00350D09"/>
    <w:rsid w:val="00350D52"/>
    <w:rsid w:val="00350D76"/>
    <w:rsid w:val="00350D90"/>
    <w:rsid w:val="00350E21"/>
    <w:rsid w:val="00350F06"/>
    <w:rsid w:val="00350F46"/>
    <w:rsid w:val="00350F4C"/>
    <w:rsid w:val="003511CF"/>
    <w:rsid w:val="003511DE"/>
    <w:rsid w:val="003515C0"/>
    <w:rsid w:val="003516F1"/>
    <w:rsid w:val="00351810"/>
    <w:rsid w:val="00351925"/>
    <w:rsid w:val="00351BF6"/>
    <w:rsid w:val="00351CC3"/>
    <w:rsid w:val="00352233"/>
    <w:rsid w:val="00352AC0"/>
    <w:rsid w:val="00352DDB"/>
    <w:rsid w:val="0035319B"/>
    <w:rsid w:val="003532D5"/>
    <w:rsid w:val="00353353"/>
    <w:rsid w:val="003533B6"/>
    <w:rsid w:val="003536C8"/>
    <w:rsid w:val="0035383D"/>
    <w:rsid w:val="00353BD0"/>
    <w:rsid w:val="00354030"/>
    <w:rsid w:val="00354269"/>
    <w:rsid w:val="0035432D"/>
    <w:rsid w:val="003544C5"/>
    <w:rsid w:val="00354618"/>
    <w:rsid w:val="00354630"/>
    <w:rsid w:val="003547B9"/>
    <w:rsid w:val="00354832"/>
    <w:rsid w:val="00354851"/>
    <w:rsid w:val="003549F3"/>
    <w:rsid w:val="00354D76"/>
    <w:rsid w:val="00354D84"/>
    <w:rsid w:val="00355056"/>
    <w:rsid w:val="003551FC"/>
    <w:rsid w:val="003554CE"/>
    <w:rsid w:val="003555A6"/>
    <w:rsid w:val="0035569B"/>
    <w:rsid w:val="003559B0"/>
    <w:rsid w:val="003559E4"/>
    <w:rsid w:val="00355A23"/>
    <w:rsid w:val="00355A7E"/>
    <w:rsid w:val="00355ACB"/>
    <w:rsid w:val="00355ADB"/>
    <w:rsid w:val="00355C54"/>
    <w:rsid w:val="00355D5A"/>
    <w:rsid w:val="00355E34"/>
    <w:rsid w:val="00355FC6"/>
    <w:rsid w:val="00356087"/>
    <w:rsid w:val="00356957"/>
    <w:rsid w:val="00356A2F"/>
    <w:rsid w:val="00356A85"/>
    <w:rsid w:val="00356C5E"/>
    <w:rsid w:val="00356CA3"/>
    <w:rsid w:val="00356EE6"/>
    <w:rsid w:val="00356F7A"/>
    <w:rsid w:val="00357595"/>
    <w:rsid w:val="00357648"/>
    <w:rsid w:val="00357796"/>
    <w:rsid w:val="0035785C"/>
    <w:rsid w:val="003578B0"/>
    <w:rsid w:val="00357966"/>
    <w:rsid w:val="00357972"/>
    <w:rsid w:val="0035799F"/>
    <w:rsid w:val="00357A5A"/>
    <w:rsid w:val="00357C58"/>
    <w:rsid w:val="00357C9D"/>
    <w:rsid w:val="00357D49"/>
    <w:rsid w:val="00357E4F"/>
    <w:rsid w:val="00357E54"/>
    <w:rsid w:val="00357F16"/>
    <w:rsid w:val="00357F92"/>
    <w:rsid w:val="00360552"/>
    <w:rsid w:val="0036059A"/>
    <w:rsid w:val="003607A9"/>
    <w:rsid w:val="003608BA"/>
    <w:rsid w:val="003608DA"/>
    <w:rsid w:val="00360D23"/>
    <w:rsid w:val="00360E51"/>
    <w:rsid w:val="00360E66"/>
    <w:rsid w:val="00361240"/>
    <w:rsid w:val="00361308"/>
    <w:rsid w:val="003613F8"/>
    <w:rsid w:val="00361462"/>
    <w:rsid w:val="00361491"/>
    <w:rsid w:val="0036159E"/>
    <w:rsid w:val="00361669"/>
    <w:rsid w:val="003618F7"/>
    <w:rsid w:val="00361A2C"/>
    <w:rsid w:val="00361A49"/>
    <w:rsid w:val="00361B5A"/>
    <w:rsid w:val="00361BBB"/>
    <w:rsid w:val="00361C6E"/>
    <w:rsid w:val="00361E31"/>
    <w:rsid w:val="0036200A"/>
    <w:rsid w:val="00362226"/>
    <w:rsid w:val="0036240C"/>
    <w:rsid w:val="00362438"/>
    <w:rsid w:val="00362527"/>
    <w:rsid w:val="00362808"/>
    <w:rsid w:val="00362BE9"/>
    <w:rsid w:val="00362DE0"/>
    <w:rsid w:val="00362F4A"/>
    <w:rsid w:val="003630F0"/>
    <w:rsid w:val="00363386"/>
    <w:rsid w:val="003636A8"/>
    <w:rsid w:val="00363ABD"/>
    <w:rsid w:val="00363B21"/>
    <w:rsid w:val="00363BAE"/>
    <w:rsid w:val="003641D2"/>
    <w:rsid w:val="00364620"/>
    <w:rsid w:val="003647D6"/>
    <w:rsid w:val="00364960"/>
    <w:rsid w:val="00364CFA"/>
    <w:rsid w:val="00364FCD"/>
    <w:rsid w:val="0036541D"/>
    <w:rsid w:val="00365421"/>
    <w:rsid w:val="003656C7"/>
    <w:rsid w:val="0036572E"/>
    <w:rsid w:val="0036573F"/>
    <w:rsid w:val="003658B8"/>
    <w:rsid w:val="003658D5"/>
    <w:rsid w:val="00365C7D"/>
    <w:rsid w:val="00365DAA"/>
    <w:rsid w:val="0036604B"/>
    <w:rsid w:val="003663DA"/>
    <w:rsid w:val="00366698"/>
    <w:rsid w:val="00366B13"/>
    <w:rsid w:val="00366BDB"/>
    <w:rsid w:val="00366C6F"/>
    <w:rsid w:val="00366CFA"/>
    <w:rsid w:val="00366D21"/>
    <w:rsid w:val="00366E8F"/>
    <w:rsid w:val="00366F28"/>
    <w:rsid w:val="00366F37"/>
    <w:rsid w:val="00366F46"/>
    <w:rsid w:val="00366FFF"/>
    <w:rsid w:val="0036708C"/>
    <w:rsid w:val="003672E5"/>
    <w:rsid w:val="003674C0"/>
    <w:rsid w:val="0036770C"/>
    <w:rsid w:val="00367802"/>
    <w:rsid w:val="00367D57"/>
    <w:rsid w:val="00367E13"/>
    <w:rsid w:val="00367F13"/>
    <w:rsid w:val="00370015"/>
    <w:rsid w:val="0037020E"/>
    <w:rsid w:val="00370429"/>
    <w:rsid w:val="0037048B"/>
    <w:rsid w:val="003704F6"/>
    <w:rsid w:val="00370B19"/>
    <w:rsid w:val="00370B30"/>
    <w:rsid w:val="00370EB5"/>
    <w:rsid w:val="00371521"/>
    <w:rsid w:val="00371534"/>
    <w:rsid w:val="00371A46"/>
    <w:rsid w:val="00371B92"/>
    <w:rsid w:val="00371BAC"/>
    <w:rsid w:val="003720D2"/>
    <w:rsid w:val="003720D9"/>
    <w:rsid w:val="00372238"/>
    <w:rsid w:val="00372270"/>
    <w:rsid w:val="00372379"/>
    <w:rsid w:val="003728F5"/>
    <w:rsid w:val="00372BE2"/>
    <w:rsid w:val="00372C4A"/>
    <w:rsid w:val="00372D7C"/>
    <w:rsid w:val="00372F8F"/>
    <w:rsid w:val="003734AE"/>
    <w:rsid w:val="003735BD"/>
    <w:rsid w:val="00373B27"/>
    <w:rsid w:val="00373B70"/>
    <w:rsid w:val="00373E39"/>
    <w:rsid w:val="00373E89"/>
    <w:rsid w:val="00374252"/>
    <w:rsid w:val="0037428A"/>
    <w:rsid w:val="003742BB"/>
    <w:rsid w:val="0037436F"/>
    <w:rsid w:val="00374385"/>
    <w:rsid w:val="003744C6"/>
    <w:rsid w:val="0037489D"/>
    <w:rsid w:val="003748D6"/>
    <w:rsid w:val="00374C9B"/>
    <w:rsid w:val="00374E14"/>
    <w:rsid w:val="00375096"/>
    <w:rsid w:val="00375127"/>
    <w:rsid w:val="00375142"/>
    <w:rsid w:val="003751F0"/>
    <w:rsid w:val="00375C50"/>
    <w:rsid w:val="00375C93"/>
    <w:rsid w:val="00375EB8"/>
    <w:rsid w:val="00375F71"/>
    <w:rsid w:val="0037610F"/>
    <w:rsid w:val="0037616C"/>
    <w:rsid w:val="00376215"/>
    <w:rsid w:val="00376241"/>
    <w:rsid w:val="00376317"/>
    <w:rsid w:val="0037645F"/>
    <w:rsid w:val="00376879"/>
    <w:rsid w:val="003769B9"/>
    <w:rsid w:val="00376AA2"/>
    <w:rsid w:val="00376D29"/>
    <w:rsid w:val="003775F5"/>
    <w:rsid w:val="003778BC"/>
    <w:rsid w:val="00377AE4"/>
    <w:rsid w:val="00377F5F"/>
    <w:rsid w:val="003804EE"/>
    <w:rsid w:val="00380513"/>
    <w:rsid w:val="003805EA"/>
    <w:rsid w:val="00380A78"/>
    <w:rsid w:val="00380B8B"/>
    <w:rsid w:val="00380C49"/>
    <w:rsid w:val="00380CC4"/>
    <w:rsid w:val="0038121D"/>
    <w:rsid w:val="0038127C"/>
    <w:rsid w:val="003812B7"/>
    <w:rsid w:val="003812FC"/>
    <w:rsid w:val="003814E7"/>
    <w:rsid w:val="00381518"/>
    <w:rsid w:val="00381702"/>
    <w:rsid w:val="003819C3"/>
    <w:rsid w:val="00381B14"/>
    <w:rsid w:val="00381B4D"/>
    <w:rsid w:val="00381B99"/>
    <w:rsid w:val="00381CAF"/>
    <w:rsid w:val="00381F6F"/>
    <w:rsid w:val="003820E3"/>
    <w:rsid w:val="0038213A"/>
    <w:rsid w:val="00382178"/>
    <w:rsid w:val="0038221F"/>
    <w:rsid w:val="0038240D"/>
    <w:rsid w:val="003824CF"/>
    <w:rsid w:val="003824F9"/>
    <w:rsid w:val="003828F1"/>
    <w:rsid w:val="00382CD1"/>
    <w:rsid w:val="00382CF4"/>
    <w:rsid w:val="00382F09"/>
    <w:rsid w:val="003831E8"/>
    <w:rsid w:val="003833F8"/>
    <w:rsid w:val="003834A4"/>
    <w:rsid w:val="00383602"/>
    <w:rsid w:val="0038366D"/>
    <w:rsid w:val="00383794"/>
    <w:rsid w:val="00383800"/>
    <w:rsid w:val="003838ED"/>
    <w:rsid w:val="0038396B"/>
    <w:rsid w:val="00383D0F"/>
    <w:rsid w:val="00383DA7"/>
    <w:rsid w:val="0038454F"/>
    <w:rsid w:val="0038482B"/>
    <w:rsid w:val="003849FD"/>
    <w:rsid w:val="00384AB4"/>
    <w:rsid w:val="00384F66"/>
    <w:rsid w:val="003850F5"/>
    <w:rsid w:val="0038528E"/>
    <w:rsid w:val="003853E1"/>
    <w:rsid w:val="00385440"/>
    <w:rsid w:val="0038554C"/>
    <w:rsid w:val="003855C7"/>
    <w:rsid w:val="0038568A"/>
    <w:rsid w:val="00385694"/>
    <w:rsid w:val="00385806"/>
    <w:rsid w:val="00385878"/>
    <w:rsid w:val="00385923"/>
    <w:rsid w:val="003859D9"/>
    <w:rsid w:val="00385C2C"/>
    <w:rsid w:val="00385CEF"/>
    <w:rsid w:val="00385D1B"/>
    <w:rsid w:val="003861B0"/>
    <w:rsid w:val="003861B3"/>
    <w:rsid w:val="003863C7"/>
    <w:rsid w:val="003866BA"/>
    <w:rsid w:val="0038677B"/>
    <w:rsid w:val="003867BF"/>
    <w:rsid w:val="00386876"/>
    <w:rsid w:val="00386CE7"/>
    <w:rsid w:val="003870C7"/>
    <w:rsid w:val="003870F3"/>
    <w:rsid w:val="00387174"/>
    <w:rsid w:val="003871EB"/>
    <w:rsid w:val="003874E7"/>
    <w:rsid w:val="003876AD"/>
    <w:rsid w:val="003876D2"/>
    <w:rsid w:val="00387AAA"/>
    <w:rsid w:val="00387C52"/>
    <w:rsid w:val="00387E1D"/>
    <w:rsid w:val="00387E3D"/>
    <w:rsid w:val="00387E66"/>
    <w:rsid w:val="00387E9A"/>
    <w:rsid w:val="00387EF0"/>
    <w:rsid w:val="00387F3A"/>
    <w:rsid w:val="00390057"/>
    <w:rsid w:val="003900DB"/>
    <w:rsid w:val="00390188"/>
    <w:rsid w:val="00390448"/>
    <w:rsid w:val="00390449"/>
    <w:rsid w:val="0039053B"/>
    <w:rsid w:val="00390AC2"/>
    <w:rsid w:val="00390F13"/>
    <w:rsid w:val="003913DF"/>
    <w:rsid w:val="0039149A"/>
    <w:rsid w:val="003915DD"/>
    <w:rsid w:val="003916B5"/>
    <w:rsid w:val="0039181B"/>
    <w:rsid w:val="00391897"/>
    <w:rsid w:val="0039189A"/>
    <w:rsid w:val="00391A9E"/>
    <w:rsid w:val="00391B06"/>
    <w:rsid w:val="00391C70"/>
    <w:rsid w:val="00391E07"/>
    <w:rsid w:val="00391E27"/>
    <w:rsid w:val="00392110"/>
    <w:rsid w:val="0039217C"/>
    <w:rsid w:val="003923FD"/>
    <w:rsid w:val="00392619"/>
    <w:rsid w:val="003929F3"/>
    <w:rsid w:val="00392B12"/>
    <w:rsid w:val="00392C2C"/>
    <w:rsid w:val="00392D56"/>
    <w:rsid w:val="00392FB4"/>
    <w:rsid w:val="0039317C"/>
    <w:rsid w:val="003931C8"/>
    <w:rsid w:val="003931D4"/>
    <w:rsid w:val="00393404"/>
    <w:rsid w:val="00393503"/>
    <w:rsid w:val="003936BC"/>
    <w:rsid w:val="00393731"/>
    <w:rsid w:val="00393787"/>
    <w:rsid w:val="00393836"/>
    <w:rsid w:val="00393941"/>
    <w:rsid w:val="00393BA4"/>
    <w:rsid w:val="00393BE9"/>
    <w:rsid w:val="00393C1A"/>
    <w:rsid w:val="00393EA7"/>
    <w:rsid w:val="00393F70"/>
    <w:rsid w:val="00394350"/>
    <w:rsid w:val="0039446B"/>
    <w:rsid w:val="0039449A"/>
    <w:rsid w:val="00394697"/>
    <w:rsid w:val="00394A3E"/>
    <w:rsid w:val="00394B2F"/>
    <w:rsid w:val="00394F0A"/>
    <w:rsid w:val="00394F97"/>
    <w:rsid w:val="003950DA"/>
    <w:rsid w:val="00395160"/>
    <w:rsid w:val="00395B1D"/>
    <w:rsid w:val="00395D71"/>
    <w:rsid w:val="00395F78"/>
    <w:rsid w:val="0039615E"/>
    <w:rsid w:val="003961FB"/>
    <w:rsid w:val="003963D1"/>
    <w:rsid w:val="0039659D"/>
    <w:rsid w:val="00396690"/>
    <w:rsid w:val="00396884"/>
    <w:rsid w:val="0039689D"/>
    <w:rsid w:val="003969B3"/>
    <w:rsid w:val="00396A5D"/>
    <w:rsid w:val="00396ACC"/>
    <w:rsid w:val="00396ACD"/>
    <w:rsid w:val="00396C5E"/>
    <w:rsid w:val="00396FDA"/>
    <w:rsid w:val="0039712D"/>
    <w:rsid w:val="00397147"/>
    <w:rsid w:val="00397357"/>
    <w:rsid w:val="00397560"/>
    <w:rsid w:val="003977AF"/>
    <w:rsid w:val="00397814"/>
    <w:rsid w:val="003978E8"/>
    <w:rsid w:val="00397D27"/>
    <w:rsid w:val="00397DA1"/>
    <w:rsid w:val="003A004B"/>
    <w:rsid w:val="003A03F6"/>
    <w:rsid w:val="003A09AF"/>
    <w:rsid w:val="003A0AAA"/>
    <w:rsid w:val="003A0CA7"/>
    <w:rsid w:val="003A1011"/>
    <w:rsid w:val="003A1103"/>
    <w:rsid w:val="003A111A"/>
    <w:rsid w:val="003A1591"/>
    <w:rsid w:val="003A15D7"/>
    <w:rsid w:val="003A15FC"/>
    <w:rsid w:val="003A169C"/>
    <w:rsid w:val="003A16C4"/>
    <w:rsid w:val="003A186B"/>
    <w:rsid w:val="003A187F"/>
    <w:rsid w:val="003A18C0"/>
    <w:rsid w:val="003A1913"/>
    <w:rsid w:val="003A1B5B"/>
    <w:rsid w:val="003A1C4E"/>
    <w:rsid w:val="003A1C83"/>
    <w:rsid w:val="003A1F16"/>
    <w:rsid w:val="003A2271"/>
    <w:rsid w:val="003A228D"/>
    <w:rsid w:val="003A2369"/>
    <w:rsid w:val="003A2510"/>
    <w:rsid w:val="003A2729"/>
    <w:rsid w:val="003A2B1A"/>
    <w:rsid w:val="003A2B2A"/>
    <w:rsid w:val="003A2C67"/>
    <w:rsid w:val="003A2E1B"/>
    <w:rsid w:val="003A2FED"/>
    <w:rsid w:val="003A306D"/>
    <w:rsid w:val="003A308F"/>
    <w:rsid w:val="003A30D6"/>
    <w:rsid w:val="003A321A"/>
    <w:rsid w:val="003A340B"/>
    <w:rsid w:val="003A3468"/>
    <w:rsid w:val="003A34A6"/>
    <w:rsid w:val="003A35CE"/>
    <w:rsid w:val="003A37D0"/>
    <w:rsid w:val="003A39C0"/>
    <w:rsid w:val="003A3CD8"/>
    <w:rsid w:val="003A41EC"/>
    <w:rsid w:val="003A4264"/>
    <w:rsid w:val="003A432D"/>
    <w:rsid w:val="003A4417"/>
    <w:rsid w:val="003A456E"/>
    <w:rsid w:val="003A4654"/>
    <w:rsid w:val="003A47E2"/>
    <w:rsid w:val="003A494E"/>
    <w:rsid w:val="003A4AA1"/>
    <w:rsid w:val="003A4B7F"/>
    <w:rsid w:val="003A4C47"/>
    <w:rsid w:val="003A4E44"/>
    <w:rsid w:val="003A52BC"/>
    <w:rsid w:val="003A5364"/>
    <w:rsid w:val="003A5368"/>
    <w:rsid w:val="003A5377"/>
    <w:rsid w:val="003A5445"/>
    <w:rsid w:val="003A55CD"/>
    <w:rsid w:val="003A5694"/>
    <w:rsid w:val="003A583D"/>
    <w:rsid w:val="003A5AE0"/>
    <w:rsid w:val="003A5DB1"/>
    <w:rsid w:val="003A5EA9"/>
    <w:rsid w:val="003A5F13"/>
    <w:rsid w:val="003A5F7F"/>
    <w:rsid w:val="003A60C7"/>
    <w:rsid w:val="003A6258"/>
    <w:rsid w:val="003A6267"/>
    <w:rsid w:val="003A637E"/>
    <w:rsid w:val="003A63C0"/>
    <w:rsid w:val="003A679A"/>
    <w:rsid w:val="003A69A0"/>
    <w:rsid w:val="003A6CD2"/>
    <w:rsid w:val="003A6DCB"/>
    <w:rsid w:val="003A6DE7"/>
    <w:rsid w:val="003A6F07"/>
    <w:rsid w:val="003A6F8E"/>
    <w:rsid w:val="003A6FE1"/>
    <w:rsid w:val="003A71D9"/>
    <w:rsid w:val="003A7524"/>
    <w:rsid w:val="003A770C"/>
    <w:rsid w:val="003A7921"/>
    <w:rsid w:val="003A7BD7"/>
    <w:rsid w:val="003A7FFB"/>
    <w:rsid w:val="003B00C7"/>
    <w:rsid w:val="003B0124"/>
    <w:rsid w:val="003B0129"/>
    <w:rsid w:val="003B01DF"/>
    <w:rsid w:val="003B02DC"/>
    <w:rsid w:val="003B049E"/>
    <w:rsid w:val="003B0539"/>
    <w:rsid w:val="003B06CB"/>
    <w:rsid w:val="003B0BC8"/>
    <w:rsid w:val="003B0C94"/>
    <w:rsid w:val="003B0EE1"/>
    <w:rsid w:val="003B10B2"/>
    <w:rsid w:val="003B10D8"/>
    <w:rsid w:val="003B10E8"/>
    <w:rsid w:val="003B114E"/>
    <w:rsid w:val="003B1272"/>
    <w:rsid w:val="003B1492"/>
    <w:rsid w:val="003B1A25"/>
    <w:rsid w:val="003B1AA0"/>
    <w:rsid w:val="003B1AC2"/>
    <w:rsid w:val="003B1BFB"/>
    <w:rsid w:val="003B1CC1"/>
    <w:rsid w:val="003B229E"/>
    <w:rsid w:val="003B23B4"/>
    <w:rsid w:val="003B23C0"/>
    <w:rsid w:val="003B23CC"/>
    <w:rsid w:val="003B25B9"/>
    <w:rsid w:val="003B29DF"/>
    <w:rsid w:val="003B2A65"/>
    <w:rsid w:val="003B2ADC"/>
    <w:rsid w:val="003B2BB4"/>
    <w:rsid w:val="003B2BB7"/>
    <w:rsid w:val="003B32F2"/>
    <w:rsid w:val="003B3379"/>
    <w:rsid w:val="003B3456"/>
    <w:rsid w:val="003B380B"/>
    <w:rsid w:val="003B3873"/>
    <w:rsid w:val="003B39E4"/>
    <w:rsid w:val="003B3C47"/>
    <w:rsid w:val="003B3F96"/>
    <w:rsid w:val="003B41B1"/>
    <w:rsid w:val="003B4380"/>
    <w:rsid w:val="003B43CC"/>
    <w:rsid w:val="003B4442"/>
    <w:rsid w:val="003B4444"/>
    <w:rsid w:val="003B4630"/>
    <w:rsid w:val="003B46B5"/>
    <w:rsid w:val="003B4838"/>
    <w:rsid w:val="003B4DE7"/>
    <w:rsid w:val="003B4E98"/>
    <w:rsid w:val="003B4FF3"/>
    <w:rsid w:val="003B5276"/>
    <w:rsid w:val="003B53B0"/>
    <w:rsid w:val="003B555B"/>
    <w:rsid w:val="003B564F"/>
    <w:rsid w:val="003B579F"/>
    <w:rsid w:val="003B5828"/>
    <w:rsid w:val="003B5855"/>
    <w:rsid w:val="003B586A"/>
    <w:rsid w:val="003B5A0E"/>
    <w:rsid w:val="003B5C7D"/>
    <w:rsid w:val="003B5DBF"/>
    <w:rsid w:val="003B5F19"/>
    <w:rsid w:val="003B60C0"/>
    <w:rsid w:val="003B6463"/>
    <w:rsid w:val="003B6822"/>
    <w:rsid w:val="003B68B8"/>
    <w:rsid w:val="003B6949"/>
    <w:rsid w:val="003B69AF"/>
    <w:rsid w:val="003B6AF0"/>
    <w:rsid w:val="003B6B9C"/>
    <w:rsid w:val="003B6D30"/>
    <w:rsid w:val="003B7055"/>
    <w:rsid w:val="003B70B3"/>
    <w:rsid w:val="003B77D4"/>
    <w:rsid w:val="003B786C"/>
    <w:rsid w:val="003B7894"/>
    <w:rsid w:val="003B7BB9"/>
    <w:rsid w:val="003B7E00"/>
    <w:rsid w:val="003B7E75"/>
    <w:rsid w:val="003B7FEB"/>
    <w:rsid w:val="003C0016"/>
    <w:rsid w:val="003C03F1"/>
    <w:rsid w:val="003C070C"/>
    <w:rsid w:val="003C07A0"/>
    <w:rsid w:val="003C0AC1"/>
    <w:rsid w:val="003C0B3D"/>
    <w:rsid w:val="003C0B84"/>
    <w:rsid w:val="003C0BFC"/>
    <w:rsid w:val="003C0C18"/>
    <w:rsid w:val="003C0DE3"/>
    <w:rsid w:val="003C1020"/>
    <w:rsid w:val="003C114D"/>
    <w:rsid w:val="003C12AF"/>
    <w:rsid w:val="003C169B"/>
    <w:rsid w:val="003C19A5"/>
    <w:rsid w:val="003C19C4"/>
    <w:rsid w:val="003C1AA1"/>
    <w:rsid w:val="003C1C3F"/>
    <w:rsid w:val="003C1D2A"/>
    <w:rsid w:val="003C1DF7"/>
    <w:rsid w:val="003C1EB8"/>
    <w:rsid w:val="003C1F26"/>
    <w:rsid w:val="003C20FD"/>
    <w:rsid w:val="003C21AD"/>
    <w:rsid w:val="003C22B6"/>
    <w:rsid w:val="003C2614"/>
    <w:rsid w:val="003C28DF"/>
    <w:rsid w:val="003C2AF2"/>
    <w:rsid w:val="003C2B7D"/>
    <w:rsid w:val="003C2E95"/>
    <w:rsid w:val="003C2EA2"/>
    <w:rsid w:val="003C2FE8"/>
    <w:rsid w:val="003C3140"/>
    <w:rsid w:val="003C31EF"/>
    <w:rsid w:val="003C3339"/>
    <w:rsid w:val="003C339B"/>
    <w:rsid w:val="003C3661"/>
    <w:rsid w:val="003C3821"/>
    <w:rsid w:val="003C3B3B"/>
    <w:rsid w:val="003C3C79"/>
    <w:rsid w:val="003C3E28"/>
    <w:rsid w:val="003C3FAB"/>
    <w:rsid w:val="003C40B3"/>
    <w:rsid w:val="003C4205"/>
    <w:rsid w:val="003C437A"/>
    <w:rsid w:val="003C4387"/>
    <w:rsid w:val="003C4510"/>
    <w:rsid w:val="003C45C8"/>
    <w:rsid w:val="003C47EA"/>
    <w:rsid w:val="003C483D"/>
    <w:rsid w:val="003C49C5"/>
    <w:rsid w:val="003C4B53"/>
    <w:rsid w:val="003C4BE4"/>
    <w:rsid w:val="003C4DE4"/>
    <w:rsid w:val="003C4FA4"/>
    <w:rsid w:val="003C506E"/>
    <w:rsid w:val="003C5444"/>
    <w:rsid w:val="003C56C3"/>
    <w:rsid w:val="003C56D0"/>
    <w:rsid w:val="003C5834"/>
    <w:rsid w:val="003C58BB"/>
    <w:rsid w:val="003C5B1B"/>
    <w:rsid w:val="003C5BE2"/>
    <w:rsid w:val="003C6100"/>
    <w:rsid w:val="003C629A"/>
    <w:rsid w:val="003C69C4"/>
    <w:rsid w:val="003C6A54"/>
    <w:rsid w:val="003C6D58"/>
    <w:rsid w:val="003C711F"/>
    <w:rsid w:val="003C719A"/>
    <w:rsid w:val="003C7203"/>
    <w:rsid w:val="003C7279"/>
    <w:rsid w:val="003C7496"/>
    <w:rsid w:val="003C794E"/>
    <w:rsid w:val="003C7AC4"/>
    <w:rsid w:val="003C7AFD"/>
    <w:rsid w:val="003D0038"/>
    <w:rsid w:val="003D00A2"/>
    <w:rsid w:val="003D0161"/>
    <w:rsid w:val="003D0178"/>
    <w:rsid w:val="003D01ED"/>
    <w:rsid w:val="003D0240"/>
    <w:rsid w:val="003D03AA"/>
    <w:rsid w:val="003D04AA"/>
    <w:rsid w:val="003D0504"/>
    <w:rsid w:val="003D051A"/>
    <w:rsid w:val="003D063C"/>
    <w:rsid w:val="003D06E7"/>
    <w:rsid w:val="003D07B2"/>
    <w:rsid w:val="003D0819"/>
    <w:rsid w:val="003D0A2A"/>
    <w:rsid w:val="003D0D0E"/>
    <w:rsid w:val="003D0EA2"/>
    <w:rsid w:val="003D0F95"/>
    <w:rsid w:val="003D0FD4"/>
    <w:rsid w:val="003D0FE6"/>
    <w:rsid w:val="003D0FFC"/>
    <w:rsid w:val="003D10E6"/>
    <w:rsid w:val="003D1337"/>
    <w:rsid w:val="003D1501"/>
    <w:rsid w:val="003D16EA"/>
    <w:rsid w:val="003D16EF"/>
    <w:rsid w:val="003D1A80"/>
    <w:rsid w:val="003D1B27"/>
    <w:rsid w:val="003D1EB8"/>
    <w:rsid w:val="003D2067"/>
    <w:rsid w:val="003D216D"/>
    <w:rsid w:val="003D21DC"/>
    <w:rsid w:val="003D22A3"/>
    <w:rsid w:val="003D2435"/>
    <w:rsid w:val="003D2659"/>
    <w:rsid w:val="003D2675"/>
    <w:rsid w:val="003D26C3"/>
    <w:rsid w:val="003D2755"/>
    <w:rsid w:val="003D298F"/>
    <w:rsid w:val="003D2ADA"/>
    <w:rsid w:val="003D2CA6"/>
    <w:rsid w:val="003D2FBD"/>
    <w:rsid w:val="003D30EA"/>
    <w:rsid w:val="003D313C"/>
    <w:rsid w:val="003D327A"/>
    <w:rsid w:val="003D353E"/>
    <w:rsid w:val="003D368F"/>
    <w:rsid w:val="003D3729"/>
    <w:rsid w:val="003D37B0"/>
    <w:rsid w:val="003D3AE2"/>
    <w:rsid w:val="003D3B59"/>
    <w:rsid w:val="003D3C01"/>
    <w:rsid w:val="003D3DA9"/>
    <w:rsid w:val="003D41A3"/>
    <w:rsid w:val="003D4295"/>
    <w:rsid w:val="003D4383"/>
    <w:rsid w:val="003D44A6"/>
    <w:rsid w:val="003D45EA"/>
    <w:rsid w:val="003D4D1A"/>
    <w:rsid w:val="003D4E5B"/>
    <w:rsid w:val="003D50B0"/>
    <w:rsid w:val="003D51D9"/>
    <w:rsid w:val="003D5485"/>
    <w:rsid w:val="003D5909"/>
    <w:rsid w:val="003D5A69"/>
    <w:rsid w:val="003D5C17"/>
    <w:rsid w:val="003D5D0D"/>
    <w:rsid w:val="003D5DD6"/>
    <w:rsid w:val="003D5E3A"/>
    <w:rsid w:val="003D5F5A"/>
    <w:rsid w:val="003D6151"/>
    <w:rsid w:val="003D6282"/>
    <w:rsid w:val="003D63AA"/>
    <w:rsid w:val="003D63E4"/>
    <w:rsid w:val="003D666D"/>
    <w:rsid w:val="003D66FD"/>
    <w:rsid w:val="003D67CC"/>
    <w:rsid w:val="003D6862"/>
    <w:rsid w:val="003D6AF9"/>
    <w:rsid w:val="003D6B0E"/>
    <w:rsid w:val="003D6BD8"/>
    <w:rsid w:val="003D6D24"/>
    <w:rsid w:val="003D6DA2"/>
    <w:rsid w:val="003D6DBF"/>
    <w:rsid w:val="003D6E76"/>
    <w:rsid w:val="003D6F2F"/>
    <w:rsid w:val="003D71E3"/>
    <w:rsid w:val="003D72F8"/>
    <w:rsid w:val="003D74F2"/>
    <w:rsid w:val="003D754D"/>
    <w:rsid w:val="003D75B7"/>
    <w:rsid w:val="003D75C0"/>
    <w:rsid w:val="003D76EA"/>
    <w:rsid w:val="003D7903"/>
    <w:rsid w:val="003D7E47"/>
    <w:rsid w:val="003D7F99"/>
    <w:rsid w:val="003E029E"/>
    <w:rsid w:val="003E02C3"/>
    <w:rsid w:val="003E034C"/>
    <w:rsid w:val="003E060B"/>
    <w:rsid w:val="003E0761"/>
    <w:rsid w:val="003E0A7A"/>
    <w:rsid w:val="003E0AB7"/>
    <w:rsid w:val="003E0B15"/>
    <w:rsid w:val="003E1004"/>
    <w:rsid w:val="003E1029"/>
    <w:rsid w:val="003E1097"/>
    <w:rsid w:val="003E1145"/>
    <w:rsid w:val="003E11D3"/>
    <w:rsid w:val="003E138D"/>
    <w:rsid w:val="003E14CB"/>
    <w:rsid w:val="003E179A"/>
    <w:rsid w:val="003E1820"/>
    <w:rsid w:val="003E188F"/>
    <w:rsid w:val="003E18C3"/>
    <w:rsid w:val="003E1957"/>
    <w:rsid w:val="003E1A04"/>
    <w:rsid w:val="003E1BF3"/>
    <w:rsid w:val="003E2258"/>
    <w:rsid w:val="003E22CB"/>
    <w:rsid w:val="003E2544"/>
    <w:rsid w:val="003E26FC"/>
    <w:rsid w:val="003E278C"/>
    <w:rsid w:val="003E2ADB"/>
    <w:rsid w:val="003E2D9D"/>
    <w:rsid w:val="003E2FC8"/>
    <w:rsid w:val="003E330D"/>
    <w:rsid w:val="003E34F8"/>
    <w:rsid w:val="003E3589"/>
    <w:rsid w:val="003E370B"/>
    <w:rsid w:val="003E3722"/>
    <w:rsid w:val="003E3CDE"/>
    <w:rsid w:val="003E3E6F"/>
    <w:rsid w:val="003E3E8A"/>
    <w:rsid w:val="003E3EFD"/>
    <w:rsid w:val="003E3FFD"/>
    <w:rsid w:val="003E412A"/>
    <w:rsid w:val="003E468D"/>
    <w:rsid w:val="003E46FE"/>
    <w:rsid w:val="003E4763"/>
    <w:rsid w:val="003E47BB"/>
    <w:rsid w:val="003E4903"/>
    <w:rsid w:val="003E49BA"/>
    <w:rsid w:val="003E4BEE"/>
    <w:rsid w:val="003E4C0E"/>
    <w:rsid w:val="003E4D97"/>
    <w:rsid w:val="003E4D9C"/>
    <w:rsid w:val="003E4E43"/>
    <w:rsid w:val="003E527F"/>
    <w:rsid w:val="003E5AC1"/>
    <w:rsid w:val="003E5DC4"/>
    <w:rsid w:val="003E5E10"/>
    <w:rsid w:val="003E6050"/>
    <w:rsid w:val="003E6086"/>
    <w:rsid w:val="003E6255"/>
    <w:rsid w:val="003E6447"/>
    <w:rsid w:val="003E65CC"/>
    <w:rsid w:val="003E671B"/>
    <w:rsid w:val="003E6AFF"/>
    <w:rsid w:val="003E6B4B"/>
    <w:rsid w:val="003E6C1B"/>
    <w:rsid w:val="003E6F3D"/>
    <w:rsid w:val="003E7135"/>
    <w:rsid w:val="003E72A7"/>
    <w:rsid w:val="003E73B6"/>
    <w:rsid w:val="003E7457"/>
    <w:rsid w:val="003E79B4"/>
    <w:rsid w:val="003E7AA4"/>
    <w:rsid w:val="003E7ADB"/>
    <w:rsid w:val="003E7B70"/>
    <w:rsid w:val="003E7BB6"/>
    <w:rsid w:val="003E7C6C"/>
    <w:rsid w:val="003E7D24"/>
    <w:rsid w:val="003E7EBB"/>
    <w:rsid w:val="003E7F57"/>
    <w:rsid w:val="003F00AB"/>
    <w:rsid w:val="003F0163"/>
    <w:rsid w:val="003F031F"/>
    <w:rsid w:val="003F0411"/>
    <w:rsid w:val="003F0477"/>
    <w:rsid w:val="003F0707"/>
    <w:rsid w:val="003F0744"/>
    <w:rsid w:val="003F0859"/>
    <w:rsid w:val="003F09B2"/>
    <w:rsid w:val="003F0ADC"/>
    <w:rsid w:val="003F0ED3"/>
    <w:rsid w:val="003F0F8E"/>
    <w:rsid w:val="003F10BE"/>
    <w:rsid w:val="003F1495"/>
    <w:rsid w:val="003F151A"/>
    <w:rsid w:val="003F1A73"/>
    <w:rsid w:val="003F1C32"/>
    <w:rsid w:val="003F1C8D"/>
    <w:rsid w:val="003F2223"/>
    <w:rsid w:val="003F2224"/>
    <w:rsid w:val="003F232B"/>
    <w:rsid w:val="003F2623"/>
    <w:rsid w:val="003F26F5"/>
    <w:rsid w:val="003F2778"/>
    <w:rsid w:val="003F2780"/>
    <w:rsid w:val="003F2834"/>
    <w:rsid w:val="003F2A3E"/>
    <w:rsid w:val="003F2DA7"/>
    <w:rsid w:val="003F2EA2"/>
    <w:rsid w:val="003F2FF4"/>
    <w:rsid w:val="003F3249"/>
    <w:rsid w:val="003F351F"/>
    <w:rsid w:val="003F35C9"/>
    <w:rsid w:val="003F376D"/>
    <w:rsid w:val="003F39E9"/>
    <w:rsid w:val="003F3BE3"/>
    <w:rsid w:val="003F3C84"/>
    <w:rsid w:val="003F3CCA"/>
    <w:rsid w:val="003F3CD8"/>
    <w:rsid w:val="003F3EE3"/>
    <w:rsid w:val="003F404A"/>
    <w:rsid w:val="003F41AF"/>
    <w:rsid w:val="003F42CF"/>
    <w:rsid w:val="003F4488"/>
    <w:rsid w:val="003F489C"/>
    <w:rsid w:val="003F4C33"/>
    <w:rsid w:val="003F4CAF"/>
    <w:rsid w:val="003F5041"/>
    <w:rsid w:val="003F5089"/>
    <w:rsid w:val="003F54EF"/>
    <w:rsid w:val="003F579F"/>
    <w:rsid w:val="003F5999"/>
    <w:rsid w:val="003F59FD"/>
    <w:rsid w:val="003F5A21"/>
    <w:rsid w:val="003F5A35"/>
    <w:rsid w:val="003F5B3E"/>
    <w:rsid w:val="003F5B42"/>
    <w:rsid w:val="003F5FF3"/>
    <w:rsid w:val="003F6536"/>
    <w:rsid w:val="003F65AC"/>
    <w:rsid w:val="003F6822"/>
    <w:rsid w:val="003F6843"/>
    <w:rsid w:val="003F691B"/>
    <w:rsid w:val="003F6AA1"/>
    <w:rsid w:val="003F6FF0"/>
    <w:rsid w:val="003F6FFD"/>
    <w:rsid w:val="003F712D"/>
    <w:rsid w:val="003F7186"/>
    <w:rsid w:val="003F72A8"/>
    <w:rsid w:val="003F7332"/>
    <w:rsid w:val="003F741B"/>
    <w:rsid w:val="003F75CC"/>
    <w:rsid w:val="003F7775"/>
    <w:rsid w:val="003F7976"/>
    <w:rsid w:val="003F7991"/>
    <w:rsid w:val="003F79D6"/>
    <w:rsid w:val="003F7A58"/>
    <w:rsid w:val="003F7C25"/>
    <w:rsid w:val="003F7CBD"/>
    <w:rsid w:val="003F7D87"/>
    <w:rsid w:val="003F7E39"/>
    <w:rsid w:val="003F7F93"/>
    <w:rsid w:val="0040001A"/>
    <w:rsid w:val="00400084"/>
    <w:rsid w:val="0040010C"/>
    <w:rsid w:val="004003F7"/>
    <w:rsid w:val="0040050A"/>
    <w:rsid w:val="004007D1"/>
    <w:rsid w:val="00400832"/>
    <w:rsid w:val="00400B4C"/>
    <w:rsid w:val="00400B72"/>
    <w:rsid w:val="00400C08"/>
    <w:rsid w:val="00400D2F"/>
    <w:rsid w:val="00400FA8"/>
    <w:rsid w:val="004010E7"/>
    <w:rsid w:val="00401420"/>
    <w:rsid w:val="004014D6"/>
    <w:rsid w:val="00401537"/>
    <w:rsid w:val="0040170E"/>
    <w:rsid w:val="0040171F"/>
    <w:rsid w:val="00401C10"/>
    <w:rsid w:val="00401D95"/>
    <w:rsid w:val="00401E3B"/>
    <w:rsid w:val="00402097"/>
    <w:rsid w:val="00402236"/>
    <w:rsid w:val="00402945"/>
    <w:rsid w:val="00402C69"/>
    <w:rsid w:val="0040324C"/>
    <w:rsid w:val="00403591"/>
    <w:rsid w:val="004037F9"/>
    <w:rsid w:val="00403A5C"/>
    <w:rsid w:val="00403A77"/>
    <w:rsid w:val="00403BB3"/>
    <w:rsid w:val="00403BD4"/>
    <w:rsid w:val="00403D84"/>
    <w:rsid w:val="00403EC7"/>
    <w:rsid w:val="004040ED"/>
    <w:rsid w:val="00404297"/>
    <w:rsid w:val="00404623"/>
    <w:rsid w:val="00404886"/>
    <w:rsid w:val="00404897"/>
    <w:rsid w:val="00404A40"/>
    <w:rsid w:val="00404AE3"/>
    <w:rsid w:val="00404C57"/>
    <w:rsid w:val="00404F2F"/>
    <w:rsid w:val="004051B8"/>
    <w:rsid w:val="004051F8"/>
    <w:rsid w:val="004052BC"/>
    <w:rsid w:val="0040534A"/>
    <w:rsid w:val="00405374"/>
    <w:rsid w:val="00405499"/>
    <w:rsid w:val="00405743"/>
    <w:rsid w:val="00405881"/>
    <w:rsid w:val="00405EA4"/>
    <w:rsid w:val="00405FA0"/>
    <w:rsid w:val="00405FA4"/>
    <w:rsid w:val="00406027"/>
    <w:rsid w:val="0040607A"/>
    <w:rsid w:val="00406147"/>
    <w:rsid w:val="004062AF"/>
    <w:rsid w:val="00406354"/>
    <w:rsid w:val="00406471"/>
    <w:rsid w:val="004064A7"/>
    <w:rsid w:val="00406564"/>
    <w:rsid w:val="004066C3"/>
    <w:rsid w:val="0040678D"/>
    <w:rsid w:val="00406AAB"/>
    <w:rsid w:val="00406CD9"/>
    <w:rsid w:val="00406DC3"/>
    <w:rsid w:val="00407045"/>
    <w:rsid w:val="00407054"/>
    <w:rsid w:val="00407294"/>
    <w:rsid w:val="004072F1"/>
    <w:rsid w:val="00407376"/>
    <w:rsid w:val="00407597"/>
    <w:rsid w:val="0040760F"/>
    <w:rsid w:val="00407E0F"/>
    <w:rsid w:val="00407EA0"/>
    <w:rsid w:val="00410117"/>
    <w:rsid w:val="004101B0"/>
    <w:rsid w:val="00410407"/>
    <w:rsid w:val="00410A44"/>
    <w:rsid w:val="00410AA3"/>
    <w:rsid w:val="00410E5E"/>
    <w:rsid w:val="004110AF"/>
    <w:rsid w:val="00411277"/>
    <w:rsid w:val="004112F9"/>
    <w:rsid w:val="00411379"/>
    <w:rsid w:val="00411511"/>
    <w:rsid w:val="00411571"/>
    <w:rsid w:val="0041173C"/>
    <w:rsid w:val="004117D2"/>
    <w:rsid w:val="00411943"/>
    <w:rsid w:val="004119A1"/>
    <w:rsid w:val="004119BA"/>
    <w:rsid w:val="00411A72"/>
    <w:rsid w:val="00411B65"/>
    <w:rsid w:val="00411C14"/>
    <w:rsid w:val="00411CBC"/>
    <w:rsid w:val="00411E51"/>
    <w:rsid w:val="00411F81"/>
    <w:rsid w:val="0041220D"/>
    <w:rsid w:val="00412309"/>
    <w:rsid w:val="0041266B"/>
    <w:rsid w:val="0041278D"/>
    <w:rsid w:val="00412EA0"/>
    <w:rsid w:val="00412F92"/>
    <w:rsid w:val="004130A5"/>
    <w:rsid w:val="004133F7"/>
    <w:rsid w:val="00413454"/>
    <w:rsid w:val="00413551"/>
    <w:rsid w:val="00413646"/>
    <w:rsid w:val="00413655"/>
    <w:rsid w:val="00413786"/>
    <w:rsid w:val="004137D3"/>
    <w:rsid w:val="00413B64"/>
    <w:rsid w:val="00413B85"/>
    <w:rsid w:val="00413F2A"/>
    <w:rsid w:val="0041430C"/>
    <w:rsid w:val="0041451F"/>
    <w:rsid w:val="00414925"/>
    <w:rsid w:val="0041498D"/>
    <w:rsid w:val="00414ACF"/>
    <w:rsid w:val="00414D9E"/>
    <w:rsid w:val="00414DAD"/>
    <w:rsid w:val="00415401"/>
    <w:rsid w:val="0041569D"/>
    <w:rsid w:val="004156BE"/>
    <w:rsid w:val="004157AE"/>
    <w:rsid w:val="00415B41"/>
    <w:rsid w:val="00415C77"/>
    <w:rsid w:val="00415C8D"/>
    <w:rsid w:val="00415DEF"/>
    <w:rsid w:val="0041602C"/>
    <w:rsid w:val="004161EE"/>
    <w:rsid w:val="00416217"/>
    <w:rsid w:val="004162DA"/>
    <w:rsid w:val="0041656A"/>
    <w:rsid w:val="0041658A"/>
    <w:rsid w:val="004165A7"/>
    <w:rsid w:val="00416815"/>
    <w:rsid w:val="004168F5"/>
    <w:rsid w:val="0041699D"/>
    <w:rsid w:val="00416A2B"/>
    <w:rsid w:val="00417064"/>
    <w:rsid w:val="0041767A"/>
    <w:rsid w:val="0041790E"/>
    <w:rsid w:val="004179BD"/>
    <w:rsid w:val="004179BE"/>
    <w:rsid w:val="00417CBE"/>
    <w:rsid w:val="00417D85"/>
    <w:rsid w:val="00417E05"/>
    <w:rsid w:val="00417E34"/>
    <w:rsid w:val="00417E79"/>
    <w:rsid w:val="00417FF4"/>
    <w:rsid w:val="00420404"/>
    <w:rsid w:val="0042055B"/>
    <w:rsid w:val="00420666"/>
    <w:rsid w:val="00420732"/>
    <w:rsid w:val="004209FA"/>
    <w:rsid w:val="00420B0A"/>
    <w:rsid w:val="00420BE4"/>
    <w:rsid w:val="00420C2C"/>
    <w:rsid w:val="00420E09"/>
    <w:rsid w:val="00420E72"/>
    <w:rsid w:val="00420F1F"/>
    <w:rsid w:val="00421025"/>
    <w:rsid w:val="00421165"/>
    <w:rsid w:val="0042122C"/>
    <w:rsid w:val="00421284"/>
    <w:rsid w:val="0042137C"/>
    <w:rsid w:val="004213EA"/>
    <w:rsid w:val="00421849"/>
    <w:rsid w:val="00421928"/>
    <w:rsid w:val="00421A1E"/>
    <w:rsid w:val="00421A98"/>
    <w:rsid w:val="00421C0E"/>
    <w:rsid w:val="00421D1C"/>
    <w:rsid w:val="00421D73"/>
    <w:rsid w:val="00421E1D"/>
    <w:rsid w:val="00421E69"/>
    <w:rsid w:val="004220D5"/>
    <w:rsid w:val="00422341"/>
    <w:rsid w:val="0042234A"/>
    <w:rsid w:val="004225C2"/>
    <w:rsid w:val="004228E0"/>
    <w:rsid w:val="00422A83"/>
    <w:rsid w:val="00422B06"/>
    <w:rsid w:val="00422D47"/>
    <w:rsid w:val="0042337F"/>
    <w:rsid w:val="004234EF"/>
    <w:rsid w:val="00423532"/>
    <w:rsid w:val="0042353F"/>
    <w:rsid w:val="00423575"/>
    <w:rsid w:val="00423782"/>
    <w:rsid w:val="0042395F"/>
    <w:rsid w:val="00423B4F"/>
    <w:rsid w:val="00423C1F"/>
    <w:rsid w:val="00423D27"/>
    <w:rsid w:val="00423EF0"/>
    <w:rsid w:val="004240CB"/>
    <w:rsid w:val="00424275"/>
    <w:rsid w:val="00424461"/>
    <w:rsid w:val="004244D9"/>
    <w:rsid w:val="004245CE"/>
    <w:rsid w:val="004246F4"/>
    <w:rsid w:val="0042496A"/>
    <w:rsid w:val="00424CB3"/>
    <w:rsid w:val="0042500F"/>
    <w:rsid w:val="00425312"/>
    <w:rsid w:val="00425440"/>
    <w:rsid w:val="004256AD"/>
    <w:rsid w:val="004258AB"/>
    <w:rsid w:val="004258C7"/>
    <w:rsid w:val="004259F3"/>
    <w:rsid w:val="00425A88"/>
    <w:rsid w:val="00425EA9"/>
    <w:rsid w:val="00425EAE"/>
    <w:rsid w:val="00425FA2"/>
    <w:rsid w:val="00426073"/>
    <w:rsid w:val="0042612A"/>
    <w:rsid w:val="00426757"/>
    <w:rsid w:val="004267F2"/>
    <w:rsid w:val="00426866"/>
    <w:rsid w:val="0042692F"/>
    <w:rsid w:val="00426A60"/>
    <w:rsid w:val="00426B33"/>
    <w:rsid w:val="0042712D"/>
    <w:rsid w:val="00427150"/>
    <w:rsid w:val="004271AE"/>
    <w:rsid w:val="00427217"/>
    <w:rsid w:val="00427601"/>
    <w:rsid w:val="004278DA"/>
    <w:rsid w:val="00427B74"/>
    <w:rsid w:val="00427C1C"/>
    <w:rsid w:val="00427DFC"/>
    <w:rsid w:val="0043028F"/>
    <w:rsid w:val="004305C2"/>
    <w:rsid w:val="00430812"/>
    <w:rsid w:val="00430867"/>
    <w:rsid w:val="00430BA5"/>
    <w:rsid w:val="00430BB4"/>
    <w:rsid w:val="0043133B"/>
    <w:rsid w:val="004314BE"/>
    <w:rsid w:val="004314E1"/>
    <w:rsid w:val="00431987"/>
    <w:rsid w:val="00431AD2"/>
    <w:rsid w:val="00431B44"/>
    <w:rsid w:val="00431B7D"/>
    <w:rsid w:val="00431C82"/>
    <w:rsid w:val="00431D0D"/>
    <w:rsid w:val="00431ECB"/>
    <w:rsid w:val="00431F45"/>
    <w:rsid w:val="00432002"/>
    <w:rsid w:val="00432333"/>
    <w:rsid w:val="00432550"/>
    <w:rsid w:val="0043267C"/>
    <w:rsid w:val="004326E2"/>
    <w:rsid w:val="00432725"/>
    <w:rsid w:val="00432A87"/>
    <w:rsid w:val="00432C58"/>
    <w:rsid w:val="0043346E"/>
    <w:rsid w:val="0043347A"/>
    <w:rsid w:val="004334FB"/>
    <w:rsid w:val="0043350E"/>
    <w:rsid w:val="00433534"/>
    <w:rsid w:val="004336C0"/>
    <w:rsid w:val="00433C21"/>
    <w:rsid w:val="0043412E"/>
    <w:rsid w:val="004341B2"/>
    <w:rsid w:val="004341E4"/>
    <w:rsid w:val="004342A6"/>
    <w:rsid w:val="00434537"/>
    <w:rsid w:val="00434602"/>
    <w:rsid w:val="00434A8B"/>
    <w:rsid w:val="00434CCC"/>
    <w:rsid w:val="00434DDA"/>
    <w:rsid w:val="00434E68"/>
    <w:rsid w:val="00435015"/>
    <w:rsid w:val="004351C0"/>
    <w:rsid w:val="0043539B"/>
    <w:rsid w:val="00435407"/>
    <w:rsid w:val="00435949"/>
    <w:rsid w:val="00435A7B"/>
    <w:rsid w:val="00435E98"/>
    <w:rsid w:val="00435EF2"/>
    <w:rsid w:val="0043609C"/>
    <w:rsid w:val="004362B6"/>
    <w:rsid w:val="0043631F"/>
    <w:rsid w:val="00436A8D"/>
    <w:rsid w:val="00436DC3"/>
    <w:rsid w:val="00436E4A"/>
    <w:rsid w:val="00436EED"/>
    <w:rsid w:val="00436FB0"/>
    <w:rsid w:val="00437172"/>
    <w:rsid w:val="004372EA"/>
    <w:rsid w:val="00437704"/>
    <w:rsid w:val="0043779B"/>
    <w:rsid w:val="004377A1"/>
    <w:rsid w:val="004377BA"/>
    <w:rsid w:val="00437807"/>
    <w:rsid w:val="004378FD"/>
    <w:rsid w:val="00437A80"/>
    <w:rsid w:val="00437B0A"/>
    <w:rsid w:val="00437C97"/>
    <w:rsid w:val="00437D9B"/>
    <w:rsid w:val="00437E98"/>
    <w:rsid w:val="00437EC7"/>
    <w:rsid w:val="00437EEB"/>
    <w:rsid w:val="00440081"/>
    <w:rsid w:val="0044020A"/>
    <w:rsid w:val="0044024E"/>
    <w:rsid w:val="00440582"/>
    <w:rsid w:val="0044063B"/>
    <w:rsid w:val="00440800"/>
    <w:rsid w:val="004408FD"/>
    <w:rsid w:val="00440A6D"/>
    <w:rsid w:val="00440CC8"/>
    <w:rsid w:val="00440D96"/>
    <w:rsid w:val="00441132"/>
    <w:rsid w:val="0044117C"/>
    <w:rsid w:val="00441221"/>
    <w:rsid w:val="00441851"/>
    <w:rsid w:val="00441855"/>
    <w:rsid w:val="004418FE"/>
    <w:rsid w:val="00441CAC"/>
    <w:rsid w:val="00441D01"/>
    <w:rsid w:val="00441D4E"/>
    <w:rsid w:val="00441F5A"/>
    <w:rsid w:val="004420A0"/>
    <w:rsid w:val="004422E0"/>
    <w:rsid w:val="004425AD"/>
    <w:rsid w:val="00442679"/>
    <w:rsid w:val="004427DE"/>
    <w:rsid w:val="0044282A"/>
    <w:rsid w:val="004428FF"/>
    <w:rsid w:val="00442ABE"/>
    <w:rsid w:val="00442CF5"/>
    <w:rsid w:val="00442F45"/>
    <w:rsid w:val="00442F58"/>
    <w:rsid w:val="004430DA"/>
    <w:rsid w:val="004433C8"/>
    <w:rsid w:val="004433ED"/>
    <w:rsid w:val="00443623"/>
    <w:rsid w:val="004436AA"/>
    <w:rsid w:val="00443902"/>
    <w:rsid w:val="00443B8E"/>
    <w:rsid w:val="00443B94"/>
    <w:rsid w:val="00443D54"/>
    <w:rsid w:val="00443DBC"/>
    <w:rsid w:val="00443F58"/>
    <w:rsid w:val="004440DE"/>
    <w:rsid w:val="004442C8"/>
    <w:rsid w:val="004443BB"/>
    <w:rsid w:val="00444422"/>
    <w:rsid w:val="004444B4"/>
    <w:rsid w:val="0044466B"/>
    <w:rsid w:val="00444832"/>
    <w:rsid w:val="00444856"/>
    <w:rsid w:val="00444BAA"/>
    <w:rsid w:val="00444C21"/>
    <w:rsid w:val="00444F70"/>
    <w:rsid w:val="004450A8"/>
    <w:rsid w:val="00445298"/>
    <w:rsid w:val="00445479"/>
    <w:rsid w:val="0044558B"/>
    <w:rsid w:val="004456BA"/>
    <w:rsid w:val="004458B1"/>
    <w:rsid w:val="004459E5"/>
    <w:rsid w:val="004459EA"/>
    <w:rsid w:val="00445A1F"/>
    <w:rsid w:val="00445D03"/>
    <w:rsid w:val="00445D9C"/>
    <w:rsid w:val="00445DC9"/>
    <w:rsid w:val="00445E9A"/>
    <w:rsid w:val="00445EC4"/>
    <w:rsid w:val="00445FC2"/>
    <w:rsid w:val="0044605C"/>
    <w:rsid w:val="00446204"/>
    <w:rsid w:val="004462E8"/>
    <w:rsid w:val="00446390"/>
    <w:rsid w:val="004463EC"/>
    <w:rsid w:val="0044643D"/>
    <w:rsid w:val="004464D5"/>
    <w:rsid w:val="00446634"/>
    <w:rsid w:val="0044663E"/>
    <w:rsid w:val="00446C40"/>
    <w:rsid w:val="00446E06"/>
    <w:rsid w:val="004471DB"/>
    <w:rsid w:val="0044727F"/>
    <w:rsid w:val="00447402"/>
    <w:rsid w:val="00447567"/>
    <w:rsid w:val="00447AB1"/>
    <w:rsid w:val="00447B3E"/>
    <w:rsid w:val="00447BF6"/>
    <w:rsid w:val="00447C8C"/>
    <w:rsid w:val="00447D03"/>
    <w:rsid w:val="00447DC6"/>
    <w:rsid w:val="00447F8F"/>
    <w:rsid w:val="0045015C"/>
    <w:rsid w:val="004503DB"/>
    <w:rsid w:val="00450707"/>
    <w:rsid w:val="004507F8"/>
    <w:rsid w:val="004509E3"/>
    <w:rsid w:val="00450A96"/>
    <w:rsid w:val="004510C2"/>
    <w:rsid w:val="00451192"/>
    <w:rsid w:val="00451363"/>
    <w:rsid w:val="00451659"/>
    <w:rsid w:val="00451781"/>
    <w:rsid w:val="004517D5"/>
    <w:rsid w:val="004518DA"/>
    <w:rsid w:val="004519A8"/>
    <w:rsid w:val="00451A62"/>
    <w:rsid w:val="00451AD9"/>
    <w:rsid w:val="00451EF5"/>
    <w:rsid w:val="0045200D"/>
    <w:rsid w:val="004521E4"/>
    <w:rsid w:val="0045234A"/>
    <w:rsid w:val="00452602"/>
    <w:rsid w:val="00452770"/>
    <w:rsid w:val="00452796"/>
    <w:rsid w:val="00452904"/>
    <w:rsid w:val="00452BA1"/>
    <w:rsid w:val="00452BC4"/>
    <w:rsid w:val="00452BD2"/>
    <w:rsid w:val="00452C23"/>
    <w:rsid w:val="00452C65"/>
    <w:rsid w:val="00452E83"/>
    <w:rsid w:val="00452F12"/>
    <w:rsid w:val="00453529"/>
    <w:rsid w:val="004539E3"/>
    <w:rsid w:val="00453B23"/>
    <w:rsid w:val="00453C4E"/>
    <w:rsid w:val="00453D14"/>
    <w:rsid w:val="00454291"/>
    <w:rsid w:val="004543CD"/>
    <w:rsid w:val="0045470D"/>
    <w:rsid w:val="0045486C"/>
    <w:rsid w:val="00454901"/>
    <w:rsid w:val="004549DE"/>
    <w:rsid w:val="00454A47"/>
    <w:rsid w:val="00454BA9"/>
    <w:rsid w:val="004551DD"/>
    <w:rsid w:val="004553A4"/>
    <w:rsid w:val="004553BC"/>
    <w:rsid w:val="00455731"/>
    <w:rsid w:val="004559CC"/>
    <w:rsid w:val="004559E1"/>
    <w:rsid w:val="00455C7A"/>
    <w:rsid w:val="00455CF4"/>
    <w:rsid w:val="00455D55"/>
    <w:rsid w:val="0045611A"/>
    <w:rsid w:val="004562A9"/>
    <w:rsid w:val="0045655D"/>
    <w:rsid w:val="004565B0"/>
    <w:rsid w:val="004565B5"/>
    <w:rsid w:val="0045689D"/>
    <w:rsid w:val="00456D91"/>
    <w:rsid w:val="00456E14"/>
    <w:rsid w:val="00456E76"/>
    <w:rsid w:val="00456F21"/>
    <w:rsid w:val="00457427"/>
    <w:rsid w:val="00457555"/>
    <w:rsid w:val="00457658"/>
    <w:rsid w:val="004576A9"/>
    <w:rsid w:val="00457713"/>
    <w:rsid w:val="0045778D"/>
    <w:rsid w:val="00457798"/>
    <w:rsid w:val="00457938"/>
    <w:rsid w:val="00457E7F"/>
    <w:rsid w:val="00457F01"/>
    <w:rsid w:val="00457F75"/>
    <w:rsid w:val="00457FAA"/>
    <w:rsid w:val="00460098"/>
    <w:rsid w:val="00460235"/>
    <w:rsid w:val="0046036D"/>
    <w:rsid w:val="0046094E"/>
    <w:rsid w:val="00460E6A"/>
    <w:rsid w:val="00460EAA"/>
    <w:rsid w:val="00461000"/>
    <w:rsid w:val="00461105"/>
    <w:rsid w:val="00461322"/>
    <w:rsid w:val="00461686"/>
    <w:rsid w:val="004616DE"/>
    <w:rsid w:val="0046175A"/>
    <w:rsid w:val="0046191D"/>
    <w:rsid w:val="00461927"/>
    <w:rsid w:val="00461A0D"/>
    <w:rsid w:val="00461B2F"/>
    <w:rsid w:val="00461B47"/>
    <w:rsid w:val="00461BFC"/>
    <w:rsid w:val="00461C19"/>
    <w:rsid w:val="00461C9E"/>
    <w:rsid w:val="00461E13"/>
    <w:rsid w:val="004622DC"/>
    <w:rsid w:val="00462458"/>
    <w:rsid w:val="00462467"/>
    <w:rsid w:val="00462870"/>
    <w:rsid w:val="004628EC"/>
    <w:rsid w:val="0046294B"/>
    <w:rsid w:val="0046297B"/>
    <w:rsid w:val="00462BB1"/>
    <w:rsid w:val="00462BCB"/>
    <w:rsid w:val="00462E41"/>
    <w:rsid w:val="00462FE0"/>
    <w:rsid w:val="00462FE5"/>
    <w:rsid w:val="004630CD"/>
    <w:rsid w:val="00463170"/>
    <w:rsid w:val="004631A0"/>
    <w:rsid w:val="0046358A"/>
    <w:rsid w:val="0046360F"/>
    <w:rsid w:val="004639CD"/>
    <w:rsid w:val="00463BCC"/>
    <w:rsid w:val="00463C07"/>
    <w:rsid w:val="00464077"/>
    <w:rsid w:val="004642E0"/>
    <w:rsid w:val="00464530"/>
    <w:rsid w:val="0046459F"/>
    <w:rsid w:val="004648D2"/>
    <w:rsid w:val="00464CC0"/>
    <w:rsid w:val="00464E99"/>
    <w:rsid w:val="00464FD2"/>
    <w:rsid w:val="00465057"/>
    <w:rsid w:val="00465250"/>
    <w:rsid w:val="00465315"/>
    <w:rsid w:val="00465389"/>
    <w:rsid w:val="004653AF"/>
    <w:rsid w:val="00465460"/>
    <w:rsid w:val="00465543"/>
    <w:rsid w:val="00465AF1"/>
    <w:rsid w:val="00465B31"/>
    <w:rsid w:val="00465BBD"/>
    <w:rsid w:val="00465CBB"/>
    <w:rsid w:val="00465CD4"/>
    <w:rsid w:val="00465D10"/>
    <w:rsid w:val="00465D32"/>
    <w:rsid w:val="00465DA0"/>
    <w:rsid w:val="00465DD8"/>
    <w:rsid w:val="00465FE1"/>
    <w:rsid w:val="0046620D"/>
    <w:rsid w:val="00466229"/>
    <w:rsid w:val="004664C3"/>
    <w:rsid w:val="004665CA"/>
    <w:rsid w:val="004665D0"/>
    <w:rsid w:val="00466AC5"/>
    <w:rsid w:val="00466C9B"/>
    <w:rsid w:val="00466CCA"/>
    <w:rsid w:val="00466CF0"/>
    <w:rsid w:val="00466DCC"/>
    <w:rsid w:val="00466DCE"/>
    <w:rsid w:val="0046710D"/>
    <w:rsid w:val="00467225"/>
    <w:rsid w:val="0046731A"/>
    <w:rsid w:val="00467422"/>
    <w:rsid w:val="00467499"/>
    <w:rsid w:val="004674C8"/>
    <w:rsid w:val="004674F3"/>
    <w:rsid w:val="00467837"/>
    <w:rsid w:val="0046787B"/>
    <w:rsid w:val="004678DA"/>
    <w:rsid w:val="00467A58"/>
    <w:rsid w:val="00467BE4"/>
    <w:rsid w:val="00467C75"/>
    <w:rsid w:val="00467C97"/>
    <w:rsid w:val="00467FE6"/>
    <w:rsid w:val="0047008C"/>
    <w:rsid w:val="004702C1"/>
    <w:rsid w:val="00470314"/>
    <w:rsid w:val="004705B8"/>
    <w:rsid w:val="0047078D"/>
    <w:rsid w:val="00470803"/>
    <w:rsid w:val="00470A75"/>
    <w:rsid w:val="00470C91"/>
    <w:rsid w:val="00470FA1"/>
    <w:rsid w:val="0047116E"/>
    <w:rsid w:val="00471382"/>
    <w:rsid w:val="00471A15"/>
    <w:rsid w:val="00471ADA"/>
    <w:rsid w:val="00471D24"/>
    <w:rsid w:val="0047201A"/>
    <w:rsid w:val="00472158"/>
    <w:rsid w:val="00472998"/>
    <w:rsid w:val="00472AB8"/>
    <w:rsid w:val="00472B4A"/>
    <w:rsid w:val="00472E0B"/>
    <w:rsid w:val="00473245"/>
    <w:rsid w:val="0047326B"/>
    <w:rsid w:val="00473614"/>
    <w:rsid w:val="0047361E"/>
    <w:rsid w:val="004737A0"/>
    <w:rsid w:val="004739B7"/>
    <w:rsid w:val="00473A44"/>
    <w:rsid w:val="00473A50"/>
    <w:rsid w:val="00473B2D"/>
    <w:rsid w:val="00473C0F"/>
    <w:rsid w:val="00473CF9"/>
    <w:rsid w:val="00473E4D"/>
    <w:rsid w:val="00473E76"/>
    <w:rsid w:val="004742FF"/>
    <w:rsid w:val="00474638"/>
    <w:rsid w:val="00474643"/>
    <w:rsid w:val="0047489D"/>
    <w:rsid w:val="00474969"/>
    <w:rsid w:val="00474B08"/>
    <w:rsid w:val="00474B7C"/>
    <w:rsid w:val="00474B85"/>
    <w:rsid w:val="00474B99"/>
    <w:rsid w:val="00474FA8"/>
    <w:rsid w:val="00474FD2"/>
    <w:rsid w:val="004750FC"/>
    <w:rsid w:val="004751FD"/>
    <w:rsid w:val="004753ED"/>
    <w:rsid w:val="004754F9"/>
    <w:rsid w:val="00475535"/>
    <w:rsid w:val="00475642"/>
    <w:rsid w:val="00475ABE"/>
    <w:rsid w:val="00475D55"/>
    <w:rsid w:val="004763EA"/>
    <w:rsid w:val="004768DE"/>
    <w:rsid w:val="004769C0"/>
    <w:rsid w:val="00476AD1"/>
    <w:rsid w:val="00476BEC"/>
    <w:rsid w:val="00476C50"/>
    <w:rsid w:val="00476F2A"/>
    <w:rsid w:val="004770E0"/>
    <w:rsid w:val="0047714D"/>
    <w:rsid w:val="00477206"/>
    <w:rsid w:val="00477208"/>
    <w:rsid w:val="0047770D"/>
    <w:rsid w:val="0047772A"/>
    <w:rsid w:val="004778DB"/>
    <w:rsid w:val="004779B1"/>
    <w:rsid w:val="004779C6"/>
    <w:rsid w:val="00477A48"/>
    <w:rsid w:val="00477E32"/>
    <w:rsid w:val="00477F03"/>
    <w:rsid w:val="00480024"/>
    <w:rsid w:val="00480100"/>
    <w:rsid w:val="00480206"/>
    <w:rsid w:val="00480218"/>
    <w:rsid w:val="00480417"/>
    <w:rsid w:val="00480776"/>
    <w:rsid w:val="00480789"/>
    <w:rsid w:val="004807AE"/>
    <w:rsid w:val="0048081A"/>
    <w:rsid w:val="00480980"/>
    <w:rsid w:val="00480AAD"/>
    <w:rsid w:val="00480ABB"/>
    <w:rsid w:val="00480D69"/>
    <w:rsid w:val="00480E2D"/>
    <w:rsid w:val="0048114C"/>
    <w:rsid w:val="004811E8"/>
    <w:rsid w:val="0048140C"/>
    <w:rsid w:val="00481584"/>
    <w:rsid w:val="004815B7"/>
    <w:rsid w:val="00481703"/>
    <w:rsid w:val="004818A3"/>
    <w:rsid w:val="00481E3A"/>
    <w:rsid w:val="00482102"/>
    <w:rsid w:val="0048210C"/>
    <w:rsid w:val="00482176"/>
    <w:rsid w:val="0048219F"/>
    <w:rsid w:val="00482433"/>
    <w:rsid w:val="004824B8"/>
    <w:rsid w:val="004824C3"/>
    <w:rsid w:val="004829DF"/>
    <w:rsid w:val="00482D4D"/>
    <w:rsid w:val="00482DF6"/>
    <w:rsid w:val="00482E17"/>
    <w:rsid w:val="00482E2A"/>
    <w:rsid w:val="0048306F"/>
    <w:rsid w:val="004833BA"/>
    <w:rsid w:val="00483947"/>
    <w:rsid w:val="004839F6"/>
    <w:rsid w:val="00483B32"/>
    <w:rsid w:val="00483B39"/>
    <w:rsid w:val="00483BAE"/>
    <w:rsid w:val="00483F63"/>
    <w:rsid w:val="00484032"/>
    <w:rsid w:val="00484100"/>
    <w:rsid w:val="004843D6"/>
    <w:rsid w:val="004845F9"/>
    <w:rsid w:val="0048465D"/>
    <w:rsid w:val="00484807"/>
    <w:rsid w:val="004848AF"/>
    <w:rsid w:val="00484A58"/>
    <w:rsid w:val="00484BF7"/>
    <w:rsid w:val="00484C62"/>
    <w:rsid w:val="00484D12"/>
    <w:rsid w:val="00484E11"/>
    <w:rsid w:val="0048504D"/>
    <w:rsid w:val="00485199"/>
    <w:rsid w:val="004856B0"/>
    <w:rsid w:val="00485899"/>
    <w:rsid w:val="004859AF"/>
    <w:rsid w:val="00485B66"/>
    <w:rsid w:val="00485B99"/>
    <w:rsid w:val="00485C03"/>
    <w:rsid w:val="00485C27"/>
    <w:rsid w:val="00485E79"/>
    <w:rsid w:val="00485EDB"/>
    <w:rsid w:val="00485FBC"/>
    <w:rsid w:val="0048608F"/>
    <w:rsid w:val="004860A3"/>
    <w:rsid w:val="0048613C"/>
    <w:rsid w:val="00486184"/>
    <w:rsid w:val="00486264"/>
    <w:rsid w:val="00486486"/>
    <w:rsid w:val="00486616"/>
    <w:rsid w:val="00486736"/>
    <w:rsid w:val="004867F4"/>
    <w:rsid w:val="00486873"/>
    <w:rsid w:val="004869C0"/>
    <w:rsid w:val="00486C99"/>
    <w:rsid w:val="00486FD7"/>
    <w:rsid w:val="00487361"/>
    <w:rsid w:val="00487584"/>
    <w:rsid w:val="0048758A"/>
    <w:rsid w:val="004875DD"/>
    <w:rsid w:val="004875F3"/>
    <w:rsid w:val="0048770C"/>
    <w:rsid w:val="00487762"/>
    <w:rsid w:val="004877EF"/>
    <w:rsid w:val="0048784D"/>
    <w:rsid w:val="00487A04"/>
    <w:rsid w:val="00487C14"/>
    <w:rsid w:val="00487DCD"/>
    <w:rsid w:val="00487E5E"/>
    <w:rsid w:val="00487E7C"/>
    <w:rsid w:val="00490072"/>
    <w:rsid w:val="00490159"/>
    <w:rsid w:val="004904BB"/>
    <w:rsid w:val="004908E1"/>
    <w:rsid w:val="0049106D"/>
    <w:rsid w:val="00491276"/>
    <w:rsid w:val="004913F6"/>
    <w:rsid w:val="00491731"/>
    <w:rsid w:val="00491784"/>
    <w:rsid w:val="004917C4"/>
    <w:rsid w:val="004917D5"/>
    <w:rsid w:val="00491B5B"/>
    <w:rsid w:val="00491C07"/>
    <w:rsid w:val="00491CFC"/>
    <w:rsid w:val="00491F02"/>
    <w:rsid w:val="00492028"/>
    <w:rsid w:val="00492073"/>
    <w:rsid w:val="00492194"/>
    <w:rsid w:val="004928A7"/>
    <w:rsid w:val="00492C90"/>
    <w:rsid w:val="00492F30"/>
    <w:rsid w:val="00492F95"/>
    <w:rsid w:val="00492F9D"/>
    <w:rsid w:val="00493124"/>
    <w:rsid w:val="004931F1"/>
    <w:rsid w:val="00493229"/>
    <w:rsid w:val="00493445"/>
    <w:rsid w:val="004934EE"/>
    <w:rsid w:val="00493573"/>
    <w:rsid w:val="00493998"/>
    <w:rsid w:val="004939D0"/>
    <w:rsid w:val="00493AF9"/>
    <w:rsid w:val="00493C85"/>
    <w:rsid w:val="00493E3B"/>
    <w:rsid w:val="00493E3E"/>
    <w:rsid w:val="00493F12"/>
    <w:rsid w:val="00493F2F"/>
    <w:rsid w:val="004945DC"/>
    <w:rsid w:val="00494801"/>
    <w:rsid w:val="00494C38"/>
    <w:rsid w:val="00494C92"/>
    <w:rsid w:val="00494D1E"/>
    <w:rsid w:val="00494D2A"/>
    <w:rsid w:val="00494EA5"/>
    <w:rsid w:val="00494EC9"/>
    <w:rsid w:val="00494EEA"/>
    <w:rsid w:val="00494F95"/>
    <w:rsid w:val="00495060"/>
    <w:rsid w:val="004950DA"/>
    <w:rsid w:val="00495193"/>
    <w:rsid w:val="004953D2"/>
    <w:rsid w:val="00495524"/>
    <w:rsid w:val="00495785"/>
    <w:rsid w:val="004957BE"/>
    <w:rsid w:val="00495AB9"/>
    <w:rsid w:val="00495BF4"/>
    <w:rsid w:val="00495C68"/>
    <w:rsid w:val="00495E40"/>
    <w:rsid w:val="00496178"/>
    <w:rsid w:val="0049655F"/>
    <w:rsid w:val="0049666A"/>
    <w:rsid w:val="004968D9"/>
    <w:rsid w:val="00496A96"/>
    <w:rsid w:val="00496B14"/>
    <w:rsid w:val="00496C78"/>
    <w:rsid w:val="00496E36"/>
    <w:rsid w:val="00497000"/>
    <w:rsid w:val="00497197"/>
    <w:rsid w:val="0049728A"/>
    <w:rsid w:val="0049735D"/>
    <w:rsid w:val="00497642"/>
    <w:rsid w:val="00497924"/>
    <w:rsid w:val="0049796C"/>
    <w:rsid w:val="00497AA0"/>
    <w:rsid w:val="00497BA8"/>
    <w:rsid w:val="00497E7C"/>
    <w:rsid w:val="00497FF0"/>
    <w:rsid w:val="004A02CB"/>
    <w:rsid w:val="004A037E"/>
    <w:rsid w:val="004A048B"/>
    <w:rsid w:val="004A066C"/>
    <w:rsid w:val="004A0742"/>
    <w:rsid w:val="004A0773"/>
    <w:rsid w:val="004A0778"/>
    <w:rsid w:val="004A0786"/>
    <w:rsid w:val="004A08CF"/>
    <w:rsid w:val="004A09C7"/>
    <w:rsid w:val="004A0A27"/>
    <w:rsid w:val="004A0ACD"/>
    <w:rsid w:val="004A0B70"/>
    <w:rsid w:val="004A0C73"/>
    <w:rsid w:val="004A0DCC"/>
    <w:rsid w:val="004A0E4A"/>
    <w:rsid w:val="004A0F6A"/>
    <w:rsid w:val="004A1268"/>
    <w:rsid w:val="004A1347"/>
    <w:rsid w:val="004A16A4"/>
    <w:rsid w:val="004A1706"/>
    <w:rsid w:val="004A1994"/>
    <w:rsid w:val="004A1D22"/>
    <w:rsid w:val="004A1F54"/>
    <w:rsid w:val="004A20E9"/>
    <w:rsid w:val="004A21B5"/>
    <w:rsid w:val="004A21C6"/>
    <w:rsid w:val="004A22AC"/>
    <w:rsid w:val="004A22C6"/>
    <w:rsid w:val="004A2602"/>
    <w:rsid w:val="004A2866"/>
    <w:rsid w:val="004A2944"/>
    <w:rsid w:val="004A29C9"/>
    <w:rsid w:val="004A2B8D"/>
    <w:rsid w:val="004A2D30"/>
    <w:rsid w:val="004A3284"/>
    <w:rsid w:val="004A34DF"/>
    <w:rsid w:val="004A3562"/>
    <w:rsid w:val="004A35F8"/>
    <w:rsid w:val="004A3626"/>
    <w:rsid w:val="004A3636"/>
    <w:rsid w:val="004A39B8"/>
    <w:rsid w:val="004A3BBA"/>
    <w:rsid w:val="004A3C80"/>
    <w:rsid w:val="004A3CFB"/>
    <w:rsid w:val="004A3D18"/>
    <w:rsid w:val="004A3D57"/>
    <w:rsid w:val="004A3E88"/>
    <w:rsid w:val="004A404A"/>
    <w:rsid w:val="004A409F"/>
    <w:rsid w:val="004A434D"/>
    <w:rsid w:val="004A43C6"/>
    <w:rsid w:val="004A49C9"/>
    <w:rsid w:val="004A4D87"/>
    <w:rsid w:val="004A4F1D"/>
    <w:rsid w:val="004A5309"/>
    <w:rsid w:val="004A5BD5"/>
    <w:rsid w:val="004A5DA7"/>
    <w:rsid w:val="004A629C"/>
    <w:rsid w:val="004A6746"/>
    <w:rsid w:val="004A67A0"/>
    <w:rsid w:val="004A69D3"/>
    <w:rsid w:val="004A6E00"/>
    <w:rsid w:val="004A70AD"/>
    <w:rsid w:val="004A70E9"/>
    <w:rsid w:val="004A7158"/>
    <w:rsid w:val="004A7227"/>
    <w:rsid w:val="004A7262"/>
    <w:rsid w:val="004A73E9"/>
    <w:rsid w:val="004A7B25"/>
    <w:rsid w:val="004A7B83"/>
    <w:rsid w:val="004A7D54"/>
    <w:rsid w:val="004A7E78"/>
    <w:rsid w:val="004B0020"/>
    <w:rsid w:val="004B00FA"/>
    <w:rsid w:val="004B014D"/>
    <w:rsid w:val="004B02C1"/>
    <w:rsid w:val="004B038F"/>
    <w:rsid w:val="004B052B"/>
    <w:rsid w:val="004B058D"/>
    <w:rsid w:val="004B06C2"/>
    <w:rsid w:val="004B09E0"/>
    <w:rsid w:val="004B0B7B"/>
    <w:rsid w:val="004B0C94"/>
    <w:rsid w:val="004B0D88"/>
    <w:rsid w:val="004B0DF0"/>
    <w:rsid w:val="004B0E1E"/>
    <w:rsid w:val="004B154A"/>
    <w:rsid w:val="004B155E"/>
    <w:rsid w:val="004B1581"/>
    <w:rsid w:val="004B1694"/>
    <w:rsid w:val="004B1874"/>
    <w:rsid w:val="004B1A7F"/>
    <w:rsid w:val="004B1BE6"/>
    <w:rsid w:val="004B1E9A"/>
    <w:rsid w:val="004B1EF4"/>
    <w:rsid w:val="004B1F23"/>
    <w:rsid w:val="004B21B3"/>
    <w:rsid w:val="004B2360"/>
    <w:rsid w:val="004B2389"/>
    <w:rsid w:val="004B2A79"/>
    <w:rsid w:val="004B2E8D"/>
    <w:rsid w:val="004B2E8F"/>
    <w:rsid w:val="004B30AC"/>
    <w:rsid w:val="004B320F"/>
    <w:rsid w:val="004B324A"/>
    <w:rsid w:val="004B336D"/>
    <w:rsid w:val="004B33F6"/>
    <w:rsid w:val="004B34F2"/>
    <w:rsid w:val="004B39EC"/>
    <w:rsid w:val="004B3A71"/>
    <w:rsid w:val="004B3BF9"/>
    <w:rsid w:val="004B3C81"/>
    <w:rsid w:val="004B3D03"/>
    <w:rsid w:val="004B3D0B"/>
    <w:rsid w:val="004B3DEC"/>
    <w:rsid w:val="004B3EAE"/>
    <w:rsid w:val="004B404A"/>
    <w:rsid w:val="004B43F9"/>
    <w:rsid w:val="004B4469"/>
    <w:rsid w:val="004B4526"/>
    <w:rsid w:val="004B4548"/>
    <w:rsid w:val="004B45A0"/>
    <w:rsid w:val="004B45BE"/>
    <w:rsid w:val="004B4759"/>
    <w:rsid w:val="004B4D01"/>
    <w:rsid w:val="004B5009"/>
    <w:rsid w:val="004B55C2"/>
    <w:rsid w:val="004B560F"/>
    <w:rsid w:val="004B5CCE"/>
    <w:rsid w:val="004B5DB6"/>
    <w:rsid w:val="004B5E30"/>
    <w:rsid w:val="004B5F03"/>
    <w:rsid w:val="004B5FC6"/>
    <w:rsid w:val="004B60DE"/>
    <w:rsid w:val="004B61D1"/>
    <w:rsid w:val="004B6258"/>
    <w:rsid w:val="004B64EA"/>
    <w:rsid w:val="004B6BFA"/>
    <w:rsid w:val="004B6D2C"/>
    <w:rsid w:val="004B6E13"/>
    <w:rsid w:val="004B6FA1"/>
    <w:rsid w:val="004B7144"/>
    <w:rsid w:val="004B716C"/>
    <w:rsid w:val="004B7307"/>
    <w:rsid w:val="004B74EB"/>
    <w:rsid w:val="004B75C0"/>
    <w:rsid w:val="004B76A0"/>
    <w:rsid w:val="004B78F6"/>
    <w:rsid w:val="004B7AE5"/>
    <w:rsid w:val="004B7C1F"/>
    <w:rsid w:val="004B7CED"/>
    <w:rsid w:val="004B7D67"/>
    <w:rsid w:val="004B7F0F"/>
    <w:rsid w:val="004B7FED"/>
    <w:rsid w:val="004C0388"/>
    <w:rsid w:val="004C04A5"/>
    <w:rsid w:val="004C05CB"/>
    <w:rsid w:val="004C05E0"/>
    <w:rsid w:val="004C06C8"/>
    <w:rsid w:val="004C07C0"/>
    <w:rsid w:val="004C0914"/>
    <w:rsid w:val="004C0988"/>
    <w:rsid w:val="004C0B9F"/>
    <w:rsid w:val="004C0BF0"/>
    <w:rsid w:val="004C0C7D"/>
    <w:rsid w:val="004C0C87"/>
    <w:rsid w:val="004C0DB5"/>
    <w:rsid w:val="004C0E0D"/>
    <w:rsid w:val="004C0E36"/>
    <w:rsid w:val="004C0EF1"/>
    <w:rsid w:val="004C1101"/>
    <w:rsid w:val="004C11A4"/>
    <w:rsid w:val="004C124A"/>
    <w:rsid w:val="004C12F6"/>
    <w:rsid w:val="004C13EF"/>
    <w:rsid w:val="004C1437"/>
    <w:rsid w:val="004C14AF"/>
    <w:rsid w:val="004C1520"/>
    <w:rsid w:val="004C168C"/>
    <w:rsid w:val="004C18DC"/>
    <w:rsid w:val="004C1A7A"/>
    <w:rsid w:val="004C1E4A"/>
    <w:rsid w:val="004C1E75"/>
    <w:rsid w:val="004C1EAB"/>
    <w:rsid w:val="004C1ECA"/>
    <w:rsid w:val="004C1ECC"/>
    <w:rsid w:val="004C2155"/>
    <w:rsid w:val="004C21D0"/>
    <w:rsid w:val="004C2616"/>
    <w:rsid w:val="004C26DF"/>
    <w:rsid w:val="004C2AC4"/>
    <w:rsid w:val="004C2C42"/>
    <w:rsid w:val="004C2C73"/>
    <w:rsid w:val="004C2D21"/>
    <w:rsid w:val="004C2D2F"/>
    <w:rsid w:val="004C2D41"/>
    <w:rsid w:val="004C2E79"/>
    <w:rsid w:val="004C3166"/>
    <w:rsid w:val="004C3309"/>
    <w:rsid w:val="004C3342"/>
    <w:rsid w:val="004C33CF"/>
    <w:rsid w:val="004C351F"/>
    <w:rsid w:val="004C355B"/>
    <w:rsid w:val="004C3705"/>
    <w:rsid w:val="004C3911"/>
    <w:rsid w:val="004C3AA9"/>
    <w:rsid w:val="004C3C97"/>
    <w:rsid w:val="004C3CA9"/>
    <w:rsid w:val="004C3D21"/>
    <w:rsid w:val="004C40BE"/>
    <w:rsid w:val="004C40C2"/>
    <w:rsid w:val="004C4133"/>
    <w:rsid w:val="004C42D5"/>
    <w:rsid w:val="004C4424"/>
    <w:rsid w:val="004C44E6"/>
    <w:rsid w:val="004C4947"/>
    <w:rsid w:val="004C4AA4"/>
    <w:rsid w:val="004C4F00"/>
    <w:rsid w:val="004C4FEB"/>
    <w:rsid w:val="004C510C"/>
    <w:rsid w:val="004C51CD"/>
    <w:rsid w:val="004C5354"/>
    <w:rsid w:val="004C5488"/>
    <w:rsid w:val="004C5554"/>
    <w:rsid w:val="004C58F8"/>
    <w:rsid w:val="004C5D3E"/>
    <w:rsid w:val="004C5D67"/>
    <w:rsid w:val="004C5E82"/>
    <w:rsid w:val="004C6107"/>
    <w:rsid w:val="004C6146"/>
    <w:rsid w:val="004C6282"/>
    <w:rsid w:val="004C6560"/>
    <w:rsid w:val="004C665F"/>
    <w:rsid w:val="004C6735"/>
    <w:rsid w:val="004C67CB"/>
    <w:rsid w:val="004C6854"/>
    <w:rsid w:val="004C6B0F"/>
    <w:rsid w:val="004C6C60"/>
    <w:rsid w:val="004C6C7E"/>
    <w:rsid w:val="004C6DE9"/>
    <w:rsid w:val="004C735B"/>
    <w:rsid w:val="004C7396"/>
    <w:rsid w:val="004C7587"/>
    <w:rsid w:val="004C758F"/>
    <w:rsid w:val="004C778D"/>
    <w:rsid w:val="004C78CB"/>
    <w:rsid w:val="004C7A3F"/>
    <w:rsid w:val="004C7BE4"/>
    <w:rsid w:val="004C7CC2"/>
    <w:rsid w:val="004C7CF2"/>
    <w:rsid w:val="004C7DDB"/>
    <w:rsid w:val="004C7DF9"/>
    <w:rsid w:val="004D00EF"/>
    <w:rsid w:val="004D0264"/>
    <w:rsid w:val="004D05B1"/>
    <w:rsid w:val="004D08EC"/>
    <w:rsid w:val="004D09D8"/>
    <w:rsid w:val="004D0A6E"/>
    <w:rsid w:val="004D119B"/>
    <w:rsid w:val="004D1348"/>
    <w:rsid w:val="004D1373"/>
    <w:rsid w:val="004D13E0"/>
    <w:rsid w:val="004D1416"/>
    <w:rsid w:val="004D151C"/>
    <w:rsid w:val="004D159E"/>
    <w:rsid w:val="004D1E9B"/>
    <w:rsid w:val="004D1F57"/>
    <w:rsid w:val="004D1F9A"/>
    <w:rsid w:val="004D2023"/>
    <w:rsid w:val="004D218D"/>
    <w:rsid w:val="004D21C7"/>
    <w:rsid w:val="004D23C0"/>
    <w:rsid w:val="004D2442"/>
    <w:rsid w:val="004D24DE"/>
    <w:rsid w:val="004D255E"/>
    <w:rsid w:val="004D2593"/>
    <w:rsid w:val="004D2693"/>
    <w:rsid w:val="004D269D"/>
    <w:rsid w:val="004D280C"/>
    <w:rsid w:val="004D2857"/>
    <w:rsid w:val="004D28FF"/>
    <w:rsid w:val="004D2AD3"/>
    <w:rsid w:val="004D2DA3"/>
    <w:rsid w:val="004D2ED1"/>
    <w:rsid w:val="004D32B1"/>
    <w:rsid w:val="004D3353"/>
    <w:rsid w:val="004D3555"/>
    <w:rsid w:val="004D3716"/>
    <w:rsid w:val="004D371B"/>
    <w:rsid w:val="004D3A16"/>
    <w:rsid w:val="004D3A17"/>
    <w:rsid w:val="004D3A31"/>
    <w:rsid w:val="004D3B59"/>
    <w:rsid w:val="004D3B88"/>
    <w:rsid w:val="004D3C7D"/>
    <w:rsid w:val="004D3ECF"/>
    <w:rsid w:val="004D3EE1"/>
    <w:rsid w:val="004D3F38"/>
    <w:rsid w:val="004D3F61"/>
    <w:rsid w:val="004D405F"/>
    <w:rsid w:val="004D409B"/>
    <w:rsid w:val="004D422F"/>
    <w:rsid w:val="004D42A6"/>
    <w:rsid w:val="004D4661"/>
    <w:rsid w:val="004D469A"/>
    <w:rsid w:val="004D49FC"/>
    <w:rsid w:val="004D4C00"/>
    <w:rsid w:val="004D4C13"/>
    <w:rsid w:val="004D514B"/>
    <w:rsid w:val="004D54BA"/>
    <w:rsid w:val="004D558B"/>
    <w:rsid w:val="004D58DB"/>
    <w:rsid w:val="004D5E59"/>
    <w:rsid w:val="004D6336"/>
    <w:rsid w:val="004D6387"/>
    <w:rsid w:val="004D6579"/>
    <w:rsid w:val="004D67A0"/>
    <w:rsid w:val="004D67BF"/>
    <w:rsid w:val="004D6928"/>
    <w:rsid w:val="004D69FB"/>
    <w:rsid w:val="004D6E06"/>
    <w:rsid w:val="004D725B"/>
    <w:rsid w:val="004D738F"/>
    <w:rsid w:val="004D74E7"/>
    <w:rsid w:val="004D7562"/>
    <w:rsid w:val="004D78CB"/>
    <w:rsid w:val="004D793C"/>
    <w:rsid w:val="004D7A14"/>
    <w:rsid w:val="004D7AB4"/>
    <w:rsid w:val="004D7E14"/>
    <w:rsid w:val="004D7F40"/>
    <w:rsid w:val="004D7FA5"/>
    <w:rsid w:val="004E001A"/>
    <w:rsid w:val="004E0162"/>
    <w:rsid w:val="004E018B"/>
    <w:rsid w:val="004E039D"/>
    <w:rsid w:val="004E0521"/>
    <w:rsid w:val="004E05B8"/>
    <w:rsid w:val="004E0C5C"/>
    <w:rsid w:val="004E0DF6"/>
    <w:rsid w:val="004E0E0F"/>
    <w:rsid w:val="004E0E94"/>
    <w:rsid w:val="004E0F52"/>
    <w:rsid w:val="004E110A"/>
    <w:rsid w:val="004E1234"/>
    <w:rsid w:val="004E1684"/>
    <w:rsid w:val="004E18AF"/>
    <w:rsid w:val="004E199C"/>
    <w:rsid w:val="004E19B4"/>
    <w:rsid w:val="004E1ABD"/>
    <w:rsid w:val="004E1DE5"/>
    <w:rsid w:val="004E2131"/>
    <w:rsid w:val="004E22AE"/>
    <w:rsid w:val="004E22E7"/>
    <w:rsid w:val="004E24AA"/>
    <w:rsid w:val="004E29D1"/>
    <w:rsid w:val="004E2A5B"/>
    <w:rsid w:val="004E2B5F"/>
    <w:rsid w:val="004E2D86"/>
    <w:rsid w:val="004E2D92"/>
    <w:rsid w:val="004E2E0E"/>
    <w:rsid w:val="004E2EAD"/>
    <w:rsid w:val="004E32C8"/>
    <w:rsid w:val="004E34E6"/>
    <w:rsid w:val="004E3910"/>
    <w:rsid w:val="004E3BDE"/>
    <w:rsid w:val="004E3D47"/>
    <w:rsid w:val="004E3DC8"/>
    <w:rsid w:val="004E3FA8"/>
    <w:rsid w:val="004E43A5"/>
    <w:rsid w:val="004E4486"/>
    <w:rsid w:val="004E45D4"/>
    <w:rsid w:val="004E4649"/>
    <w:rsid w:val="004E4817"/>
    <w:rsid w:val="004E4C02"/>
    <w:rsid w:val="004E50AB"/>
    <w:rsid w:val="004E51CA"/>
    <w:rsid w:val="004E5393"/>
    <w:rsid w:val="004E5664"/>
    <w:rsid w:val="004E5666"/>
    <w:rsid w:val="004E578F"/>
    <w:rsid w:val="004E5896"/>
    <w:rsid w:val="004E5B39"/>
    <w:rsid w:val="004E5DB1"/>
    <w:rsid w:val="004E5F1D"/>
    <w:rsid w:val="004E5FED"/>
    <w:rsid w:val="004E615D"/>
    <w:rsid w:val="004E6196"/>
    <w:rsid w:val="004E637E"/>
    <w:rsid w:val="004E66BE"/>
    <w:rsid w:val="004E67DC"/>
    <w:rsid w:val="004E69EC"/>
    <w:rsid w:val="004E69F9"/>
    <w:rsid w:val="004E6DE3"/>
    <w:rsid w:val="004E6F8B"/>
    <w:rsid w:val="004E709D"/>
    <w:rsid w:val="004E740F"/>
    <w:rsid w:val="004E7426"/>
    <w:rsid w:val="004E75E2"/>
    <w:rsid w:val="004E771B"/>
    <w:rsid w:val="004E775B"/>
    <w:rsid w:val="004E7A1F"/>
    <w:rsid w:val="004E7A5B"/>
    <w:rsid w:val="004E7AC9"/>
    <w:rsid w:val="004E7B7C"/>
    <w:rsid w:val="004E7BF5"/>
    <w:rsid w:val="004F01A5"/>
    <w:rsid w:val="004F0602"/>
    <w:rsid w:val="004F0731"/>
    <w:rsid w:val="004F086A"/>
    <w:rsid w:val="004F0CAD"/>
    <w:rsid w:val="004F0E26"/>
    <w:rsid w:val="004F11BD"/>
    <w:rsid w:val="004F1407"/>
    <w:rsid w:val="004F1483"/>
    <w:rsid w:val="004F15B6"/>
    <w:rsid w:val="004F1623"/>
    <w:rsid w:val="004F16BA"/>
    <w:rsid w:val="004F16D8"/>
    <w:rsid w:val="004F182C"/>
    <w:rsid w:val="004F193B"/>
    <w:rsid w:val="004F1B68"/>
    <w:rsid w:val="004F1B7E"/>
    <w:rsid w:val="004F1EC9"/>
    <w:rsid w:val="004F1F34"/>
    <w:rsid w:val="004F20E0"/>
    <w:rsid w:val="004F20F6"/>
    <w:rsid w:val="004F22A4"/>
    <w:rsid w:val="004F253A"/>
    <w:rsid w:val="004F259D"/>
    <w:rsid w:val="004F279F"/>
    <w:rsid w:val="004F2852"/>
    <w:rsid w:val="004F2A02"/>
    <w:rsid w:val="004F2AAF"/>
    <w:rsid w:val="004F2B65"/>
    <w:rsid w:val="004F2DB6"/>
    <w:rsid w:val="004F3191"/>
    <w:rsid w:val="004F320E"/>
    <w:rsid w:val="004F35BB"/>
    <w:rsid w:val="004F35F6"/>
    <w:rsid w:val="004F3770"/>
    <w:rsid w:val="004F37F2"/>
    <w:rsid w:val="004F37FB"/>
    <w:rsid w:val="004F3889"/>
    <w:rsid w:val="004F390D"/>
    <w:rsid w:val="004F395A"/>
    <w:rsid w:val="004F3A62"/>
    <w:rsid w:val="004F3C93"/>
    <w:rsid w:val="004F3CB3"/>
    <w:rsid w:val="004F40F3"/>
    <w:rsid w:val="004F45A3"/>
    <w:rsid w:val="004F479D"/>
    <w:rsid w:val="004F47B4"/>
    <w:rsid w:val="004F4818"/>
    <w:rsid w:val="004F4A4B"/>
    <w:rsid w:val="004F4CED"/>
    <w:rsid w:val="004F4D04"/>
    <w:rsid w:val="004F52C9"/>
    <w:rsid w:val="004F52F4"/>
    <w:rsid w:val="004F5328"/>
    <w:rsid w:val="004F5331"/>
    <w:rsid w:val="004F534A"/>
    <w:rsid w:val="004F5371"/>
    <w:rsid w:val="004F5552"/>
    <w:rsid w:val="004F560F"/>
    <w:rsid w:val="004F575E"/>
    <w:rsid w:val="004F589C"/>
    <w:rsid w:val="004F5CC0"/>
    <w:rsid w:val="004F62CC"/>
    <w:rsid w:val="004F6398"/>
    <w:rsid w:val="004F63F5"/>
    <w:rsid w:val="004F63F9"/>
    <w:rsid w:val="004F6458"/>
    <w:rsid w:val="004F6482"/>
    <w:rsid w:val="004F64ED"/>
    <w:rsid w:val="004F66B7"/>
    <w:rsid w:val="004F6AC6"/>
    <w:rsid w:val="004F6C14"/>
    <w:rsid w:val="004F6D8F"/>
    <w:rsid w:val="004F6E6F"/>
    <w:rsid w:val="004F7350"/>
    <w:rsid w:val="004F7351"/>
    <w:rsid w:val="004F7855"/>
    <w:rsid w:val="004F799B"/>
    <w:rsid w:val="004F7A67"/>
    <w:rsid w:val="004F7B51"/>
    <w:rsid w:val="004F7B54"/>
    <w:rsid w:val="004F7C0E"/>
    <w:rsid w:val="004F7E34"/>
    <w:rsid w:val="0050004B"/>
    <w:rsid w:val="0050006E"/>
    <w:rsid w:val="00500343"/>
    <w:rsid w:val="005003B2"/>
    <w:rsid w:val="0050043B"/>
    <w:rsid w:val="005004C0"/>
    <w:rsid w:val="005004EB"/>
    <w:rsid w:val="00500922"/>
    <w:rsid w:val="00500997"/>
    <w:rsid w:val="00500B0C"/>
    <w:rsid w:val="00500C3A"/>
    <w:rsid w:val="0050102D"/>
    <w:rsid w:val="0050112A"/>
    <w:rsid w:val="00501253"/>
    <w:rsid w:val="0050126C"/>
    <w:rsid w:val="005012B4"/>
    <w:rsid w:val="00501419"/>
    <w:rsid w:val="00501798"/>
    <w:rsid w:val="00501799"/>
    <w:rsid w:val="00501820"/>
    <w:rsid w:val="00501823"/>
    <w:rsid w:val="0050189B"/>
    <w:rsid w:val="00501BE7"/>
    <w:rsid w:val="00501D91"/>
    <w:rsid w:val="00501DCA"/>
    <w:rsid w:val="00501DD5"/>
    <w:rsid w:val="00501E3F"/>
    <w:rsid w:val="00501EC7"/>
    <w:rsid w:val="00501EFF"/>
    <w:rsid w:val="00501F71"/>
    <w:rsid w:val="005022E2"/>
    <w:rsid w:val="005023F4"/>
    <w:rsid w:val="005024F8"/>
    <w:rsid w:val="00502750"/>
    <w:rsid w:val="005027CB"/>
    <w:rsid w:val="005027D5"/>
    <w:rsid w:val="005029D0"/>
    <w:rsid w:val="00502C57"/>
    <w:rsid w:val="00502DC4"/>
    <w:rsid w:val="0050305C"/>
    <w:rsid w:val="005031D2"/>
    <w:rsid w:val="00503338"/>
    <w:rsid w:val="00503440"/>
    <w:rsid w:val="005037F0"/>
    <w:rsid w:val="0050386E"/>
    <w:rsid w:val="005038D4"/>
    <w:rsid w:val="005038FD"/>
    <w:rsid w:val="0050390B"/>
    <w:rsid w:val="00503CCF"/>
    <w:rsid w:val="00503E33"/>
    <w:rsid w:val="00503F32"/>
    <w:rsid w:val="0050422C"/>
    <w:rsid w:val="005043FE"/>
    <w:rsid w:val="005046F3"/>
    <w:rsid w:val="00504750"/>
    <w:rsid w:val="005047B7"/>
    <w:rsid w:val="0050480D"/>
    <w:rsid w:val="00504A16"/>
    <w:rsid w:val="00504CB4"/>
    <w:rsid w:val="00504CBC"/>
    <w:rsid w:val="00504DB9"/>
    <w:rsid w:val="00504E93"/>
    <w:rsid w:val="00505250"/>
    <w:rsid w:val="005052C3"/>
    <w:rsid w:val="0050582C"/>
    <w:rsid w:val="005059B6"/>
    <w:rsid w:val="005059BB"/>
    <w:rsid w:val="00505A4B"/>
    <w:rsid w:val="00505B4B"/>
    <w:rsid w:val="00505CDA"/>
    <w:rsid w:val="00505DC9"/>
    <w:rsid w:val="00506152"/>
    <w:rsid w:val="00506249"/>
    <w:rsid w:val="00506437"/>
    <w:rsid w:val="005064A8"/>
    <w:rsid w:val="00506674"/>
    <w:rsid w:val="005066C1"/>
    <w:rsid w:val="005066F4"/>
    <w:rsid w:val="0050685A"/>
    <w:rsid w:val="005068F4"/>
    <w:rsid w:val="00506B12"/>
    <w:rsid w:val="00506CC0"/>
    <w:rsid w:val="00506E3B"/>
    <w:rsid w:val="00506F8D"/>
    <w:rsid w:val="00507166"/>
    <w:rsid w:val="005072B1"/>
    <w:rsid w:val="005072C7"/>
    <w:rsid w:val="00507710"/>
    <w:rsid w:val="0050795B"/>
    <w:rsid w:val="00507AB2"/>
    <w:rsid w:val="00507B68"/>
    <w:rsid w:val="00507B92"/>
    <w:rsid w:val="00507C5B"/>
    <w:rsid w:val="00507D6F"/>
    <w:rsid w:val="005101D2"/>
    <w:rsid w:val="0051027A"/>
    <w:rsid w:val="00510412"/>
    <w:rsid w:val="005104B8"/>
    <w:rsid w:val="005105C9"/>
    <w:rsid w:val="0051076C"/>
    <w:rsid w:val="005107F4"/>
    <w:rsid w:val="0051087A"/>
    <w:rsid w:val="00510AF9"/>
    <w:rsid w:val="00510B22"/>
    <w:rsid w:val="00510CE3"/>
    <w:rsid w:val="00510DF2"/>
    <w:rsid w:val="00510F64"/>
    <w:rsid w:val="0051125B"/>
    <w:rsid w:val="0051126E"/>
    <w:rsid w:val="0051127E"/>
    <w:rsid w:val="00511835"/>
    <w:rsid w:val="005118A8"/>
    <w:rsid w:val="00511E9B"/>
    <w:rsid w:val="00511FE7"/>
    <w:rsid w:val="00512172"/>
    <w:rsid w:val="00512487"/>
    <w:rsid w:val="00512583"/>
    <w:rsid w:val="0051271F"/>
    <w:rsid w:val="00512854"/>
    <w:rsid w:val="00512C92"/>
    <w:rsid w:val="00512CC6"/>
    <w:rsid w:val="00512EFA"/>
    <w:rsid w:val="00513187"/>
    <w:rsid w:val="0051323B"/>
    <w:rsid w:val="0051336F"/>
    <w:rsid w:val="00513641"/>
    <w:rsid w:val="00513754"/>
    <w:rsid w:val="00513922"/>
    <w:rsid w:val="0051396B"/>
    <w:rsid w:val="005139BB"/>
    <w:rsid w:val="00513C06"/>
    <w:rsid w:val="00513C3E"/>
    <w:rsid w:val="00514098"/>
    <w:rsid w:val="005140B1"/>
    <w:rsid w:val="00514211"/>
    <w:rsid w:val="0051421E"/>
    <w:rsid w:val="00514533"/>
    <w:rsid w:val="00514706"/>
    <w:rsid w:val="0051476E"/>
    <w:rsid w:val="00514BD7"/>
    <w:rsid w:val="00514CFB"/>
    <w:rsid w:val="00514EB7"/>
    <w:rsid w:val="00514F5D"/>
    <w:rsid w:val="00515029"/>
    <w:rsid w:val="00515201"/>
    <w:rsid w:val="0051536A"/>
    <w:rsid w:val="005153F8"/>
    <w:rsid w:val="00515824"/>
    <w:rsid w:val="00515A3B"/>
    <w:rsid w:val="00516185"/>
    <w:rsid w:val="00516223"/>
    <w:rsid w:val="00516261"/>
    <w:rsid w:val="00516448"/>
    <w:rsid w:val="00516777"/>
    <w:rsid w:val="00516C57"/>
    <w:rsid w:val="00516E05"/>
    <w:rsid w:val="00517013"/>
    <w:rsid w:val="00517385"/>
    <w:rsid w:val="00517390"/>
    <w:rsid w:val="00517451"/>
    <w:rsid w:val="00517499"/>
    <w:rsid w:val="005175E2"/>
    <w:rsid w:val="00517827"/>
    <w:rsid w:val="00517924"/>
    <w:rsid w:val="00517981"/>
    <w:rsid w:val="00517D20"/>
    <w:rsid w:val="005201E9"/>
    <w:rsid w:val="0052023B"/>
    <w:rsid w:val="00520268"/>
    <w:rsid w:val="0052046F"/>
    <w:rsid w:val="005204B1"/>
    <w:rsid w:val="00520A02"/>
    <w:rsid w:val="00520B31"/>
    <w:rsid w:val="00520D5B"/>
    <w:rsid w:val="00520EDD"/>
    <w:rsid w:val="00521083"/>
    <w:rsid w:val="00521155"/>
    <w:rsid w:val="0052134D"/>
    <w:rsid w:val="00521454"/>
    <w:rsid w:val="005214FC"/>
    <w:rsid w:val="00521762"/>
    <w:rsid w:val="00521AB2"/>
    <w:rsid w:val="005221BB"/>
    <w:rsid w:val="005223A5"/>
    <w:rsid w:val="00522466"/>
    <w:rsid w:val="005225C3"/>
    <w:rsid w:val="00522844"/>
    <w:rsid w:val="005229A3"/>
    <w:rsid w:val="005229C3"/>
    <w:rsid w:val="005229DF"/>
    <w:rsid w:val="00522C54"/>
    <w:rsid w:val="00522D56"/>
    <w:rsid w:val="00522E68"/>
    <w:rsid w:val="00522F46"/>
    <w:rsid w:val="00522F7F"/>
    <w:rsid w:val="0052303D"/>
    <w:rsid w:val="005234BA"/>
    <w:rsid w:val="00523685"/>
    <w:rsid w:val="00523936"/>
    <w:rsid w:val="005239F2"/>
    <w:rsid w:val="00523A57"/>
    <w:rsid w:val="00523A5C"/>
    <w:rsid w:val="00523F3D"/>
    <w:rsid w:val="00524022"/>
    <w:rsid w:val="0052459F"/>
    <w:rsid w:val="00524661"/>
    <w:rsid w:val="005246E4"/>
    <w:rsid w:val="00524744"/>
    <w:rsid w:val="005248B7"/>
    <w:rsid w:val="005249C6"/>
    <w:rsid w:val="00524B1A"/>
    <w:rsid w:val="00524C0D"/>
    <w:rsid w:val="00524F63"/>
    <w:rsid w:val="00524F80"/>
    <w:rsid w:val="005253A3"/>
    <w:rsid w:val="0052562F"/>
    <w:rsid w:val="005258F7"/>
    <w:rsid w:val="00525A7E"/>
    <w:rsid w:val="00525A83"/>
    <w:rsid w:val="00525ABA"/>
    <w:rsid w:val="00525D2B"/>
    <w:rsid w:val="00525D3B"/>
    <w:rsid w:val="00525D79"/>
    <w:rsid w:val="00525FF3"/>
    <w:rsid w:val="005260ED"/>
    <w:rsid w:val="00526432"/>
    <w:rsid w:val="005265B3"/>
    <w:rsid w:val="0052675D"/>
    <w:rsid w:val="00526863"/>
    <w:rsid w:val="0052687B"/>
    <w:rsid w:val="00526964"/>
    <w:rsid w:val="00526D31"/>
    <w:rsid w:val="00526E12"/>
    <w:rsid w:val="005270E1"/>
    <w:rsid w:val="005270F9"/>
    <w:rsid w:val="005272B8"/>
    <w:rsid w:val="0052730B"/>
    <w:rsid w:val="0052743C"/>
    <w:rsid w:val="00527471"/>
    <w:rsid w:val="005275D8"/>
    <w:rsid w:val="00527655"/>
    <w:rsid w:val="005278E7"/>
    <w:rsid w:val="00527939"/>
    <w:rsid w:val="00527A27"/>
    <w:rsid w:val="00527C3C"/>
    <w:rsid w:val="00527CC0"/>
    <w:rsid w:val="00527D96"/>
    <w:rsid w:val="00527EC9"/>
    <w:rsid w:val="00527F09"/>
    <w:rsid w:val="0053015F"/>
    <w:rsid w:val="00530416"/>
    <w:rsid w:val="00530583"/>
    <w:rsid w:val="005306BB"/>
    <w:rsid w:val="0053082F"/>
    <w:rsid w:val="005309B8"/>
    <w:rsid w:val="00530A10"/>
    <w:rsid w:val="00530B11"/>
    <w:rsid w:val="00530DA5"/>
    <w:rsid w:val="00530DB1"/>
    <w:rsid w:val="005311CF"/>
    <w:rsid w:val="005319C2"/>
    <w:rsid w:val="00531A69"/>
    <w:rsid w:val="00531ACD"/>
    <w:rsid w:val="00531AD5"/>
    <w:rsid w:val="00531C7D"/>
    <w:rsid w:val="00531E7A"/>
    <w:rsid w:val="00531F33"/>
    <w:rsid w:val="00532076"/>
    <w:rsid w:val="00532152"/>
    <w:rsid w:val="00532178"/>
    <w:rsid w:val="0053245E"/>
    <w:rsid w:val="00532521"/>
    <w:rsid w:val="00532545"/>
    <w:rsid w:val="005326C1"/>
    <w:rsid w:val="005326F2"/>
    <w:rsid w:val="00532C35"/>
    <w:rsid w:val="00532DCE"/>
    <w:rsid w:val="005330B7"/>
    <w:rsid w:val="0053355B"/>
    <w:rsid w:val="00533875"/>
    <w:rsid w:val="00533914"/>
    <w:rsid w:val="005339C6"/>
    <w:rsid w:val="005339EF"/>
    <w:rsid w:val="00533DAA"/>
    <w:rsid w:val="00533E3B"/>
    <w:rsid w:val="005342C8"/>
    <w:rsid w:val="0053437D"/>
    <w:rsid w:val="005343DC"/>
    <w:rsid w:val="00534503"/>
    <w:rsid w:val="0053478A"/>
    <w:rsid w:val="005347B3"/>
    <w:rsid w:val="00534840"/>
    <w:rsid w:val="0053496D"/>
    <w:rsid w:val="005349FC"/>
    <w:rsid w:val="00534ABE"/>
    <w:rsid w:val="00534C24"/>
    <w:rsid w:val="00534C32"/>
    <w:rsid w:val="00534F0E"/>
    <w:rsid w:val="0053515D"/>
    <w:rsid w:val="00535222"/>
    <w:rsid w:val="0053546C"/>
    <w:rsid w:val="0053550A"/>
    <w:rsid w:val="00535613"/>
    <w:rsid w:val="0053566B"/>
    <w:rsid w:val="005358FE"/>
    <w:rsid w:val="00535928"/>
    <w:rsid w:val="0053592D"/>
    <w:rsid w:val="005359E8"/>
    <w:rsid w:val="00535A53"/>
    <w:rsid w:val="00535B71"/>
    <w:rsid w:val="00535C0F"/>
    <w:rsid w:val="00535E88"/>
    <w:rsid w:val="00535F5E"/>
    <w:rsid w:val="00535FC2"/>
    <w:rsid w:val="00535FCD"/>
    <w:rsid w:val="00535FFA"/>
    <w:rsid w:val="00536606"/>
    <w:rsid w:val="00536751"/>
    <w:rsid w:val="00536AB8"/>
    <w:rsid w:val="00536D01"/>
    <w:rsid w:val="00536D87"/>
    <w:rsid w:val="00536E33"/>
    <w:rsid w:val="00536EEC"/>
    <w:rsid w:val="00537097"/>
    <w:rsid w:val="00537132"/>
    <w:rsid w:val="005374BB"/>
    <w:rsid w:val="0053753E"/>
    <w:rsid w:val="005376C0"/>
    <w:rsid w:val="00537CC1"/>
    <w:rsid w:val="00537CDA"/>
    <w:rsid w:val="0054007B"/>
    <w:rsid w:val="00540204"/>
    <w:rsid w:val="0054052C"/>
    <w:rsid w:val="005407C3"/>
    <w:rsid w:val="0054082C"/>
    <w:rsid w:val="00540951"/>
    <w:rsid w:val="00540C72"/>
    <w:rsid w:val="00540CE6"/>
    <w:rsid w:val="00540F1A"/>
    <w:rsid w:val="0054114F"/>
    <w:rsid w:val="0054116D"/>
    <w:rsid w:val="005411BE"/>
    <w:rsid w:val="00541307"/>
    <w:rsid w:val="005415C7"/>
    <w:rsid w:val="00541609"/>
    <w:rsid w:val="00541792"/>
    <w:rsid w:val="005419F4"/>
    <w:rsid w:val="00541C73"/>
    <w:rsid w:val="005420F8"/>
    <w:rsid w:val="00542505"/>
    <w:rsid w:val="00542582"/>
    <w:rsid w:val="0054273F"/>
    <w:rsid w:val="00542763"/>
    <w:rsid w:val="0054288D"/>
    <w:rsid w:val="005428D8"/>
    <w:rsid w:val="0054297D"/>
    <w:rsid w:val="00542A07"/>
    <w:rsid w:val="00542CE3"/>
    <w:rsid w:val="00542D6A"/>
    <w:rsid w:val="00542ED6"/>
    <w:rsid w:val="00542F3F"/>
    <w:rsid w:val="0054362C"/>
    <w:rsid w:val="00543646"/>
    <w:rsid w:val="005438D4"/>
    <w:rsid w:val="00543919"/>
    <w:rsid w:val="005439ED"/>
    <w:rsid w:val="00543B55"/>
    <w:rsid w:val="00543B7C"/>
    <w:rsid w:val="00543BA8"/>
    <w:rsid w:val="00543DB5"/>
    <w:rsid w:val="005441C4"/>
    <w:rsid w:val="00544297"/>
    <w:rsid w:val="005442B0"/>
    <w:rsid w:val="005442DE"/>
    <w:rsid w:val="005445AF"/>
    <w:rsid w:val="00544925"/>
    <w:rsid w:val="00544D8E"/>
    <w:rsid w:val="00544D95"/>
    <w:rsid w:val="00544F3B"/>
    <w:rsid w:val="00544F9E"/>
    <w:rsid w:val="00544FEA"/>
    <w:rsid w:val="005450F6"/>
    <w:rsid w:val="00545155"/>
    <w:rsid w:val="0054536E"/>
    <w:rsid w:val="0054540D"/>
    <w:rsid w:val="005454AE"/>
    <w:rsid w:val="0054572C"/>
    <w:rsid w:val="00545C5C"/>
    <w:rsid w:val="00545CC0"/>
    <w:rsid w:val="00545D11"/>
    <w:rsid w:val="00545D6D"/>
    <w:rsid w:val="00545EF4"/>
    <w:rsid w:val="005460F7"/>
    <w:rsid w:val="00546115"/>
    <w:rsid w:val="00546578"/>
    <w:rsid w:val="00546775"/>
    <w:rsid w:val="005468FB"/>
    <w:rsid w:val="00546A08"/>
    <w:rsid w:val="0054704F"/>
    <w:rsid w:val="005470EF"/>
    <w:rsid w:val="005471ED"/>
    <w:rsid w:val="005473B6"/>
    <w:rsid w:val="0054756F"/>
    <w:rsid w:val="005475A9"/>
    <w:rsid w:val="00547672"/>
    <w:rsid w:val="0054767B"/>
    <w:rsid w:val="005476E5"/>
    <w:rsid w:val="0054777F"/>
    <w:rsid w:val="005479AE"/>
    <w:rsid w:val="005479C5"/>
    <w:rsid w:val="00547A32"/>
    <w:rsid w:val="00547A86"/>
    <w:rsid w:val="00547AF5"/>
    <w:rsid w:val="00547C69"/>
    <w:rsid w:val="00547F36"/>
    <w:rsid w:val="005500D2"/>
    <w:rsid w:val="00550183"/>
    <w:rsid w:val="0055037D"/>
    <w:rsid w:val="005503F2"/>
    <w:rsid w:val="005505CC"/>
    <w:rsid w:val="005505F8"/>
    <w:rsid w:val="00550893"/>
    <w:rsid w:val="00550A93"/>
    <w:rsid w:val="00550DEF"/>
    <w:rsid w:val="00550E76"/>
    <w:rsid w:val="00550FD3"/>
    <w:rsid w:val="005510DA"/>
    <w:rsid w:val="005512D0"/>
    <w:rsid w:val="0055141B"/>
    <w:rsid w:val="0055181F"/>
    <w:rsid w:val="00551844"/>
    <w:rsid w:val="00551F2B"/>
    <w:rsid w:val="00552199"/>
    <w:rsid w:val="005529B2"/>
    <w:rsid w:val="00552A2C"/>
    <w:rsid w:val="00552AB5"/>
    <w:rsid w:val="00552B6C"/>
    <w:rsid w:val="00552CA4"/>
    <w:rsid w:val="005530BE"/>
    <w:rsid w:val="00553341"/>
    <w:rsid w:val="0055374A"/>
    <w:rsid w:val="005537A1"/>
    <w:rsid w:val="005539BC"/>
    <w:rsid w:val="00553C4B"/>
    <w:rsid w:val="00553D4C"/>
    <w:rsid w:val="005542D4"/>
    <w:rsid w:val="005543A8"/>
    <w:rsid w:val="005545BC"/>
    <w:rsid w:val="00554672"/>
    <w:rsid w:val="005547BB"/>
    <w:rsid w:val="00554990"/>
    <w:rsid w:val="005549C1"/>
    <w:rsid w:val="00554C96"/>
    <w:rsid w:val="00554FA5"/>
    <w:rsid w:val="0055505C"/>
    <w:rsid w:val="005551F7"/>
    <w:rsid w:val="005552CE"/>
    <w:rsid w:val="0055533D"/>
    <w:rsid w:val="00555391"/>
    <w:rsid w:val="005554E0"/>
    <w:rsid w:val="005555D9"/>
    <w:rsid w:val="00555616"/>
    <w:rsid w:val="00555ABB"/>
    <w:rsid w:val="00555BF0"/>
    <w:rsid w:val="00555C66"/>
    <w:rsid w:val="00555CF8"/>
    <w:rsid w:val="00555F0F"/>
    <w:rsid w:val="00555F29"/>
    <w:rsid w:val="00555F2E"/>
    <w:rsid w:val="005564E3"/>
    <w:rsid w:val="005565AA"/>
    <w:rsid w:val="005566F2"/>
    <w:rsid w:val="005567EC"/>
    <w:rsid w:val="00556830"/>
    <w:rsid w:val="005568AA"/>
    <w:rsid w:val="00556904"/>
    <w:rsid w:val="0055696E"/>
    <w:rsid w:val="00556B4E"/>
    <w:rsid w:val="00556BDB"/>
    <w:rsid w:val="00556EAE"/>
    <w:rsid w:val="00557479"/>
    <w:rsid w:val="005575C6"/>
    <w:rsid w:val="0055764C"/>
    <w:rsid w:val="00557652"/>
    <w:rsid w:val="00557CB1"/>
    <w:rsid w:val="00557CC8"/>
    <w:rsid w:val="00557CDB"/>
    <w:rsid w:val="00557FE3"/>
    <w:rsid w:val="00560093"/>
    <w:rsid w:val="00560134"/>
    <w:rsid w:val="0056014E"/>
    <w:rsid w:val="0056049B"/>
    <w:rsid w:val="00560652"/>
    <w:rsid w:val="0056079B"/>
    <w:rsid w:val="0056082A"/>
    <w:rsid w:val="00560D10"/>
    <w:rsid w:val="00560D93"/>
    <w:rsid w:val="00560F9E"/>
    <w:rsid w:val="00560FDA"/>
    <w:rsid w:val="0056101E"/>
    <w:rsid w:val="005610CB"/>
    <w:rsid w:val="00561156"/>
    <w:rsid w:val="00561465"/>
    <w:rsid w:val="005614EC"/>
    <w:rsid w:val="00561759"/>
    <w:rsid w:val="0056175E"/>
    <w:rsid w:val="0056180C"/>
    <w:rsid w:val="00561831"/>
    <w:rsid w:val="0056192F"/>
    <w:rsid w:val="00561A8C"/>
    <w:rsid w:val="00561BF7"/>
    <w:rsid w:val="00562017"/>
    <w:rsid w:val="005620D9"/>
    <w:rsid w:val="00562115"/>
    <w:rsid w:val="005626AF"/>
    <w:rsid w:val="00562DC2"/>
    <w:rsid w:val="0056323A"/>
    <w:rsid w:val="005633ED"/>
    <w:rsid w:val="00563663"/>
    <w:rsid w:val="0056371F"/>
    <w:rsid w:val="00563779"/>
    <w:rsid w:val="00563B49"/>
    <w:rsid w:val="00563C6F"/>
    <w:rsid w:val="00563E6D"/>
    <w:rsid w:val="00564133"/>
    <w:rsid w:val="005642FC"/>
    <w:rsid w:val="00564711"/>
    <w:rsid w:val="00564714"/>
    <w:rsid w:val="0056476D"/>
    <w:rsid w:val="00564894"/>
    <w:rsid w:val="00564AC0"/>
    <w:rsid w:val="00564C23"/>
    <w:rsid w:val="00564F21"/>
    <w:rsid w:val="005650C8"/>
    <w:rsid w:val="005651F4"/>
    <w:rsid w:val="0056542D"/>
    <w:rsid w:val="005655F2"/>
    <w:rsid w:val="00565721"/>
    <w:rsid w:val="0056579C"/>
    <w:rsid w:val="0056586C"/>
    <w:rsid w:val="00565995"/>
    <w:rsid w:val="00565A90"/>
    <w:rsid w:val="00565B24"/>
    <w:rsid w:val="00565C3C"/>
    <w:rsid w:val="00565F07"/>
    <w:rsid w:val="00565FA0"/>
    <w:rsid w:val="005660FA"/>
    <w:rsid w:val="00566257"/>
    <w:rsid w:val="00566343"/>
    <w:rsid w:val="00566346"/>
    <w:rsid w:val="0056654A"/>
    <w:rsid w:val="005665A7"/>
    <w:rsid w:val="005666DB"/>
    <w:rsid w:val="0056670B"/>
    <w:rsid w:val="00566A2F"/>
    <w:rsid w:val="00566A65"/>
    <w:rsid w:val="00566AF1"/>
    <w:rsid w:val="00566C0E"/>
    <w:rsid w:val="00566D4B"/>
    <w:rsid w:val="00566F67"/>
    <w:rsid w:val="005670FA"/>
    <w:rsid w:val="00567364"/>
    <w:rsid w:val="005673A3"/>
    <w:rsid w:val="0056740C"/>
    <w:rsid w:val="00567974"/>
    <w:rsid w:val="00567B64"/>
    <w:rsid w:val="00567BBF"/>
    <w:rsid w:val="00570170"/>
    <w:rsid w:val="005703D0"/>
    <w:rsid w:val="0057049A"/>
    <w:rsid w:val="005704D7"/>
    <w:rsid w:val="0057078B"/>
    <w:rsid w:val="005707EF"/>
    <w:rsid w:val="005708C2"/>
    <w:rsid w:val="00570AD3"/>
    <w:rsid w:val="00570D9D"/>
    <w:rsid w:val="0057106A"/>
    <w:rsid w:val="00571192"/>
    <w:rsid w:val="005711C8"/>
    <w:rsid w:val="005712C8"/>
    <w:rsid w:val="005712FD"/>
    <w:rsid w:val="005718D3"/>
    <w:rsid w:val="005718DB"/>
    <w:rsid w:val="00571A01"/>
    <w:rsid w:val="00571B76"/>
    <w:rsid w:val="005721F8"/>
    <w:rsid w:val="0057262E"/>
    <w:rsid w:val="0057284B"/>
    <w:rsid w:val="0057292B"/>
    <w:rsid w:val="00572AA8"/>
    <w:rsid w:val="00572EA1"/>
    <w:rsid w:val="00572F71"/>
    <w:rsid w:val="00572FB1"/>
    <w:rsid w:val="00573179"/>
    <w:rsid w:val="0057317C"/>
    <w:rsid w:val="005731B4"/>
    <w:rsid w:val="0057324B"/>
    <w:rsid w:val="00573279"/>
    <w:rsid w:val="005732F7"/>
    <w:rsid w:val="0057341A"/>
    <w:rsid w:val="005734CE"/>
    <w:rsid w:val="005734D4"/>
    <w:rsid w:val="00573556"/>
    <w:rsid w:val="00573557"/>
    <w:rsid w:val="0057357E"/>
    <w:rsid w:val="005736C5"/>
    <w:rsid w:val="00573A1D"/>
    <w:rsid w:val="00573A84"/>
    <w:rsid w:val="00573B94"/>
    <w:rsid w:val="00573D2F"/>
    <w:rsid w:val="00573E70"/>
    <w:rsid w:val="00573E9C"/>
    <w:rsid w:val="00573EA6"/>
    <w:rsid w:val="00573F50"/>
    <w:rsid w:val="00573F6D"/>
    <w:rsid w:val="00574031"/>
    <w:rsid w:val="005744DB"/>
    <w:rsid w:val="00574502"/>
    <w:rsid w:val="00574519"/>
    <w:rsid w:val="00574739"/>
    <w:rsid w:val="0057481B"/>
    <w:rsid w:val="00574EA5"/>
    <w:rsid w:val="00574F4D"/>
    <w:rsid w:val="00574FD5"/>
    <w:rsid w:val="00574FEE"/>
    <w:rsid w:val="00575091"/>
    <w:rsid w:val="00575281"/>
    <w:rsid w:val="005752C1"/>
    <w:rsid w:val="00575566"/>
    <w:rsid w:val="005758C9"/>
    <w:rsid w:val="00575EA1"/>
    <w:rsid w:val="00575F61"/>
    <w:rsid w:val="00575FE5"/>
    <w:rsid w:val="005760D6"/>
    <w:rsid w:val="005761B2"/>
    <w:rsid w:val="00576422"/>
    <w:rsid w:val="0057650B"/>
    <w:rsid w:val="005768F5"/>
    <w:rsid w:val="00576F1C"/>
    <w:rsid w:val="00577421"/>
    <w:rsid w:val="00577598"/>
    <w:rsid w:val="00577655"/>
    <w:rsid w:val="005779AF"/>
    <w:rsid w:val="00577A36"/>
    <w:rsid w:val="00577A51"/>
    <w:rsid w:val="00577D1D"/>
    <w:rsid w:val="00577DAF"/>
    <w:rsid w:val="00577DD6"/>
    <w:rsid w:val="00580053"/>
    <w:rsid w:val="00580350"/>
    <w:rsid w:val="005803DF"/>
    <w:rsid w:val="00580749"/>
    <w:rsid w:val="005807BA"/>
    <w:rsid w:val="0058096B"/>
    <w:rsid w:val="00580C46"/>
    <w:rsid w:val="00580D8D"/>
    <w:rsid w:val="00580E26"/>
    <w:rsid w:val="00580E2A"/>
    <w:rsid w:val="00580E32"/>
    <w:rsid w:val="00580EFF"/>
    <w:rsid w:val="00581145"/>
    <w:rsid w:val="005812A9"/>
    <w:rsid w:val="0058130A"/>
    <w:rsid w:val="00581660"/>
    <w:rsid w:val="005816FE"/>
    <w:rsid w:val="00581933"/>
    <w:rsid w:val="0058196B"/>
    <w:rsid w:val="0058197F"/>
    <w:rsid w:val="00581BE6"/>
    <w:rsid w:val="00581C33"/>
    <w:rsid w:val="00581CF7"/>
    <w:rsid w:val="00581F09"/>
    <w:rsid w:val="005822D9"/>
    <w:rsid w:val="005826DF"/>
    <w:rsid w:val="005826FD"/>
    <w:rsid w:val="00582906"/>
    <w:rsid w:val="0058298A"/>
    <w:rsid w:val="00582AEC"/>
    <w:rsid w:val="00582B22"/>
    <w:rsid w:val="00582E9B"/>
    <w:rsid w:val="0058302A"/>
    <w:rsid w:val="00583397"/>
    <w:rsid w:val="005833A0"/>
    <w:rsid w:val="005833A9"/>
    <w:rsid w:val="00583478"/>
    <w:rsid w:val="005837EA"/>
    <w:rsid w:val="005838A1"/>
    <w:rsid w:val="00583A33"/>
    <w:rsid w:val="00583B4B"/>
    <w:rsid w:val="00583D20"/>
    <w:rsid w:val="00583ED9"/>
    <w:rsid w:val="005843DE"/>
    <w:rsid w:val="005845AB"/>
    <w:rsid w:val="00584677"/>
    <w:rsid w:val="00584972"/>
    <w:rsid w:val="005849B5"/>
    <w:rsid w:val="00584B2D"/>
    <w:rsid w:val="00584BA6"/>
    <w:rsid w:val="00584DF7"/>
    <w:rsid w:val="0058514A"/>
    <w:rsid w:val="005851E0"/>
    <w:rsid w:val="005851EF"/>
    <w:rsid w:val="00585284"/>
    <w:rsid w:val="005852CA"/>
    <w:rsid w:val="005852ED"/>
    <w:rsid w:val="005855C0"/>
    <w:rsid w:val="00585B40"/>
    <w:rsid w:val="00585B48"/>
    <w:rsid w:val="00586149"/>
    <w:rsid w:val="00586330"/>
    <w:rsid w:val="005864B9"/>
    <w:rsid w:val="005866AE"/>
    <w:rsid w:val="005866D6"/>
    <w:rsid w:val="0058673F"/>
    <w:rsid w:val="0058690B"/>
    <w:rsid w:val="00586D66"/>
    <w:rsid w:val="00586E61"/>
    <w:rsid w:val="00586E8F"/>
    <w:rsid w:val="005872D8"/>
    <w:rsid w:val="005872E5"/>
    <w:rsid w:val="00587361"/>
    <w:rsid w:val="00587604"/>
    <w:rsid w:val="0058763D"/>
    <w:rsid w:val="005878B7"/>
    <w:rsid w:val="00587921"/>
    <w:rsid w:val="00587AB5"/>
    <w:rsid w:val="00587C99"/>
    <w:rsid w:val="00587D54"/>
    <w:rsid w:val="00587EEC"/>
    <w:rsid w:val="005901B2"/>
    <w:rsid w:val="005903B2"/>
    <w:rsid w:val="00590426"/>
    <w:rsid w:val="005906BA"/>
    <w:rsid w:val="005907EC"/>
    <w:rsid w:val="00590BAF"/>
    <w:rsid w:val="00590CEB"/>
    <w:rsid w:val="00590E0E"/>
    <w:rsid w:val="00590F04"/>
    <w:rsid w:val="00591058"/>
    <w:rsid w:val="005910E0"/>
    <w:rsid w:val="00591399"/>
    <w:rsid w:val="005914BE"/>
    <w:rsid w:val="0059152D"/>
    <w:rsid w:val="005915A4"/>
    <w:rsid w:val="005916CC"/>
    <w:rsid w:val="0059176F"/>
    <w:rsid w:val="005917DD"/>
    <w:rsid w:val="00591A1D"/>
    <w:rsid w:val="00591C07"/>
    <w:rsid w:val="00591C13"/>
    <w:rsid w:val="00591C2B"/>
    <w:rsid w:val="00591CD2"/>
    <w:rsid w:val="00591D04"/>
    <w:rsid w:val="00591D70"/>
    <w:rsid w:val="00591D99"/>
    <w:rsid w:val="00591E0E"/>
    <w:rsid w:val="00591E9A"/>
    <w:rsid w:val="005920ED"/>
    <w:rsid w:val="0059228B"/>
    <w:rsid w:val="0059249C"/>
    <w:rsid w:val="0059282B"/>
    <w:rsid w:val="005928CB"/>
    <w:rsid w:val="00592AF2"/>
    <w:rsid w:val="00592B8F"/>
    <w:rsid w:val="00592E6C"/>
    <w:rsid w:val="00592EBE"/>
    <w:rsid w:val="00592FEC"/>
    <w:rsid w:val="00593412"/>
    <w:rsid w:val="0059346A"/>
    <w:rsid w:val="0059346C"/>
    <w:rsid w:val="005935FD"/>
    <w:rsid w:val="00593623"/>
    <w:rsid w:val="00593627"/>
    <w:rsid w:val="005936B0"/>
    <w:rsid w:val="005939FA"/>
    <w:rsid w:val="00593B94"/>
    <w:rsid w:val="00593BF7"/>
    <w:rsid w:val="00593D58"/>
    <w:rsid w:val="00593E1C"/>
    <w:rsid w:val="00594081"/>
    <w:rsid w:val="00594331"/>
    <w:rsid w:val="00594437"/>
    <w:rsid w:val="005944A5"/>
    <w:rsid w:val="00594681"/>
    <w:rsid w:val="0059471E"/>
    <w:rsid w:val="005948D6"/>
    <w:rsid w:val="00594C3E"/>
    <w:rsid w:val="00594F20"/>
    <w:rsid w:val="00594FAD"/>
    <w:rsid w:val="00595332"/>
    <w:rsid w:val="0059534B"/>
    <w:rsid w:val="00595453"/>
    <w:rsid w:val="005956D3"/>
    <w:rsid w:val="00595822"/>
    <w:rsid w:val="005959AD"/>
    <w:rsid w:val="00595D51"/>
    <w:rsid w:val="00595FB2"/>
    <w:rsid w:val="00595FE5"/>
    <w:rsid w:val="00596679"/>
    <w:rsid w:val="005966F4"/>
    <w:rsid w:val="0059678C"/>
    <w:rsid w:val="005967D7"/>
    <w:rsid w:val="0059682F"/>
    <w:rsid w:val="005968AF"/>
    <w:rsid w:val="005969FB"/>
    <w:rsid w:val="00596AE3"/>
    <w:rsid w:val="00596BE2"/>
    <w:rsid w:val="0059715D"/>
    <w:rsid w:val="005971CA"/>
    <w:rsid w:val="005972AD"/>
    <w:rsid w:val="005972E9"/>
    <w:rsid w:val="00597470"/>
    <w:rsid w:val="00597650"/>
    <w:rsid w:val="005977AC"/>
    <w:rsid w:val="00597C70"/>
    <w:rsid w:val="00597DEA"/>
    <w:rsid w:val="00597F4E"/>
    <w:rsid w:val="005A02C2"/>
    <w:rsid w:val="005A0373"/>
    <w:rsid w:val="005A04B2"/>
    <w:rsid w:val="005A052F"/>
    <w:rsid w:val="005A055A"/>
    <w:rsid w:val="005A0691"/>
    <w:rsid w:val="005A0717"/>
    <w:rsid w:val="005A0890"/>
    <w:rsid w:val="005A0BF1"/>
    <w:rsid w:val="005A0EE4"/>
    <w:rsid w:val="005A11A2"/>
    <w:rsid w:val="005A12C9"/>
    <w:rsid w:val="005A14A8"/>
    <w:rsid w:val="005A14C6"/>
    <w:rsid w:val="005A15FE"/>
    <w:rsid w:val="005A1603"/>
    <w:rsid w:val="005A167E"/>
    <w:rsid w:val="005A170B"/>
    <w:rsid w:val="005A17FF"/>
    <w:rsid w:val="005A193F"/>
    <w:rsid w:val="005A1A80"/>
    <w:rsid w:val="005A1AE9"/>
    <w:rsid w:val="005A1E15"/>
    <w:rsid w:val="005A1FA8"/>
    <w:rsid w:val="005A1FB7"/>
    <w:rsid w:val="005A2128"/>
    <w:rsid w:val="005A2183"/>
    <w:rsid w:val="005A22FE"/>
    <w:rsid w:val="005A25FE"/>
    <w:rsid w:val="005A28C5"/>
    <w:rsid w:val="005A2A80"/>
    <w:rsid w:val="005A2B9A"/>
    <w:rsid w:val="005A2E5A"/>
    <w:rsid w:val="005A30F6"/>
    <w:rsid w:val="005A318A"/>
    <w:rsid w:val="005A31FB"/>
    <w:rsid w:val="005A3506"/>
    <w:rsid w:val="005A3549"/>
    <w:rsid w:val="005A375A"/>
    <w:rsid w:val="005A384A"/>
    <w:rsid w:val="005A3AEE"/>
    <w:rsid w:val="005A3C96"/>
    <w:rsid w:val="005A3C9F"/>
    <w:rsid w:val="005A3CAA"/>
    <w:rsid w:val="005A3D6C"/>
    <w:rsid w:val="005A3E9C"/>
    <w:rsid w:val="005A3EC9"/>
    <w:rsid w:val="005A3FB5"/>
    <w:rsid w:val="005A4053"/>
    <w:rsid w:val="005A40A6"/>
    <w:rsid w:val="005A4328"/>
    <w:rsid w:val="005A467B"/>
    <w:rsid w:val="005A46BD"/>
    <w:rsid w:val="005A4DD7"/>
    <w:rsid w:val="005A4F51"/>
    <w:rsid w:val="005A4FDE"/>
    <w:rsid w:val="005A4FE3"/>
    <w:rsid w:val="005A5009"/>
    <w:rsid w:val="005A529B"/>
    <w:rsid w:val="005A52CD"/>
    <w:rsid w:val="005A52F6"/>
    <w:rsid w:val="005A578E"/>
    <w:rsid w:val="005A57BE"/>
    <w:rsid w:val="005A5B7F"/>
    <w:rsid w:val="005A5CE1"/>
    <w:rsid w:val="005A6334"/>
    <w:rsid w:val="005A662C"/>
    <w:rsid w:val="005A66E5"/>
    <w:rsid w:val="005A6B60"/>
    <w:rsid w:val="005A6C43"/>
    <w:rsid w:val="005A6D45"/>
    <w:rsid w:val="005A6DFA"/>
    <w:rsid w:val="005A6F9D"/>
    <w:rsid w:val="005A70FE"/>
    <w:rsid w:val="005A7358"/>
    <w:rsid w:val="005A7364"/>
    <w:rsid w:val="005A75B9"/>
    <w:rsid w:val="005A7609"/>
    <w:rsid w:val="005A76C6"/>
    <w:rsid w:val="005A78E1"/>
    <w:rsid w:val="005A793B"/>
    <w:rsid w:val="005A79D7"/>
    <w:rsid w:val="005A7A8B"/>
    <w:rsid w:val="005A7AF5"/>
    <w:rsid w:val="005A7B5D"/>
    <w:rsid w:val="005A7B96"/>
    <w:rsid w:val="005A7C85"/>
    <w:rsid w:val="005A7DEB"/>
    <w:rsid w:val="005B00AA"/>
    <w:rsid w:val="005B00B8"/>
    <w:rsid w:val="005B0279"/>
    <w:rsid w:val="005B0464"/>
    <w:rsid w:val="005B04AE"/>
    <w:rsid w:val="005B08DD"/>
    <w:rsid w:val="005B0B89"/>
    <w:rsid w:val="005B0C1A"/>
    <w:rsid w:val="005B0C4D"/>
    <w:rsid w:val="005B0C59"/>
    <w:rsid w:val="005B0F13"/>
    <w:rsid w:val="005B111F"/>
    <w:rsid w:val="005B12CE"/>
    <w:rsid w:val="005B1489"/>
    <w:rsid w:val="005B1596"/>
    <w:rsid w:val="005B15D2"/>
    <w:rsid w:val="005B1A66"/>
    <w:rsid w:val="005B2100"/>
    <w:rsid w:val="005B212C"/>
    <w:rsid w:val="005B2522"/>
    <w:rsid w:val="005B28D5"/>
    <w:rsid w:val="005B2A5E"/>
    <w:rsid w:val="005B2ACE"/>
    <w:rsid w:val="005B2B46"/>
    <w:rsid w:val="005B2BFD"/>
    <w:rsid w:val="005B2C15"/>
    <w:rsid w:val="005B2DB2"/>
    <w:rsid w:val="005B2F0B"/>
    <w:rsid w:val="005B30CD"/>
    <w:rsid w:val="005B31F7"/>
    <w:rsid w:val="005B3656"/>
    <w:rsid w:val="005B3661"/>
    <w:rsid w:val="005B3758"/>
    <w:rsid w:val="005B3798"/>
    <w:rsid w:val="005B37D2"/>
    <w:rsid w:val="005B394B"/>
    <w:rsid w:val="005B3BB6"/>
    <w:rsid w:val="005B3D23"/>
    <w:rsid w:val="005B3D43"/>
    <w:rsid w:val="005B3F5F"/>
    <w:rsid w:val="005B3FFF"/>
    <w:rsid w:val="005B4014"/>
    <w:rsid w:val="005B4603"/>
    <w:rsid w:val="005B48CE"/>
    <w:rsid w:val="005B49DB"/>
    <w:rsid w:val="005B4D15"/>
    <w:rsid w:val="005B4D63"/>
    <w:rsid w:val="005B4E05"/>
    <w:rsid w:val="005B5071"/>
    <w:rsid w:val="005B5396"/>
    <w:rsid w:val="005B5441"/>
    <w:rsid w:val="005B5516"/>
    <w:rsid w:val="005B56B7"/>
    <w:rsid w:val="005B56D4"/>
    <w:rsid w:val="005B57F2"/>
    <w:rsid w:val="005B5F86"/>
    <w:rsid w:val="005B5F93"/>
    <w:rsid w:val="005B5F98"/>
    <w:rsid w:val="005B63A1"/>
    <w:rsid w:val="005B63FA"/>
    <w:rsid w:val="005B684F"/>
    <w:rsid w:val="005B6923"/>
    <w:rsid w:val="005B69F0"/>
    <w:rsid w:val="005B6B53"/>
    <w:rsid w:val="005B6BBE"/>
    <w:rsid w:val="005B6D10"/>
    <w:rsid w:val="005B70A2"/>
    <w:rsid w:val="005B71D3"/>
    <w:rsid w:val="005B741E"/>
    <w:rsid w:val="005B7458"/>
    <w:rsid w:val="005B7591"/>
    <w:rsid w:val="005B77D2"/>
    <w:rsid w:val="005B796A"/>
    <w:rsid w:val="005B79E4"/>
    <w:rsid w:val="005B7A7B"/>
    <w:rsid w:val="005B7BDC"/>
    <w:rsid w:val="005C0190"/>
    <w:rsid w:val="005C01B5"/>
    <w:rsid w:val="005C0513"/>
    <w:rsid w:val="005C0579"/>
    <w:rsid w:val="005C065C"/>
    <w:rsid w:val="005C0714"/>
    <w:rsid w:val="005C0747"/>
    <w:rsid w:val="005C0801"/>
    <w:rsid w:val="005C08F9"/>
    <w:rsid w:val="005C0A58"/>
    <w:rsid w:val="005C0A7F"/>
    <w:rsid w:val="005C0C97"/>
    <w:rsid w:val="005C110E"/>
    <w:rsid w:val="005C13B5"/>
    <w:rsid w:val="005C1410"/>
    <w:rsid w:val="005C152F"/>
    <w:rsid w:val="005C16A8"/>
    <w:rsid w:val="005C1780"/>
    <w:rsid w:val="005C19A9"/>
    <w:rsid w:val="005C1A47"/>
    <w:rsid w:val="005C1C31"/>
    <w:rsid w:val="005C1DB5"/>
    <w:rsid w:val="005C209A"/>
    <w:rsid w:val="005C23BE"/>
    <w:rsid w:val="005C23DE"/>
    <w:rsid w:val="005C240C"/>
    <w:rsid w:val="005C2429"/>
    <w:rsid w:val="005C250B"/>
    <w:rsid w:val="005C2604"/>
    <w:rsid w:val="005C26C5"/>
    <w:rsid w:val="005C2758"/>
    <w:rsid w:val="005C2861"/>
    <w:rsid w:val="005C289E"/>
    <w:rsid w:val="005C29C2"/>
    <w:rsid w:val="005C2C43"/>
    <w:rsid w:val="005C2D72"/>
    <w:rsid w:val="005C31B3"/>
    <w:rsid w:val="005C35F1"/>
    <w:rsid w:val="005C36A5"/>
    <w:rsid w:val="005C3720"/>
    <w:rsid w:val="005C3728"/>
    <w:rsid w:val="005C3999"/>
    <w:rsid w:val="005C3B40"/>
    <w:rsid w:val="005C3DC9"/>
    <w:rsid w:val="005C3E14"/>
    <w:rsid w:val="005C3E4B"/>
    <w:rsid w:val="005C3EE5"/>
    <w:rsid w:val="005C4101"/>
    <w:rsid w:val="005C4386"/>
    <w:rsid w:val="005C44C9"/>
    <w:rsid w:val="005C469C"/>
    <w:rsid w:val="005C48EC"/>
    <w:rsid w:val="005C4A9E"/>
    <w:rsid w:val="005C4E00"/>
    <w:rsid w:val="005C4E29"/>
    <w:rsid w:val="005C4EAF"/>
    <w:rsid w:val="005C4F5A"/>
    <w:rsid w:val="005C528E"/>
    <w:rsid w:val="005C5439"/>
    <w:rsid w:val="005C5759"/>
    <w:rsid w:val="005C5782"/>
    <w:rsid w:val="005C5851"/>
    <w:rsid w:val="005C5892"/>
    <w:rsid w:val="005C596D"/>
    <w:rsid w:val="005C5A34"/>
    <w:rsid w:val="005C5AC5"/>
    <w:rsid w:val="005C5AD7"/>
    <w:rsid w:val="005C5BA1"/>
    <w:rsid w:val="005C5D09"/>
    <w:rsid w:val="005C5D77"/>
    <w:rsid w:val="005C5F9B"/>
    <w:rsid w:val="005C6727"/>
    <w:rsid w:val="005C6C23"/>
    <w:rsid w:val="005C6C31"/>
    <w:rsid w:val="005C6D45"/>
    <w:rsid w:val="005C6F4C"/>
    <w:rsid w:val="005C6FE1"/>
    <w:rsid w:val="005C7130"/>
    <w:rsid w:val="005C74D5"/>
    <w:rsid w:val="005C7740"/>
    <w:rsid w:val="005C7ACB"/>
    <w:rsid w:val="005C7BC7"/>
    <w:rsid w:val="005C7D1A"/>
    <w:rsid w:val="005C7E12"/>
    <w:rsid w:val="005D004E"/>
    <w:rsid w:val="005D01E9"/>
    <w:rsid w:val="005D0509"/>
    <w:rsid w:val="005D093C"/>
    <w:rsid w:val="005D0BBC"/>
    <w:rsid w:val="005D0BC6"/>
    <w:rsid w:val="005D0D28"/>
    <w:rsid w:val="005D0D8D"/>
    <w:rsid w:val="005D11D8"/>
    <w:rsid w:val="005D1295"/>
    <w:rsid w:val="005D13B5"/>
    <w:rsid w:val="005D141D"/>
    <w:rsid w:val="005D1708"/>
    <w:rsid w:val="005D178D"/>
    <w:rsid w:val="005D17CD"/>
    <w:rsid w:val="005D18D9"/>
    <w:rsid w:val="005D1BCE"/>
    <w:rsid w:val="005D1D7C"/>
    <w:rsid w:val="005D20FE"/>
    <w:rsid w:val="005D2130"/>
    <w:rsid w:val="005D2792"/>
    <w:rsid w:val="005D293F"/>
    <w:rsid w:val="005D2C2C"/>
    <w:rsid w:val="005D2E40"/>
    <w:rsid w:val="005D2F96"/>
    <w:rsid w:val="005D3091"/>
    <w:rsid w:val="005D3197"/>
    <w:rsid w:val="005D323C"/>
    <w:rsid w:val="005D3263"/>
    <w:rsid w:val="005D3403"/>
    <w:rsid w:val="005D3598"/>
    <w:rsid w:val="005D366E"/>
    <w:rsid w:val="005D36C9"/>
    <w:rsid w:val="005D38A9"/>
    <w:rsid w:val="005D3ADD"/>
    <w:rsid w:val="005D3BEA"/>
    <w:rsid w:val="005D3C63"/>
    <w:rsid w:val="005D3CA2"/>
    <w:rsid w:val="005D3CB4"/>
    <w:rsid w:val="005D3CDB"/>
    <w:rsid w:val="005D40EE"/>
    <w:rsid w:val="005D40F2"/>
    <w:rsid w:val="005D42CD"/>
    <w:rsid w:val="005D42DC"/>
    <w:rsid w:val="005D4312"/>
    <w:rsid w:val="005D4389"/>
    <w:rsid w:val="005D43D1"/>
    <w:rsid w:val="005D43D6"/>
    <w:rsid w:val="005D45F4"/>
    <w:rsid w:val="005D4776"/>
    <w:rsid w:val="005D47E5"/>
    <w:rsid w:val="005D487A"/>
    <w:rsid w:val="005D4980"/>
    <w:rsid w:val="005D49EA"/>
    <w:rsid w:val="005D4A3C"/>
    <w:rsid w:val="005D4CA1"/>
    <w:rsid w:val="005D4DF4"/>
    <w:rsid w:val="005D4E27"/>
    <w:rsid w:val="005D4E9E"/>
    <w:rsid w:val="005D501C"/>
    <w:rsid w:val="005D550E"/>
    <w:rsid w:val="005D5512"/>
    <w:rsid w:val="005D55D3"/>
    <w:rsid w:val="005D589B"/>
    <w:rsid w:val="005D5A0D"/>
    <w:rsid w:val="005D5B61"/>
    <w:rsid w:val="005D5CFA"/>
    <w:rsid w:val="005D5D55"/>
    <w:rsid w:val="005D5DD4"/>
    <w:rsid w:val="005D5E8C"/>
    <w:rsid w:val="005D603C"/>
    <w:rsid w:val="005D60D1"/>
    <w:rsid w:val="005D60D5"/>
    <w:rsid w:val="005D6279"/>
    <w:rsid w:val="005D63D1"/>
    <w:rsid w:val="005D648A"/>
    <w:rsid w:val="005D6648"/>
    <w:rsid w:val="005D6674"/>
    <w:rsid w:val="005D67A9"/>
    <w:rsid w:val="005D6A05"/>
    <w:rsid w:val="005D6BC4"/>
    <w:rsid w:val="005D6D22"/>
    <w:rsid w:val="005D710B"/>
    <w:rsid w:val="005D74D0"/>
    <w:rsid w:val="005D756B"/>
    <w:rsid w:val="005D7684"/>
    <w:rsid w:val="005D77DA"/>
    <w:rsid w:val="005D7AA2"/>
    <w:rsid w:val="005D7AEB"/>
    <w:rsid w:val="005D7E1A"/>
    <w:rsid w:val="005D7E89"/>
    <w:rsid w:val="005E0053"/>
    <w:rsid w:val="005E0092"/>
    <w:rsid w:val="005E0148"/>
    <w:rsid w:val="005E0242"/>
    <w:rsid w:val="005E0477"/>
    <w:rsid w:val="005E04B3"/>
    <w:rsid w:val="005E0690"/>
    <w:rsid w:val="005E071D"/>
    <w:rsid w:val="005E075F"/>
    <w:rsid w:val="005E08D6"/>
    <w:rsid w:val="005E0BF1"/>
    <w:rsid w:val="005E0FF8"/>
    <w:rsid w:val="005E104F"/>
    <w:rsid w:val="005E1158"/>
    <w:rsid w:val="005E11E1"/>
    <w:rsid w:val="005E1207"/>
    <w:rsid w:val="005E1917"/>
    <w:rsid w:val="005E19F4"/>
    <w:rsid w:val="005E1D0C"/>
    <w:rsid w:val="005E1D9E"/>
    <w:rsid w:val="005E1EE1"/>
    <w:rsid w:val="005E1F85"/>
    <w:rsid w:val="005E23E4"/>
    <w:rsid w:val="005E2486"/>
    <w:rsid w:val="005E25F9"/>
    <w:rsid w:val="005E2622"/>
    <w:rsid w:val="005E2778"/>
    <w:rsid w:val="005E28EC"/>
    <w:rsid w:val="005E32C6"/>
    <w:rsid w:val="005E3441"/>
    <w:rsid w:val="005E3501"/>
    <w:rsid w:val="005E351A"/>
    <w:rsid w:val="005E3522"/>
    <w:rsid w:val="005E37B4"/>
    <w:rsid w:val="005E3982"/>
    <w:rsid w:val="005E3AD4"/>
    <w:rsid w:val="005E3C33"/>
    <w:rsid w:val="005E3D8B"/>
    <w:rsid w:val="005E3DF5"/>
    <w:rsid w:val="005E40C2"/>
    <w:rsid w:val="005E40E4"/>
    <w:rsid w:val="005E43A2"/>
    <w:rsid w:val="005E441C"/>
    <w:rsid w:val="005E444E"/>
    <w:rsid w:val="005E474C"/>
    <w:rsid w:val="005E47F4"/>
    <w:rsid w:val="005E4AD7"/>
    <w:rsid w:val="005E4FB9"/>
    <w:rsid w:val="005E5001"/>
    <w:rsid w:val="005E511A"/>
    <w:rsid w:val="005E5330"/>
    <w:rsid w:val="005E536A"/>
    <w:rsid w:val="005E5644"/>
    <w:rsid w:val="005E5745"/>
    <w:rsid w:val="005E5A14"/>
    <w:rsid w:val="005E5B1C"/>
    <w:rsid w:val="005E5C26"/>
    <w:rsid w:val="005E5CBE"/>
    <w:rsid w:val="005E644E"/>
    <w:rsid w:val="005E6465"/>
    <w:rsid w:val="005E666F"/>
    <w:rsid w:val="005E66C6"/>
    <w:rsid w:val="005E67DA"/>
    <w:rsid w:val="005E6993"/>
    <w:rsid w:val="005E69D8"/>
    <w:rsid w:val="005E6AF1"/>
    <w:rsid w:val="005E6B58"/>
    <w:rsid w:val="005E6C59"/>
    <w:rsid w:val="005E6CE7"/>
    <w:rsid w:val="005E6D71"/>
    <w:rsid w:val="005E7284"/>
    <w:rsid w:val="005E765A"/>
    <w:rsid w:val="005E7712"/>
    <w:rsid w:val="005E77CC"/>
    <w:rsid w:val="005E7825"/>
    <w:rsid w:val="005E790B"/>
    <w:rsid w:val="005E7A9E"/>
    <w:rsid w:val="005E7AA9"/>
    <w:rsid w:val="005E7B67"/>
    <w:rsid w:val="005E7B9E"/>
    <w:rsid w:val="005E7C2F"/>
    <w:rsid w:val="005E7E85"/>
    <w:rsid w:val="005E7F1C"/>
    <w:rsid w:val="005E7FEC"/>
    <w:rsid w:val="005F0031"/>
    <w:rsid w:val="005F01A2"/>
    <w:rsid w:val="005F0245"/>
    <w:rsid w:val="005F036C"/>
    <w:rsid w:val="005F046F"/>
    <w:rsid w:val="005F096F"/>
    <w:rsid w:val="005F0B60"/>
    <w:rsid w:val="005F0CD2"/>
    <w:rsid w:val="005F0E80"/>
    <w:rsid w:val="005F1278"/>
    <w:rsid w:val="005F12C5"/>
    <w:rsid w:val="005F1408"/>
    <w:rsid w:val="005F15A2"/>
    <w:rsid w:val="005F1B8A"/>
    <w:rsid w:val="005F1B95"/>
    <w:rsid w:val="005F2059"/>
    <w:rsid w:val="005F21A6"/>
    <w:rsid w:val="005F2378"/>
    <w:rsid w:val="005F2552"/>
    <w:rsid w:val="005F2623"/>
    <w:rsid w:val="005F2883"/>
    <w:rsid w:val="005F28F1"/>
    <w:rsid w:val="005F2916"/>
    <w:rsid w:val="005F29BC"/>
    <w:rsid w:val="005F2C3E"/>
    <w:rsid w:val="005F2D33"/>
    <w:rsid w:val="005F3552"/>
    <w:rsid w:val="005F36BF"/>
    <w:rsid w:val="005F380E"/>
    <w:rsid w:val="005F390C"/>
    <w:rsid w:val="005F3A85"/>
    <w:rsid w:val="005F3BE6"/>
    <w:rsid w:val="005F3D7B"/>
    <w:rsid w:val="005F3EE2"/>
    <w:rsid w:val="005F3FB6"/>
    <w:rsid w:val="005F3FBD"/>
    <w:rsid w:val="005F4023"/>
    <w:rsid w:val="005F43F7"/>
    <w:rsid w:val="005F4AAB"/>
    <w:rsid w:val="005F4ACD"/>
    <w:rsid w:val="005F4AE5"/>
    <w:rsid w:val="005F4B11"/>
    <w:rsid w:val="005F4D88"/>
    <w:rsid w:val="005F5051"/>
    <w:rsid w:val="005F50D8"/>
    <w:rsid w:val="005F525A"/>
    <w:rsid w:val="005F542A"/>
    <w:rsid w:val="005F546A"/>
    <w:rsid w:val="005F5473"/>
    <w:rsid w:val="005F5498"/>
    <w:rsid w:val="005F54A3"/>
    <w:rsid w:val="005F54F5"/>
    <w:rsid w:val="005F57A0"/>
    <w:rsid w:val="005F5809"/>
    <w:rsid w:val="005F59F2"/>
    <w:rsid w:val="005F5A02"/>
    <w:rsid w:val="005F5A59"/>
    <w:rsid w:val="005F5CB6"/>
    <w:rsid w:val="005F5E17"/>
    <w:rsid w:val="005F62D8"/>
    <w:rsid w:val="005F63DD"/>
    <w:rsid w:val="005F6528"/>
    <w:rsid w:val="005F6705"/>
    <w:rsid w:val="005F6781"/>
    <w:rsid w:val="005F68FD"/>
    <w:rsid w:val="005F6B66"/>
    <w:rsid w:val="005F6CC0"/>
    <w:rsid w:val="005F6DF6"/>
    <w:rsid w:val="005F7127"/>
    <w:rsid w:val="005F7300"/>
    <w:rsid w:val="005F7320"/>
    <w:rsid w:val="005F74C0"/>
    <w:rsid w:val="005F7697"/>
    <w:rsid w:val="005F7A37"/>
    <w:rsid w:val="005F7C0C"/>
    <w:rsid w:val="005F7CAE"/>
    <w:rsid w:val="005F7CFB"/>
    <w:rsid w:val="005F7DD0"/>
    <w:rsid w:val="005F7F6E"/>
    <w:rsid w:val="0060003B"/>
    <w:rsid w:val="0060028C"/>
    <w:rsid w:val="006002B1"/>
    <w:rsid w:val="006007B5"/>
    <w:rsid w:val="00600868"/>
    <w:rsid w:val="00600965"/>
    <w:rsid w:val="00600976"/>
    <w:rsid w:val="00600A85"/>
    <w:rsid w:val="00600B29"/>
    <w:rsid w:val="00600B90"/>
    <w:rsid w:val="00600CB9"/>
    <w:rsid w:val="00600FA6"/>
    <w:rsid w:val="00600FD6"/>
    <w:rsid w:val="0060116A"/>
    <w:rsid w:val="006011BA"/>
    <w:rsid w:val="0060136D"/>
    <w:rsid w:val="006014D3"/>
    <w:rsid w:val="00601649"/>
    <w:rsid w:val="0060177D"/>
    <w:rsid w:val="00601792"/>
    <w:rsid w:val="006017AE"/>
    <w:rsid w:val="00601A01"/>
    <w:rsid w:val="00601A19"/>
    <w:rsid w:val="00601F74"/>
    <w:rsid w:val="006022D7"/>
    <w:rsid w:val="006024FA"/>
    <w:rsid w:val="006025CE"/>
    <w:rsid w:val="00602731"/>
    <w:rsid w:val="0060284A"/>
    <w:rsid w:val="006028AB"/>
    <w:rsid w:val="0060297C"/>
    <w:rsid w:val="00602A9A"/>
    <w:rsid w:val="00602BF6"/>
    <w:rsid w:val="00603060"/>
    <w:rsid w:val="0060320D"/>
    <w:rsid w:val="00603270"/>
    <w:rsid w:val="00603293"/>
    <w:rsid w:val="00603626"/>
    <w:rsid w:val="006038B5"/>
    <w:rsid w:val="006038BD"/>
    <w:rsid w:val="00603961"/>
    <w:rsid w:val="00603CA1"/>
    <w:rsid w:val="0060418D"/>
    <w:rsid w:val="00604262"/>
    <w:rsid w:val="006043F7"/>
    <w:rsid w:val="00604705"/>
    <w:rsid w:val="00604792"/>
    <w:rsid w:val="006047A1"/>
    <w:rsid w:val="00604B04"/>
    <w:rsid w:val="00604CFD"/>
    <w:rsid w:val="006050E2"/>
    <w:rsid w:val="00605199"/>
    <w:rsid w:val="00605253"/>
    <w:rsid w:val="0060541D"/>
    <w:rsid w:val="006058FF"/>
    <w:rsid w:val="00605B1A"/>
    <w:rsid w:val="00605B5D"/>
    <w:rsid w:val="00605B70"/>
    <w:rsid w:val="00605D3C"/>
    <w:rsid w:val="00605D9F"/>
    <w:rsid w:val="00605DD9"/>
    <w:rsid w:val="00605E39"/>
    <w:rsid w:val="0060609E"/>
    <w:rsid w:val="006061BD"/>
    <w:rsid w:val="006063B6"/>
    <w:rsid w:val="006064EA"/>
    <w:rsid w:val="00606676"/>
    <w:rsid w:val="00606706"/>
    <w:rsid w:val="00606B1C"/>
    <w:rsid w:val="00606C49"/>
    <w:rsid w:val="00606C6B"/>
    <w:rsid w:val="00606F12"/>
    <w:rsid w:val="00606FA8"/>
    <w:rsid w:val="00607089"/>
    <w:rsid w:val="00607207"/>
    <w:rsid w:val="0060738F"/>
    <w:rsid w:val="006074A1"/>
    <w:rsid w:val="006074C0"/>
    <w:rsid w:val="00607C34"/>
    <w:rsid w:val="00607DFC"/>
    <w:rsid w:val="00607EF7"/>
    <w:rsid w:val="00607F1C"/>
    <w:rsid w:val="006101C8"/>
    <w:rsid w:val="0061024F"/>
    <w:rsid w:val="0061027B"/>
    <w:rsid w:val="00610329"/>
    <w:rsid w:val="0061038E"/>
    <w:rsid w:val="006103AC"/>
    <w:rsid w:val="006103B2"/>
    <w:rsid w:val="006105FF"/>
    <w:rsid w:val="00610605"/>
    <w:rsid w:val="006106BE"/>
    <w:rsid w:val="006106F0"/>
    <w:rsid w:val="0061092E"/>
    <w:rsid w:val="00610B3A"/>
    <w:rsid w:val="00610C7A"/>
    <w:rsid w:val="00610D76"/>
    <w:rsid w:val="00610DF6"/>
    <w:rsid w:val="006111DF"/>
    <w:rsid w:val="0061177A"/>
    <w:rsid w:val="00611AD4"/>
    <w:rsid w:val="00611B91"/>
    <w:rsid w:val="00611CE9"/>
    <w:rsid w:val="00611D1B"/>
    <w:rsid w:val="00611EFD"/>
    <w:rsid w:val="00611F62"/>
    <w:rsid w:val="006123D1"/>
    <w:rsid w:val="006126B6"/>
    <w:rsid w:val="00612760"/>
    <w:rsid w:val="00612784"/>
    <w:rsid w:val="00612ABF"/>
    <w:rsid w:val="00612D76"/>
    <w:rsid w:val="00612E59"/>
    <w:rsid w:val="00612E90"/>
    <w:rsid w:val="00612FB3"/>
    <w:rsid w:val="00613115"/>
    <w:rsid w:val="0061313F"/>
    <w:rsid w:val="00613239"/>
    <w:rsid w:val="006132CB"/>
    <w:rsid w:val="006134EF"/>
    <w:rsid w:val="00613593"/>
    <w:rsid w:val="0061367E"/>
    <w:rsid w:val="006136CE"/>
    <w:rsid w:val="006139B0"/>
    <w:rsid w:val="00613A54"/>
    <w:rsid w:val="00613EFD"/>
    <w:rsid w:val="00613F17"/>
    <w:rsid w:val="00614294"/>
    <w:rsid w:val="006142B3"/>
    <w:rsid w:val="00614637"/>
    <w:rsid w:val="006147ED"/>
    <w:rsid w:val="006148D5"/>
    <w:rsid w:val="006149BF"/>
    <w:rsid w:val="00614A30"/>
    <w:rsid w:val="00614A65"/>
    <w:rsid w:val="00614B38"/>
    <w:rsid w:val="00614C7A"/>
    <w:rsid w:val="00615108"/>
    <w:rsid w:val="0061522B"/>
    <w:rsid w:val="006154D2"/>
    <w:rsid w:val="00615505"/>
    <w:rsid w:val="0061560D"/>
    <w:rsid w:val="00615760"/>
    <w:rsid w:val="006157A5"/>
    <w:rsid w:val="00615B6F"/>
    <w:rsid w:val="0061611C"/>
    <w:rsid w:val="0061611E"/>
    <w:rsid w:val="0061618C"/>
    <w:rsid w:val="006161EA"/>
    <w:rsid w:val="0061621B"/>
    <w:rsid w:val="0061632B"/>
    <w:rsid w:val="0061659F"/>
    <w:rsid w:val="00616680"/>
    <w:rsid w:val="006169BE"/>
    <w:rsid w:val="00616A83"/>
    <w:rsid w:val="00616C15"/>
    <w:rsid w:val="00616D29"/>
    <w:rsid w:val="00617234"/>
    <w:rsid w:val="00617628"/>
    <w:rsid w:val="006176AA"/>
    <w:rsid w:val="0061774A"/>
    <w:rsid w:val="0061775D"/>
    <w:rsid w:val="00617879"/>
    <w:rsid w:val="00617A69"/>
    <w:rsid w:val="00617C3E"/>
    <w:rsid w:val="00617CAD"/>
    <w:rsid w:val="00617ED5"/>
    <w:rsid w:val="00617F13"/>
    <w:rsid w:val="00620465"/>
    <w:rsid w:val="006205D1"/>
    <w:rsid w:val="0062083C"/>
    <w:rsid w:val="0062092D"/>
    <w:rsid w:val="00620B3F"/>
    <w:rsid w:val="00620EEA"/>
    <w:rsid w:val="00620F23"/>
    <w:rsid w:val="006210E4"/>
    <w:rsid w:val="0062114F"/>
    <w:rsid w:val="0062119B"/>
    <w:rsid w:val="00621208"/>
    <w:rsid w:val="0062129B"/>
    <w:rsid w:val="00621352"/>
    <w:rsid w:val="006213C0"/>
    <w:rsid w:val="006215A9"/>
    <w:rsid w:val="0062172D"/>
    <w:rsid w:val="00621781"/>
    <w:rsid w:val="006217CB"/>
    <w:rsid w:val="006219FA"/>
    <w:rsid w:val="00621B33"/>
    <w:rsid w:val="00621CDA"/>
    <w:rsid w:val="00621CE1"/>
    <w:rsid w:val="00622070"/>
    <w:rsid w:val="006222B1"/>
    <w:rsid w:val="0062238A"/>
    <w:rsid w:val="006225E4"/>
    <w:rsid w:val="006226D5"/>
    <w:rsid w:val="00622961"/>
    <w:rsid w:val="0062297A"/>
    <w:rsid w:val="006229F0"/>
    <w:rsid w:val="00622BF6"/>
    <w:rsid w:val="00622D86"/>
    <w:rsid w:val="00622FA4"/>
    <w:rsid w:val="0062332A"/>
    <w:rsid w:val="00623487"/>
    <w:rsid w:val="00623808"/>
    <w:rsid w:val="0062397B"/>
    <w:rsid w:val="00623997"/>
    <w:rsid w:val="00623AE8"/>
    <w:rsid w:val="00624028"/>
    <w:rsid w:val="006240C6"/>
    <w:rsid w:val="0062414D"/>
    <w:rsid w:val="00624289"/>
    <w:rsid w:val="00624305"/>
    <w:rsid w:val="00624355"/>
    <w:rsid w:val="00624585"/>
    <w:rsid w:val="006247F3"/>
    <w:rsid w:val="006247FF"/>
    <w:rsid w:val="006248AC"/>
    <w:rsid w:val="006248E6"/>
    <w:rsid w:val="00624B17"/>
    <w:rsid w:val="00624B92"/>
    <w:rsid w:val="00624C5E"/>
    <w:rsid w:val="00624C61"/>
    <w:rsid w:val="00624EFC"/>
    <w:rsid w:val="006250A2"/>
    <w:rsid w:val="006253EE"/>
    <w:rsid w:val="00625894"/>
    <w:rsid w:val="00625BFD"/>
    <w:rsid w:val="00625CEA"/>
    <w:rsid w:val="00625E53"/>
    <w:rsid w:val="0062600B"/>
    <w:rsid w:val="006260DC"/>
    <w:rsid w:val="006265AF"/>
    <w:rsid w:val="0062680B"/>
    <w:rsid w:val="0062684F"/>
    <w:rsid w:val="0062690E"/>
    <w:rsid w:val="00626946"/>
    <w:rsid w:val="00626B59"/>
    <w:rsid w:val="00626BC2"/>
    <w:rsid w:val="00626F25"/>
    <w:rsid w:val="00626FD8"/>
    <w:rsid w:val="00627072"/>
    <w:rsid w:val="006274D7"/>
    <w:rsid w:val="006274E3"/>
    <w:rsid w:val="00627603"/>
    <w:rsid w:val="00627B61"/>
    <w:rsid w:val="00627C5A"/>
    <w:rsid w:val="00627CC1"/>
    <w:rsid w:val="00627D2F"/>
    <w:rsid w:val="00627F39"/>
    <w:rsid w:val="00627F9A"/>
    <w:rsid w:val="00627FA1"/>
    <w:rsid w:val="0063032E"/>
    <w:rsid w:val="00630331"/>
    <w:rsid w:val="0063047E"/>
    <w:rsid w:val="006304AD"/>
    <w:rsid w:val="006304CC"/>
    <w:rsid w:val="006305C0"/>
    <w:rsid w:val="00630738"/>
    <w:rsid w:val="006307AD"/>
    <w:rsid w:val="0063085A"/>
    <w:rsid w:val="0063092D"/>
    <w:rsid w:val="00630EF6"/>
    <w:rsid w:val="0063109D"/>
    <w:rsid w:val="00631195"/>
    <w:rsid w:val="0063134C"/>
    <w:rsid w:val="006315E0"/>
    <w:rsid w:val="006315EF"/>
    <w:rsid w:val="00631B01"/>
    <w:rsid w:val="00631B5F"/>
    <w:rsid w:val="00631B65"/>
    <w:rsid w:val="0063211C"/>
    <w:rsid w:val="00632363"/>
    <w:rsid w:val="00632388"/>
    <w:rsid w:val="006323B1"/>
    <w:rsid w:val="006325FC"/>
    <w:rsid w:val="0063287F"/>
    <w:rsid w:val="00632CD2"/>
    <w:rsid w:val="00632D96"/>
    <w:rsid w:val="00632EDD"/>
    <w:rsid w:val="00632FE2"/>
    <w:rsid w:val="006330C3"/>
    <w:rsid w:val="006330D2"/>
    <w:rsid w:val="00633168"/>
    <w:rsid w:val="00633195"/>
    <w:rsid w:val="006333D3"/>
    <w:rsid w:val="00633737"/>
    <w:rsid w:val="00633837"/>
    <w:rsid w:val="006339F3"/>
    <w:rsid w:val="00633A1A"/>
    <w:rsid w:val="00633D4B"/>
    <w:rsid w:val="00633EE3"/>
    <w:rsid w:val="00633F83"/>
    <w:rsid w:val="00634253"/>
    <w:rsid w:val="006342D9"/>
    <w:rsid w:val="00634574"/>
    <w:rsid w:val="0063463A"/>
    <w:rsid w:val="00634812"/>
    <w:rsid w:val="00634882"/>
    <w:rsid w:val="00634925"/>
    <w:rsid w:val="00634CB3"/>
    <w:rsid w:val="00634E4C"/>
    <w:rsid w:val="0063508B"/>
    <w:rsid w:val="00635191"/>
    <w:rsid w:val="00635321"/>
    <w:rsid w:val="00635621"/>
    <w:rsid w:val="006356C6"/>
    <w:rsid w:val="006357BD"/>
    <w:rsid w:val="00635951"/>
    <w:rsid w:val="00635BDA"/>
    <w:rsid w:val="00635CFB"/>
    <w:rsid w:val="00635F3E"/>
    <w:rsid w:val="00635FB2"/>
    <w:rsid w:val="0063604E"/>
    <w:rsid w:val="00636189"/>
    <w:rsid w:val="006361A4"/>
    <w:rsid w:val="00636254"/>
    <w:rsid w:val="0063626B"/>
    <w:rsid w:val="0063626F"/>
    <w:rsid w:val="0063632C"/>
    <w:rsid w:val="006363F9"/>
    <w:rsid w:val="00636405"/>
    <w:rsid w:val="00636410"/>
    <w:rsid w:val="00636433"/>
    <w:rsid w:val="00636867"/>
    <w:rsid w:val="00636A12"/>
    <w:rsid w:val="00636B99"/>
    <w:rsid w:val="00636DDA"/>
    <w:rsid w:val="00636E79"/>
    <w:rsid w:val="00636EB7"/>
    <w:rsid w:val="00636F8C"/>
    <w:rsid w:val="006371F2"/>
    <w:rsid w:val="0063725A"/>
    <w:rsid w:val="0063740F"/>
    <w:rsid w:val="006374A1"/>
    <w:rsid w:val="0063751A"/>
    <w:rsid w:val="00637A2A"/>
    <w:rsid w:val="00637BB2"/>
    <w:rsid w:val="00637FBF"/>
    <w:rsid w:val="006400F7"/>
    <w:rsid w:val="0064014A"/>
    <w:rsid w:val="00640183"/>
    <w:rsid w:val="0064057D"/>
    <w:rsid w:val="0064072A"/>
    <w:rsid w:val="00640731"/>
    <w:rsid w:val="00640A41"/>
    <w:rsid w:val="00640AE2"/>
    <w:rsid w:val="00640C5A"/>
    <w:rsid w:val="00640DEA"/>
    <w:rsid w:val="00640E62"/>
    <w:rsid w:val="00640FD8"/>
    <w:rsid w:val="006416B3"/>
    <w:rsid w:val="006418A6"/>
    <w:rsid w:val="006418EC"/>
    <w:rsid w:val="00641972"/>
    <w:rsid w:val="00641D29"/>
    <w:rsid w:val="006423DD"/>
    <w:rsid w:val="0064269B"/>
    <w:rsid w:val="00642819"/>
    <w:rsid w:val="00642967"/>
    <w:rsid w:val="00643021"/>
    <w:rsid w:val="00643128"/>
    <w:rsid w:val="00643227"/>
    <w:rsid w:val="006432B8"/>
    <w:rsid w:val="00643372"/>
    <w:rsid w:val="00643546"/>
    <w:rsid w:val="0064367B"/>
    <w:rsid w:val="006436C1"/>
    <w:rsid w:val="006436CA"/>
    <w:rsid w:val="00643A1C"/>
    <w:rsid w:val="00643D1E"/>
    <w:rsid w:val="00643E15"/>
    <w:rsid w:val="0064405E"/>
    <w:rsid w:val="00644331"/>
    <w:rsid w:val="00644491"/>
    <w:rsid w:val="00644640"/>
    <w:rsid w:val="0064469A"/>
    <w:rsid w:val="0064469E"/>
    <w:rsid w:val="00644B1D"/>
    <w:rsid w:val="00644CF5"/>
    <w:rsid w:val="00644E08"/>
    <w:rsid w:val="006451A5"/>
    <w:rsid w:val="0064525B"/>
    <w:rsid w:val="0064529C"/>
    <w:rsid w:val="0064565F"/>
    <w:rsid w:val="00645C7E"/>
    <w:rsid w:val="00645F06"/>
    <w:rsid w:val="00645F1A"/>
    <w:rsid w:val="00646115"/>
    <w:rsid w:val="006463BD"/>
    <w:rsid w:val="006464C5"/>
    <w:rsid w:val="006464CD"/>
    <w:rsid w:val="00646553"/>
    <w:rsid w:val="00646875"/>
    <w:rsid w:val="00646968"/>
    <w:rsid w:val="00646BF7"/>
    <w:rsid w:val="00646E60"/>
    <w:rsid w:val="00646F99"/>
    <w:rsid w:val="006472CB"/>
    <w:rsid w:val="0064730C"/>
    <w:rsid w:val="006473F4"/>
    <w:rsid w:val="00647420"/>
    <w:rsid w:val="00647695"/>
    <w:rsid w:val="006476FA"/>
    <w:rsid w:val="006478F0"/>
    <w:rsid w:val="00647984"/>
    <w:rsid w:val="00647AE8"/>
    <w:rsid w:val="00647BAA"/>
    <w:rsid w:val="00647D00"/>
    <w:rsid w:val="00647FAD"/>
    <w:rsid w:val="00650028"/>
    <w:rsid w:val="006501B5"/>
    <w:rsid w:val="00650680"/>
    <w:rsid w:val="00650709"/>
    <w:rsid w:val="00650739"/>
    <w:rsid w:val="0065080B"/>
    <w:rsid w:val="00650945"/>
    <w:rsid w:val="00650C5F"/>
    <w:rsid w:val="00650D1A"/>
    <w:rsid w:val="00650D85"/>
    <w:rsid w:val="00650DB6"/>
    <w:rsid w:val="00650E51"/>
    <w:rsid w:val="0065117D"/>
    <w:rsid w:val="0065120C"/>
    <w:rsid w:val="006513AA"/>
    <w:rsid w:val="006514C5"/>
    <w:rsid w:val="00651B51"/>
    <w:rsid w:val="00651C12"/>
    <w:rsid w:val="00651D0E"/>
    <w:rsid w:val="00651E0E"/>
    <w:rsid w:val="00651E82"/>
    <w:rsid w:val="00652647"/>
    <w:rsid w:val="006526D9"/>
    <w:rsid w:val="00652898"/>
    <w:rsid w:val="006528C9"/>
    <w:rsid w:val="00652926"/>
    <w:rsid w:val="00652C52"/>
    <w:rsid w:val="00652C95"/>
    <w:rsid w:val="00652D98"/>
    <w:rsid w:val="006530B5"/>
    <w:rsid w:val="0065311D"/>
    <w:rsid w:val="00653120"/>
    <w:rsid w:val="00653262"/>
    <w:rsid w:val="0065332C"/>
    <w:rsid w:val="006533F7"/>
    <w:rsid w:val="00653506"/>
    <w:rsid w:val="00653599"/>
    <w:rsid w:val="00653621"/>
    <w:rsid w:val="006536A3"/>
    <w:rsid w:val="00653712"/>
    <w:rsid w:val="006537A4"/>
    <w:rsid w:val="006537C8"/>
    <w:rsid w:val="00653806"/>
    <w:rsid w:val="00653820"/>
    <w:rsid w:val="0065390E"/>
    <w:rsid w:val="00653A57"/>
    <w:rsid w:val="00653B3C"/>
    <w:rsid w:val="00653C6B"/>
    <w:rsid w:val="00653C7D"/>
    <w:rsid w:val="00653F9A"/>
    <w:rsid w:val="00653FBA"/>
    <w:rsid w:val="0065424A"/>
    <w:rsid w:val="006543D2"/>
    <w:rsid w:val="00654656"/>
    <w:rsid w:val="00654877"/>
    <w:rsid w:val="0065488B"/>
    <w:rsid w:val="006548D1"/>
    <w:rsid w:val="00654A37"/>
    <w:rsid w:val="00654B5E"/>
    <w:rsid w:val="00654C26"/>
    <w:rsid w:val="00654CB8"/>
    <w:rsid w:val="00654EA4"/>
    <w:rsid w:val="00654F0B"/>
    <w:rsid w:val="00654F83"/>
    <w:rsid w:val="0065501A"/>
    <w:rsid w:val="006553F7"/>
    <w:rsid w:val="006554F7"/>
    <w:rsid w:val="006555F9"/>
    <w:rsid w:val="006559F7"/>
    <w:rsid w:val="00655B07"/>
    <w:rsid w:val="00655D80"/>
    <w:rsid w:val="00655F2F"/>
    <w:rsid w:val="00655FAF"/>
    <w:rsid w:val="00656203"/>
    <w:rsid w:val="0065622D"/>
    <w:rsid w:val="006562F1"/>
    <w:rsid w:val="006563DD"/>
    <w:rsid w:val="00656555"/>
    <w:rsid w:val="006565DE"/>
    <w:rsid w:val="006565FD"/>
    <w:rsid w:val="006566B9"/>
    <w:rsid w:val="006566BE"/>
    <w:rsid w:val="0065670D"/>
    <w:rsid w:val="0065683D"/>
    <w:rsid w:val="0065694E"/>
    <w:rsid w:val="00656B67"/>
    <w:rsid w:val="00656B8C"/>
    <w:rsid w:val="00656ED3"/>
    <w:rsid w:val="00656F12"/>
    <w:rsid w:val="00657033"/>
    <w:rsid w:val="0065721D"/>
    <w:rsid w:val="006573D1"/>
    <w:rsid w:val="0065762F"/>
    <w:rsid w:val="00657965"/>
    <w:rsid w:val="00657CD5"/>
    <w:rsid w:val="00657D58"/>
    <w:rsid w:val="00657DB6"/>
    <w:rsid w:val="0066059D"/>
    <w:rsid w:val="00660834"/>
    <w:rsid w:val="00660A5B"/>
    <w:rsid w:val="00660A8A"/>
    <w:rsid w:val="00660AA6"/>
    <w:rsid w:val="00660DBC"/>
    <w:rsid w:val="00660FE2"/>
    <w:rsid w:val="00660FF3"/>
    <w:rsid w:val="0066103E"/>
    <w:rsid w:val="0066116C"/>
    <w:rsid w:val="0066130A"/>
    <w:rsid w:val="0066133C"/>
    <w:rsid w:val="00661616"/>
    <w:rsid w:val="00661715"/>
    <w:rsid w:val="00661744"/>
    <w:rsid w:val="00661811"/>
    <w:rsid w:val="0066181B"/>
    <w:rsid w:val="00661A05"/>
    <w:rsid w:val="00661B06"/>
    <w:rsid w:val="006621C3"/>
    <w:rsid w:val="00662620"/>
    <w:rsid w:val="0066271F"/>
    <w:rsid w:val="006628C0"/>
    <w:rsid w:val="00662A62"/>
    <w:rsid w:val="00662AAC"/>
    <w:rsid w:val="00662ACF"/>
    <w:rsid w:val="00662E12"/>
    <w:rsid w:val="00662E8C"/>
    <w:rsid w:val="00662EC0"/>
    <w:rsid w:val="00662ECE"/>
    <w:rsid w:val="006630E8"/>
    <w:rsid w:val="00663BB3"/>
    <w:rsid w:val="00663C81"/>
    <w:rsid w:val="00663D01"/>
    <w:rsid w:val="00663E16"/>
    <w:rsid w:val="00663F7A"/>
    <w:rsid w:val="00663F8C"/>
    <w:rsid w:val="00664040"/>
    <w:rsid w:val="006642A3"/>
    <w:rsid w:val="006645DB"/>
    <w:rsid w:val="0066463C"/>
    <w:rsid w:val="00664797"/>
    <w:rsid w:val="0066490C"/>
    <w:rsid w:val="006649F0"/>
    <w:rsid w:val="00664AA1"/>
    <w:rsid w:val="00664D09"/>
    <w:rsid w:val="00664D34"/>
    <w:rsid w:val="006650AB"/>
    <w:rsid w:val="0066516A"/>
    <w:rsid w:val="006651BD"/>
    <w:rsid w:val="006651C8"/>
    <w:rsid w:val="00665378"/>
    <w:rsid w:val="00665404"/>
    <w:rsid w:val="00665494"/>
    <w:rsid w:val="006654A3"/>
    <w:rsid w:val="00665698"/>
    <w:rsid w:val="00665787"/>
    <w:rsid w:val="00665EB1"/>
    <w:rsid w:val="006661D9"/>
    <w:rsid w:val="0066637F"/>
    <w:rsid w:val="006665F0"/>
    <w:rsid w:val="00666646"/>
    <w:rsid w:val="00666665"/>
    <w:rsid w:val="00666947"/>
    <w:rsid w:val="00666A54"/>
    <w:rsid w:val="00666AD2"/>
    <w:rsid w:val="00666BEC"/>
    <w:rsid w:val="006673E8"/>
    <w:rsid w:val="00667494"/>
    <w:rsid w:val="00667523"/>
    <w:rsid w:val="0066778A"/>
    <w:rsid w:val="00670104"/>
    <w:rsid w:val="0067040F"/>
    <w:rsid w:val="006704D4"/>
    <w:rsid w:val="006705B3"/>
    <w:rsid w:val="00670639"/>
    <w:rsid w:val="006706B8"/>
    <w:rsid w:val="0067098E"/>
    <w:rsid w:val="00670ADF"/>
    <w:rsid w:val="00670CE2"/>
    <w:rsid w:val="00670D64"/>
    <w:rsid w:val="00670E41"/>
    <w:rsid w:val="00670F6F"/>
    <w:rsid w:val="006710E3"/>
    <w:rsid w:val="006712A3"/>
    <w:rsid w:val="00671374"/>
    <w:rsid w:val="006713F8"/>
    <w:rsid w:val="0067151B"/>
    <w:rsid w:val="006717B5"/>
    <w:rsid w:val="00671A73"/>
    <w:rsid w:val="00671A80"/>
    <w:rsid w:val="00671AFC"/>
    <w:rsid w:val="00671C57"/>
    <w:rsid w:val="00671DEE"/>
    <w:rsid w:val="00671E39"/>
    <w:rsid w:val="00671EC0"/>
    <w:rsid w:val="00672024"/>
    <w:rsid w:val="006720AC"/>
    <w:rsid w:val="006721DD"/>
    <w:rsid w:val="006722A7"/>
    <w:rsid w:val="006722F5"/>
    <w:rsid w:val="00672300"/>
    <w:rsid w:val="00672354"/>
    <w:rsid w:val="0067254F"/>
    <w:rsid w:val="0067269C"/>
    <w:rsid w:val="006726AA"/>
    <w:rsid w:val="0067273B"/>
    <w:rsid w:val="0067294E"/>
    <w:rsid w:val="00672A36"/>
    <w:rsid w:val="00672C64"/>
    <w:rsid w:val="00672D0E"/>
    <w:rsid w:val="00672DE8"/>
    <w:rsid w:val="00673022"/>
    <w:rsid w:val="006730A0"/>
    <w:rsid w:val="006735AC"/>
    <w:rsid w:val="006735AF"/>
    <w:rsid w:val="00673911"/>
    <w:rsid w:val="00673B1C"/>
    <w:rsid w:val="00673BEB"/>
    <w:rsid w:val="00673C60"/>
    <w:rsid w:val="00673CAB"/>
    <w:rsid w:val="0067443D"/>
    <w:rsid w:val="00674578"/>
    <w:rsid w:val="00674829"/>
    <w:rsid w:val="00674924"/>
    <w:rsid w:val="00674951"/>
    <w:rsid w:val="00674A67"/>
    <w:rsid w:val="00674C0B"/>
    <w:rsid w:val="00674F8D"/>
    <w:rsid w:val="00675332"/>
    <w:rsid w:val="006753F7"/>
    <w:rsid w:val="00675B40"/>
    <w:rsid w:val="00675DEE"/>
    <w:rsid w:val="00675F9A"/>
    <w:rsid w:val="006762FF"/>
    <w:rsid w:val="006763AA"/>
    <w:rsid w:val="00676589"/>
    <w:rsid w:val="00676623"/>
    <w:rsid w:val="00676770"/>
    <w:rsid w:val="00676951"/>
    <w:rsid w:val="006769C0"/>
    <w:rsid w:val="00676A06"/>
    <w:rsid w:val="00676EEF"/>
    <w:rsid w:val="00676F48"/>
    <w:rsid w:val="00677124"/>
    <w:rsid w:val="006771EE"/>
    <w:rsid w:val="0067737E"/>
    <w:rsid w:val="006773E7"/>
    <w:rsid w:val="00677708"/>
    <w:rsid w:val="0067770B"/>
    <w:rsid w:val="006777B1"/>
    <w:rsid w:val="00677879"/>
    <w:rsid w:val="006778B6"/>
    <w:rsid w:val="006779BD"/>
    <w:rsid w:val="00677BC8"/>
    <w:rsid w:val="00677E3F"/>
    <w:rsid w:val="00677EAA"/>
    <w:rsid w:val="006800D3"/>
    <w:rsid w:val="006800FB"/>
    <w:rsid w:val="0068014F"/>
    <w:rsid w:val="0068031A"/>
    <w:rsid w:val="00680393"/>
    <w:rsid w:val="00680A32"/>
    <w:rsid w:val="00680B45"/>
    <w:rsid w:val="00680B60"/>
    <w:rsid w:val="00680CC7"/>
    <w:rsid w:val="00680CEC"/>
    <w:rsid w:val="0068104E"/>
    <w:rsid w:val="006810D2"/>
    <w:rsid w:val="00681221"/>
    <w:rsid w:val="006812A6"/>
    <w:rsid w:val="006814D3"/>
    <w:rsid w:val="0068179F"/>
    <w:rsid w:val="00681B0D"/>
    <w:rsid w:val="00681C6E"/>
    <w:rsid w:val="00681E6F"/>
    <w:rsid w:val="0068207D"/>
    <w:rsid w:val="006820AD"/>
    <w:rsid w:val="006822C7"/>
    <w:rsid w:val="00682380"/>
    <w:rsid w:val="006823A6"/>
    <w:rsid w:val="006825EA"/>
    <w:rsid w:val="0068261E"/>
    <w:rsid w:val="0068269F"/>
    <w:rsid w:val="006826CA"/>
    <w:rsid w:val="0068283B"/>
    <w:rsid w:val="00682A5F"/>
    <w:rsid w:val="00682B1B"/>
    <w:rsid w:val="00682B8A"/>
    <w:rsid w:val="00682BA1"/>
    <w:rsid w:val="00683092"/>
    <w:rsid w:val="0068326A"/>
    <w:rsid w:val="006832B7"/>
    <w:rsid w:val="006832DB"/>
    <w:rsid w:val="006834C3"/>
    <w:rsid w:val="006835C5"/>
    <w:rsid w:val="00683713"/>
    <w:rsid w:val="00683774"/>
    <w:rsid w:val="00683811"/>
    <w:rsid w:val="00683BA2"/>
    <w:rsid w:val="00683EF7"/>
    <w:rsid w:val="006843DB"/>
    <w:rsid w:val="006845BB"/>
    <w:rsid w:val="00684618"/>
    <w:rsid w:val="0068487D"/>
    <w:rsid w:val="00684B6D"/>
    <w:rsid w:val="00684B77"/>
    <w:rsid w:val="00684D8D"/>
    <w:rsid w:val="006851E4"/>
    <w:rsid w:val="00685387"/>
    <w:rsid w:val="0068540C"/>
    <w:rsid w:val="00685492"/>
    <w:rsid w:val="006855CF"/>
    <w:rsid w:val="00685614"/>
    <w:rsid w:val="00685652"/>
    <w:rsid w:val="006857BB"/>
    <w:rsid w:val="0068586E"/>
    <w:rsid w:val="00685888"/>
    <w:rsid w:val="00685E0E"/>
    <w:rsid w:val="00685E9C"/>
    <w:rsid w:val="00685FE2"/>
    <w:rsid w:val="00686056"/>
    <w:rsid w:val="00686459"/>
    <w:rsid w:val="00686615"/>
    <w:rsid w:val="00686677"/>
    <w:rsid w:val="006868F4"/>
    <w:rsid w:val="00686912"/>
    <w:rsid w:val="006869BB"/>
    <w:rsid w:val="00686AB6"/>
    <w:rsid w:val="00686BD9"/>
    <w:rsid w:val="00686E49"/>
    <w:rsid w:val="00686F05"/>
    <w:rsid w:val="00686FAC"/>
    <w:rsid w:val="00687069"/>
    <w:rsid w:val="006870CD"/>
    <w:rsid w:val="00687322"/>
    <w:rsid w:val="006873A5"/>
    <w:rsid w:val="00687731"/>
    <w:rsid w:val="006877BF"/>
    <w:rsid w:val="00687AD9"/>
    <w:rsid w:val="00687E9D"/>
    <w:rsid w:val="00690297"/>
    <w:rsid w:val="006907F8"/>
    <w:rsid w:val="006908D8"/>
    <w:rsid w:val="00690921"/>
    <w:rsid w:val="00690984"/>
    <w:rsid w:val="00690C06"/>
    <w:rsid w:val="00691009"/>
    <w:rsid w:val="006913AC"/>
    <w:rsid w:val="00691453"/>
    <w:rsid w:val="00691459"/>
    <w:rsid w:val="00691494"/>
    <w:rsid w:val="0069152E"/>
    <w:rsid w:val="006917DC"/>
    <w:rsid w:val="006918EE"/>
    <w:rsid w:val="00691956"/>
    <w:rsid w:val="00691B2D"/>
    <w:rsid w:val="00691C1B"/>
    <w:rsid w:val="00691C32"/>
    <w:rsid w:val="00691E2A"/>
    <w:rsid w:val="00691E61"/>
    <w:rsid w:val="00692072"/>
    <w:rsid w:val="006920B7"/>
    <w:rsid w:val="00692161"/>
    <w:rsid w:val="0069236F"/>
    <w:rsid w:val="006923F9"/>
    <w:rsid w:val="0069251F"/>
    <w:rsid w:val="00692A20"/>
    <w:rsid w:val="00692D7A"/>
    <w:rsid w:val="00692E57"/>
    <w:rsid w:val="006931D0"/>
    <w:rsid w:val="006931D7"/>
    <w:rsid w:val="0069327E"/>
    <w:rsid w:val="006932BD"/>
    <w:rsid w:val="0069372F"/>
    <w:rsid w:val="0069373B"/>
    <w:rsid w:val="00693835"/>
    <w:rsid w:val="006939A6"/>
    <w:rsid w:val="006939B7"/>
    <w:rsid w:val="006939DD"/>
    <w:rsid w:val="00693A8E"/>
    <w:rsid w:val="00693C4A"/>
    <w:rsid w:val="00693CBC"/>
    <w:rsid w:val="00693CCC"/>
    <w:rsid w:val="00693FE0"/>
    <w:rsid w:val="00694052"/>
    <w:rsid w:val="00694070"/>
    <w:rsid w:val="006940A4"/>
    <w:rsid w:val="00694132"/>
    <w:rsid w:val="0069422C"/>
    <w:rsid w:val="006943AB"/>
    <w:rsid w:val="006944A9"/>
    <w:rsid w:val="00694517"/>
    <w:rsid w:val="006945BA"/>
    <w:rsid w:val="006945C9"/>
    <w:rsid w:val="00694817"/>
    <w:rsid w:val="0069497D"/>
    <w:rsid w:val="00694F67"/>
    <w:rsid w:val="00694F97"/>
    <w:rsid w:val="006952DB"/>
    <w:rsid w:val="0069553D"/>
    <w:rsid w:val="00695628"/>
    <w:rsid w:val="006957E2"/>
    <w:rsid w:val="00695902"/>
    <w:rsid w:val="006959CA"/>
    <w:rsid w:val="00695C9C"/>
    <w:rsid w:val="00695CB1"/>
    <w:rsid w:val="00695E80"/>
    <w:rsid w:val="00695FEA"/>
    <w:rsid w:val="00696214"/>
    <w:rsid w:val="0069621D"/>
    <w:rsid w:val="0069648B"/>
    <w:rsid w:val="0069679E"/>
    <w:rsid w:val="00696C2C"/>
    <w:rsid w:val="00696C53"/>
    <w:rsid w:val="00696CAF"/>
    <w:rsid w:val="00696EEF"/>
    <w:rsid w:val="00696F0A"/>
    <w:rsid w:val="00696F69"/>
    <w:rsid w:val="006971E7"/>
    <w:rsid w:val="0069720B"/>
    <w:rsid w:val="0069727C"/>
    <w:rsid w:val="006974DD"/>
    <w:rsid w:val="00697515"/>
    <w:rsid w:val="00697995"/>
    <w:rsid w:val="00697B99"/>
    <w:rsid w:val="00697CB4"/>
    <w:rsid w:val="00697E30"/>
    <w:rsid w:val="00697F8C"/>
    <w:rsid w:val="00697F9D"/>
    <w:rsid w:val="00697FC6"/>
    <w:rsid w:val="006A0011"/>
    <w:rsid w:val="006A017E"/>
    <w:rsid w:val="006A0219"/>
    <w:rsid w:val="006A0795"/>
    <w:rsid w:val="006A07CE"/>
    <w:rsid w:val="006A090D"/>
    <w:rsid w:val="006A09A8"/>
    <w:rsid w:val="006A0A2A"/>
    <w:rsid w:val="006A0C50"/>
    <w:rsid w:val="006A0CC1"/>
    <w:rsid w:val="006A0DD9"/>
    <w:rsid w:val="006A1103"/>
    <w:rsid w:val="006A126E"/>
    <w:rsid w:val="006A130C"/>
    <w:rsid w:val="006A1476"/>
    <w:rsid w:val="006A14FC"/>
    <w:rsid w:val="006A1793"/>
    <w:rsid w:val="006A194A"/>
    <w:rsid w:val="006A195F"/>
    <w:rsid w:val="006A1994"/>
    <w:rsid w:val="006A1B6A"/>
    <w:rsid w:val="006A1CF8"/>
    <w:rsid w:val="006A1E18"/>
    <w:rsid w:val="006A1E9F"/>
    <w:rsid w:val="006A1F75"/>
    <w:rsid w:val="006A217D"/>
    <w:rsid w:val="006A21A6"/>
    <w:rsid w:val="006A2316"/>
    <w:rsid w:val="006A2344"/>
    <w:rsid w:val="006A239E"/>
    <w:rsid w:val="006A2535"/>
    <w:rsid w:val="006A2537"/>
    <w:rsid w:val="006A284E"/>
    <w:rsid w:val="006A2910"/>
    <w:rsid w:val="006A29DD"/>
    <w:rsid w:val="006A29E3"/>
    <w:rsid w:val="006A2AF8"/>
    <w:rsid w:val="006A2C99"/>
    <w:rsid w:val="006A2D4A"/>
    <w:rsid w:val="006A2D84"/>
    <w:rsid w:val="006A2EED"/>
    <w:rsid w:val="006A304C"/>
    <w:rsid w:val="006A3398"/>
    <w:rsid w:val="006A33AE"/>
    <w:rsid w:val="006A3D3D"/>
    <w:rsid w:val="006A470E"/>
    <w:rsid w:val="006A473D"/>
    <w:rsid w:val="006A4C56"/>
    <w:rsid w:val="006A4D94"/>
    <w:rsid w:val="006A4F88"/>
    <w:rsid w:val="006A50C3"/>
    <w:rsid w:val="006A52BE"/>
    <w:rsid w:val="006A542D"/>
    <w:rsid w:val="006A5442"/>
    <w:rsid w:val="006A54F9"/>
    <w:rsid w:val="006A5579"/>
    <w:rsid w:val="006A55DC"/>
    <w:rsid w:val="006A589D"/>
    <w:rsid w:val="006A5A1E"/>
    <w:rsid w:val="006A5D32"/>
    <w:rsid w:val="006A5DDB"/>
    <w:rsid w:val="006A60F7"/>
    <w:rsid w:val="006A61D6"/>
    <w:rsid w:val="006A672E"/>
    <w:rsid w:val="006A6775"/>
    <w:rsid w:val="006A6932"/>
    <w:rsid w:val="006A6ACB"/>
    <w:rsid w:val="006A6AD2"/>
    <w:rsid w:val="006A6B1C"/>
    <w:rsid w:val="006A6B35"/>
    <w:rsid w:val="006A6D90"/>
    <w:rsid w:val="006A6E2E"/>
    <w:rsid w:val="006A6E3E"/>
    <w:rsid w:val="006A6FC1"/>
    <w:rsid w:val="006A70AE"/>
    <w:rsid w:val="006A70CF"/>
    <w:rsid w:val="006A73C6"/>
    <w:rsid w:val="006A7451"/>
    <w:rsid w:val="006A7544"/>
    <w:rsid w:val="006A75ED"/>
    <w:rsid w:val="006A7981"/>
    <w:rsid w:val="006A7B7B"/>
    <w:rsid w:val="006A7BC7"/>
    <w:rsid w:val="006A7BCE"/>
    <w:rsid w:val="006B0049"/>
    <w:rsid w:val="006B0218"/>
    <w:rsid w:val="006B02CA"/>
    <w:rsid w:val="006B045C"/>
    <w:rsid w:val="006B0513"/>
    <w:rsid w:val="006B0588"/>
    <w:rsid w:val="006B07C9"/>
    <w:rsid w:val="006B0928"/>
    <w:rsid w:val="006B0A3A"/>
    <w:rsid w:val="006B0C14"/>
    <w:rsid w:val="006B0C97"/>
    <w:rsid w:val="006B0CD1"/>
    <w:rsid w:val="006B0E73"/>
    <w:rsid w:val="006B1095"/>
    <w:rsid w:val="006B10D2"/>
    <w:rsid w:val="006B1129"/>
    <w:rsid w:val="006B1378"/>
    <w:rsid w:val="006B150B"/>
    <w:rsid w:val="006B1635"/>
    <w:rsid w:val="006B16E0"/>
    <w:rsid w:val="006B1885"/>
    <w:rsid w:val="006B18C1"/>
    <w:rsid w:val="006B196B"/>
    <w:rsid w:val="006B1D43"/>
    <w:rsid w:val="006B1D4C"/>
    <w:rsid w:val="006B1E50"/>
    <w:rsid w:val="006B2056"/>
    <w:rsid w:val="006B20C5"/>
    <w:rsid w:val="006B211D"/>
    <w:rsid w:val="006B226A"/>
    <w:rsid w:val="006B231F"/>
    <w:rsid w:val="006B235B"/>
    <w:rsid w:val="006B2417"/>
    <w:rsid w:val="006B24BB"/>
    <w:rsid w:val="006B25F1"/>
    <w:rsid w:val="006B2636"/>
    <w:rsid w:val="006B2655"/>
    <w:rsid w:val="006B2970"/>
    <w:rsid w:val="006B2A3D"/>
    <w:rsid w:val="006B2A90"/>
    <w:rsid w:val="006B2AED"/>
    <w:rsid w:val="006B2B3F"/>
    <w:rsid w:val="006B2C0E"/>
    <w:rsid w:val="006B2C2D"/>
    <w:rsid w:val="006B2CEC"/>
    <w:rsid w:val="006B30D1"/>
    <w:rsid w:val="006B3147"/>
    <w:rsid w:val="006B318B"/>
    <w:rsid w:val="006B31E4"/>
    <w:rsid w:val="006B3256"/>
    <w:rsid w:val="006B33F4"/>
    <w:rsid w:val="006B34F6"/>
    <w:rsid w:val="006B3761"/>
    <w:rsid w:val="006B37B0"/>
    <w:rsid w:val="006B3B5B"/>
    <w:rsid w:val="006B3CCB"/>
    <w:rsid w:val="006B3DED"/>
    <w:rsid w:val="006B3E49"/>
    <w:rsid w:val="006B414E"/>
    <w:rsid w:val="006B4267"/>
    <w:rsid w:val="006B4299"/>
    <w:rsid w:val="006B4405"/>
    <w:rsid w:val="006B4471"/>
    <w:rsid w:val="006B4667"/>
    <w:rsid w:val="006B4767"/>
    <w:rsid w:val="006B4816"/>
    <w:rsid w:val="006B4A0E"/>
    <w:rsid w:val="006B4BF9"/>
    <w:rsid w:val="006B4C4E"/>
    <w:rsid w:val="006B4CA9"/>
    <w:rsid w:val="006B4CE2"/>
    <w:rsid w:val="006B4DD8"/>
    <w:rsid w:val="006B5101"/>
    <w:rsid w:val="006B5275"/>
    <w:rsid w:val="006B531C"/>
    <w:rsid w:val="006B537E"/>
    <w:rsid w:val="006B542D"/>
    <w:rsid w:val="006B5495"/>
    <w:rsid w:val="006B5598"/>
    <w:rsid w:val="006B58B4"/>
    <w:rsid w:val="006B599A"/>
    <w:rsid w:val="006B5A3F"/>
    <w:rsid w:val="006B5B22"/>
    <w:rsid w:val="006B5BEB"/>
    <w:rsid w:val="006B5CDE"/>
    <w:rsid w:val="006B5E71"/>
    <w:rsid w:val="006B699F"/>
    <w:rsid w:val="006B6CE4"/>
    <w:rsid w:val="006B6CF3"/>
    <w:rsid w:val="006B6D9F"/>
    <w:rsid w:val="006B6E03"/>
    <w:rsid w:val="006B7103"/>
    <w:rsid w:val="006B74F9"/>
    <w:rsid w:val="006B766D"/>
    <w:rsid w:val="006B79D3"/>
    <w:rsid w:val="006B7C71"/>
    <w:rsid w:val="006B7C8D"/>
    <w:rsid w:val="006B7D1F"/>
    <w:rsid w:val="006B7DCA"/>
    <w:rsid w:val="006C0031"/>
    <w:rsid w:val="006C01AE"/>
    <w:rsid w:val="006C02E4"/>
    <w:rsid w:val="006C0569"/>
    <w:rsid w:val="006C0720"/>
    <w:rsid w:val="006C07F0"/>
    <w:rsid w:val="006C0F0A"/>
    <w:rsid w:val="006C0F36"/>
    <w:rsid w:val="006C101E"/>
    <w:rsid w:val="006C1171"/>
    <w:rsid w:val="006C1406"/>
    <w:rsid w:val="006C165C"/>
    <w:rsid w:val="006C166D"/>
    <w:rsid w:val="006C171C"/>
    <w:rsid w:val="006C1758"/>
    <w:rsid w:val="006C1848"/>
    <w:rsid w:val="006C1A9E"/>
    <w:rsid w:val="006C1B91"/>
    <w:rsid w:val="006C1CDD"/>
    <w:rsid w:val="006C1E6B"/>
    <w:rsid w:val="006C20EE"/>
    <w:rsid w:val="006C2315"/>
    <w:rsid w:val="006C253F"/>
    <w:rsid w:val="006C277A"/>
    <w:rsid w:val="006C29F2"/>
    <w:rsid w:val="006C2AF1"/>
    <w:rsid w:val="006C2B68"/>
    <w:rsid w:val="006C2C67"/>
    <w:rsid w:val="006C304F"/>
    <w:rsid w:val="006C322C"/>
    <w:rsid w:val="006C3328"/>
    <w:rsid w:val="006C3583"/>
    <w:rsid w:val="006C377F"/>
    <w:rsid w:val="006C3BEB"/>
    <w:rsid w:val="006C3D04"/>
    <w:rsid w:val="006C3DA3"/>
    <w:rsid w:val="006C3DF0"/>
    <w:rsid w:val="006C3DF6"/>
    <w:rsid w:val="006C403F"/>
    <w:rsid w:val="006C40B4"/>
    <w:rsid w:val="006C41D3"/>
    <w:rsid w:val="006C4268"/>
    <w:rsid w:val="006C4486"/>
    <w:rsid w:val="006C4539"/>
    <w:rsid w:val="006C4AD4"/>
    <w:rsid w:val="006C4B3C"/>
    <w:rsid w:val="006C4DBC"/>
    <w:rsid w:val="006C4E49"/>
    <w:rsid w:val="006C4E75"/>
    <w:rsid w:val="006C4EAC"/>
    <w:rsid w:val="006C50B5"/>
    <w:rsid w:val="006C548D"/>
    <w:rsid w:val="006C56B0"/>
    <w:rsid w:val="006C56B4"/>
    <w:rsid w:val="006C5845"/>
    <w:rsid w:val="006C59CD"/>
    <w:rsid w:val="006C59E2"/>
    <w:rsid w:val="006C5A0C"/>
    <w:rsid w:val="006C5AD3"/>
    <w:rsid w:val="006C5C19"/>
    <w:rsid w:val="006C5FA2"/>
    <w:rsid w:val="006C60AF"/>
    <w:rsid w:val="006C617F"/>
    <w:rsid w:val="006C6423"/>
    <w:rsid w:val="006C6775"/>
    <w:rsid w:val="006C67D6"/>
    <w:rsid w:val="006C6A68"/>
    <w:rsid w:val="006C6B1B"/>
    <w:rsid w:val="006C6CD8"/>
    <w:rsid w:val="006C6D1E"/>
    <w:rsid w:val="006C6E5F"/>
    <w:rsid w:val="006C72F3"/>
    <w:rsid w:val="006C74B8"/>
    <w:rsid w:val="006C783F"/>
    <w:rsid w:val="006C7CCB"/>
    <w:rsid w:val="006C7E9C"/>
    <w:rsid w:val="006C7F23"/>
    <w:rsid w:val="006C7FB7"/>
    <w:rsid w:val="006D008B"/>
    <w:rsid w:val="006D00A1"/>
    <w:rsid w:val="006D0406"/>
    <w:rsid w:val="006D0699"/>
    <w:rsid w:val="006D0A0F"/>
    <w:rsid w:val="006D0AD5"/>
    <w:rsid w:val="006D0D5A"/>
    <w:rsid w:val="006D0E57"/>
    <w:rsid w:val="006D0F27"/>
    <w:rsid w:val="006D1220"/>
    <w:rsid w:val="006D134D"/>
    <w:rsid w:val="006D1382"/>
    <w:rsid w:val="006D1636"/>
    <w:rsid w:val="006D1695"/>
    <w:rsid w:val="006D1890"/>
    <w:rsid w:val="006D1902"/>
    <w:rsid w:val="006D1914"/>
    <w:rsid w:val="006D1930"/>
    <w:rsid w:val="006D19CC"/>
    <w:rsid w:val="006D1BE3"/>
    <w:rsid w:val="006D1C3A"/>
    <w:rsid w:val="006D1D8F"/>
    <w:rsid w:val="006D1E4E"/>
    <w:rsid w:val="006D1E80"/>
    <w:rsid w:val="006D1F5C"/>
    <w:rsid w:val="006D1F8D"/>
    <w:rsid w:val="006D23E9"/>
    <w:rsid w:val="006D247B"/>
    <w:rsid w:val="006D2484"/>
    <w:rsid w:val="006D2666"/>
    <w:rsid w:val="006D2919"/>
    <w:rsid w:val="006D298B"/>
    <w:rsid w:val="006D299A"/>
    <w:rsid w:val="006D2A0F"/>
    <w:rsid w:val="006D2A17"/>
    <w:rsid w:val="006D2A69"/>
    <w:rsid w:val="006D2AA0"/>
    <w:rsid w:val="006D2BE1"/>
    <w:rsid w:val="006D2C02"/>
    <w:rsid w:val="006D2CBF"/>
    <w:rsid w:val="006D2D42"/>
    <w:rsid w:val="006D2D4E"/>
    <w:rsid w:val="006D2D8F"/>
    <w:rsid w:val="006D2E1E"/>
    <w:rsid w:val="006D2F59"/>
    <w:rsid w:val="006D2FB5"/>
    <w:rsid w:val="006D3104"/>
    <w:rsid w:val="006D3139"/>
    <w:rsid w:val="006D3333"/>
    <w:rsid w:val="006D356D"/>
    <w:rsid w:val="006D36BC"/>
    <w:rsid w:val="006D377E"/>
    <w:rsid w:val="006D380A"/>
    <w:rsid w:val="006D3A79"/>
    <w:rsid w:val="006D3DB7"/>
    <w:rsid w:val="006D3E86"/>
    <w:rsid w:val="006D3F31"/>
    <w:rsid w:val="006D3F96"/>
    <w:rsid w:val="006D3FEC"/>
    <w:rsid w:val="006D413B"/>
    <w:rsid w:val="006D419F"/>
    <w:rsid w:val="006D427E"/>
    <w:rsid w:val="006D44F7"/>
    <w:rsid w:val="006D46DC"/>
    <w:rsid w:val="006D4A9F"/>
    <w:rsid w:val="006D4D62"/>
    <w:rsid w:val="006D4E79"/>
    <w:rsid w:val="006D4F19"/>
    <w:rsid w:val="006D4F6C"/>
    <w:rsid w:val="006D52C7"/>
    <w:rsid w:val="006D5737"/>
    <w:rsid w:val="006D5C95"/>
    <w:rsid w:val="006D5E87"/>
    <w:rsid w:val="006D606B"/>
    <w:rsid w:val="006D644F"/>
    <w:rsid w:val="006D65A3"/>
    <w:rsid w:val="006D66A5"/>
    <w:rsid w:val="006D6727"/>
    <w:rsid w:val="006D67DB"/>
    <w:rsid w:val="006D6A17"/>
    <w:rsid w:val="006D6A7D"/>
    <w:rsid w:val="006D6E4A"/>
    <w:rsid w:val="006D6F11"/>
    <w:rsid w:val="006D721C"/>
    <w:rsid w:val="006D733D"/>
    <w:rsid w:val="006D7671"/>
    <w:rsid w:val="006E086D"/>
    <w:rsid w:val="006E0908"/>
    <w:rsid w:val="006E0C01"/>
    <w:rsid w:val="006E0C7E"/>
    <w:rsid w:val="006E10F1"/>
    <w:rsid w:val="006E110E"/>
    <w:rsid w:val="006E1253"/>
    <w:rsid w:val="006E13A8"/>
    <w:rsid w:val="006E1479"/>
    <w:rsid w:val="006E147C"/>
    <w:rsid w:val="006E1665"/>
    <w:rsid w:val="006E1675"/>
    <w:rsid w:val="006E172B"/>
    <w:rsid w:val="006E185D"/>
    <w:rsid w:val="006E1A0D"/>
    <w:rsid w:val="006E1B6B"/>
    <w:rsid w:val="006E1ECB"/>
    <w:rsid w:val="006E23B1"/>
    <w:rsid w:val="006E23D9"/>
    <w:rsid w:val="006E2423"/>
    <w:rsid w:val="006E24F7"/>
    <w:rsid w:val="006E2961"/>
    <w:rsid w:val="006E29CF"/>
    <w:rsid w:val="006E2A02"/>
    <w:rsid w:val="006E2A65"/>
    <w:rsid w:val="006E2CE9"/>
    <w:rsid w:val="006E2E5D"/>
    <w:rsid w:val="006E3089"/>
    <w:rsid w:val="006E3102"/>
    <w:rsid w:val="006E31B9"/>
    <w:rsid w:val="006E3326"/>
    <w:rsid w:val="006E33E2"/>
    <w:rsid w:val="006E36B4"/>
    <w:rsid w:val="006E385A"/>
    <w:rsid w:val="006E38FE"/>
    <w:rsid w:val="006E391D"/>
    <w:rsid w:val="006E3995"/>
    <w:rsid w:val="006E3BA8"/>
    <w:rsid w:val="006E3C4B"/>
    <w:rsid w:val="006E3CBD"/>
    <w:rsid w:val="006E3D5B"/>
    <w:rsid w:val="006E4184"/>
    <w:rsid w:val="006E4463"/>
    <w:rsid w:val="006E45E7"/>
    <w:rsid w:val="006E4679"/>
    <w:rsid w:val="006E4794"/>
    <w:rsid w:val="006E4859"/>
    <w:rsid w:val="006E4887"/>
    <w:rsid w:val="006E49B1"/>
    <w:rsid w:val="006E4DAA"/>
    <w:rsid w:val="006E4E45"/>
    <w:rsid w:val="006E512D"/>
    <w:rsid w:val="006E5154"/>
    <w:rsid w:val="006E51C0"/>
    <w:rsid w:val="006E52EA"/>
    <w:rsid w:val="006E55E2"/>
    <w:rsid w:val="006E5AB5"/>
    <w:rsid w:val="006E5ECC"/>
    <w:rsid w:val="006E5EDF"/>
    <w:rsid w:val="006E601F"/>
    <w:rsid w:val="006E6129"/>
    <w:rsid w:val="006E6199"/>
    <w:rsid w:val="006E63A4"/>
    <w:rsid w:val="006E63B6"/>
    <w:rsid w:val="006E656F"/>
    <w:rsid w:val="006E6620"/>
    <w:rsid w:val="006E6881"/>
    <w:rsid w:val="006E6936"/>
    <w:rsid w:val="006E6A0F"/>
    <w:rsid w:val="006E6CDF"/>
    <w:rsid w:val="006E6D4C"/>
    <w:rsid w:val="006E6DBA"/>
    <w:rsid w:val="006E6DC5"/>
    <w:rsid w:val="006E715E"/>
    <w:rsid w:val="006E728C"/>
    <w:rsid w:val="006E759B"/>
    <w:rsid w:val="006E75A3"/>
    <w:rsid w:val="006E763F"/>
    <w:rsid w:val="006F02D9"/>
    <w:rsid w:val="006F042E"/>
    <w:rsid w:val="006F0670"/>
    <w:rsid w:val="006F0723"/>
    <w:rsid w:val="006F0A53"/>
    <w:rsid w:val="006F0CC4"/>
    <w:rsid w:val="006F1053"/>
    <w:rsid w:val="006F1083"/>
    <w:rsid w:val="006F10C6"/>
    <w:rsid w:val="006F14C0"/>
    <w:rsid w:val="006F1662"/>
    <w:rsid w:val="006F169E"/>
    <w:rsid w:val="006F1915"/>
    <w:rsid w:val="006F199F"/>
    <w:rsid w:val="006F1A86"/>
    <w:rsid w:val="006F1C73"/>
    <w:rsid w:val="006F1D83"/>
    <w:rsid w:val="006F1EFC"/>
    <w:rsid w:val="006F2073"/>
    <w:rsid w:val="006F2196"/>
    <w:rsid w:val="006F22FE"/>
    <w:rsid w:val="006F28A0"/>
    <w:rsid w:val="006F2A51"/>
    <w:rsid w:val="006F2AA1"/>
    <w:rsid w:val="006F2B0F"/>
    <w:rsid w:val="006F2BB8"/>
    <w:rsid w:val="006F2DC6"/>
    <w:rsid w:val="006F2E35"/>
    <w:rsid w:val="006F301B"/>
    <w:rsid w:val="006F30A5"/>
    <w:rsid w:val="006F3155"/>
    <w:rsid w:val="006F319A"/>
    <w:rsid w:val="006F33B8"/>
    <w:rsid w:val="006F33BB"/>
    <w:rsid w:val="006F33D2"/>
    <w:rsid w:val="006F33D7"/>
    <w:rsid w:val="006F33F1"/>
    <w:rsid w:val="006F3623"/>
    <w:rsid w:val="006F3627"/>
    <w:rsid w:val="006F3A85"/>
    <w:rsid w:val="006F3AD4"/>
    <w:rsid w:val="006F3AE1"/>
    <w:rsid w:val="006F3BA6"/>
    <w:rsid w:val="006F3E5A"/>
    <w:rsid w:val="006F40C1"/>
    <w:rsid w:val="006F46B4"/>
    <w:rsid w:val="006F4A4B"/>
    <w:rsid w:val="006F4A51"/>
    <w:rsid w:val="006F4A83"/>
    <w:rsid w:val="006F4D10"/>
    <w:rsid w:val="006F4DBD"/>
    <w:rsid w:val="006F4E11"/>
    <w:rsid w:val="006F50A2"/>
    <w:rsid w:val="006F50DC"/>
    <w:rsid w:val="006F5171"/>
    <w:rsid w:val="006F51CC"/>
    <w:rsid w:val="006F53D2"/>
    <w:rsid w:val="006F5411"/>
    <w:rsid w:val="006F5421"/>
    <w:rsid w:val="006F5497"/>
    <w:rsid w:val="006F55AA"/>
    <w:rsid w:val="006F5650"/>
    <w:rsid w:val="006F588A"/>
    <w:rsid w:val="006F5A12"/>
    <w:rsid w:val="006F5D40"/>
    <w:rsid w:val="006F5FF8"/>
    <w:rsid w:val="006F6032"/>
    <w:rsid w:val="006F6094"/>
    <w:rsid w:val="006F60B2"/>
    <w:rsid w:val="006F60BF"/>
    <w:rsid w:val="006F61E1"/>
    <w:rsid w:val="006F64BC"/>
    <w:rsid w:val="006F6718"/>
    <w:rsid w:val="006F67CA"/>
    <w:rsid w:val="006F6CD3"/>
    <w:rsid w:val="006F6D04"/>
    <w:rsid w:val="006F6DCC"/>
    <w:rsid w:val="006F7196"/>
    <w:rsid w:val="006F72C6"/>
    <w:rsid w:val="006F78D0"/>
    <w:rsid w:val="006F78EC"/>
    <w:rsid w:val="006F7A22"/>
    <w:rsid w:val="006F7B3C"/>
    <w:rsid w:val="006F7CC2"/>
    <w:rsid w:val="006F7D25"/>
    <w:rsid w:val="006F7EC6"/>
    <w:rsid w:val="006F7EE0"/>
    <w:rsid w:val="006F7F08"/>
    <w:rsid w:val="00700178"/>
    <w:rsid w:val="0070025A"/>
    <w:rsid w:val="0070060B"/>
    <w:rsid w:val="00700696"/>
    <w:rsid w:val="007008C9"/>
    <w:rsid w:val="007008DB"/>
    <w:rsid w:val="007009FE"/>
    <w:rsid w:val="00700C56"/>
    <w:rsid w:val="00700DCB"/>
    <w:rsid w:val="00700F9D"/>
    <w:rsid w:val="007014B3"/>
    <w:rsid w:val="007016FA"/>
    <w:rsid w:val="007017C3"/>
    <w:rsid w:val="00701915"/>
    <w:rsid w:val="00701AEA"/>
    <w:rsid w:val="00701B9A"/>
    <w:rsid w:val="00701C7A"/>
    <w:rsid w:val="00701D76"/>
    <w:rsid w:val="00701E8D"/>
    <w:rsid w:val="0070210F"/>
    <w:rsid w:val="007021D0"/>
    <w:rsid w:val="0070224D"/>
    <w:rsid w:val="00702279"/>
    <w:rsid w:val="007022CF"/>
    <w:rsid w:val="00702370"/>
    <w:rsid w:val="0070251C"/>
    <w:rsid w:val="007025DF"/>
    <w:rsid w:val="0070284B"/>
    <w:rsid w:val="00702A9A"/>
    <w:rsid w:val="00702AC2"/>
    <w:rsid w:val="00702AD8"/>
    <w:rsid w:val="00702E31"/>
    <w:rsid w:val="00702F66"/>
    <w:rsid w:val="00702FDD"/>
    <w:rsid w:val="00703379"/>
    <w:rsid w:val="007038A4"/>
    <w:rsid w:val="007038CA"/>
    <w:rsid w:val="0070390A"/>
    <w:rsid w:val="00703926"/>
    <w:rsid w:val="007039F6"/>
    <w:rsid w:val="00703BA5"/>
    <w:rsid w:val="00703C44"/>
    <w:rsid w:val="00703C6A"/>
    <w:rsid w:val="00703C94"/>
    <w:rsid w:val="00703D60"/>
    <w:rsid w:val="00703EA5"/>
    <w:rsid w:val="00703F55"/>
    <w:rsid w:val="00703F5F"/>
    <w:rsid w:val="00703FB0"/>
    <w:rsid w:val="0070407B"/>
    <w:rsid w:val="007041F6"/>
    <w:rsid w:val="0070424E"/>
    <w:rsid w:val="007044C7"/>
    <w:rsid w:val="007047EE"/>
    <w:rsid w:val="007048ED"/>
    <w:rsid w:val="00704ABB"/>
    <w:rsid w:val="00704F2B"/>
    <w:rsid w:val="007052FC"/>
    <w:rsid w:val="00705375"/>
    <w:rsid w:val="00705412"/>
    <w:rsid w:val="007055E7"/>
    <w:rsid w:val="00705666"/>
    <w:rsid w:val="00705766"/>
    <w:rsid w:val="00705AE6"/>
    <w:rsid w:val="00705B31"/>
    <w:rsid w:val="00705D0A"/>
    <w:rsid w:val="00705D2B"/>
    <w:rsid w:val="00705E2D"/>
    <w:rsid w:val="00706202"/>
    <w:rsid w:val="007062C1"/>
    <w:rsid w:val="00706499"/>
    <w:rsid w:val="007064C8"/>
    <w:rsid w:val="0070677F"/>
    <w:rsid w:val="00706842"/>
    <w:rsid w:val="007068D7"/>
    <w:rsid w:val="00706AB9"/>
    <w:rsid w:val="00706C33"/>
    <w:rsid w:val="00706CE9"/>
    <w:rsid w:val="00707018"/>
    <w:rsid w:val="00707071"/>
    <w:rsid w:val="0070748C"/>
    <w:rsid w:val="007074EE"/>
    <w:rsid w:val="00707544"/>
    <w:rsid w:val="0070754E"/>
    <w:rsid w:val="00707575"/>
    <w:rsid w:val="00707577"/>
    <w:rsid w:val="007075CA"/>
    <w:rsid w:val="0070787B"/>
    <w:rsid w:val="007079BD"/>
    <w:rsid w:val="00707A4A"/>
    <w:rsid w:val="00707C49"/>
    <w:rsid w:val="00707DAF"/>
    <w:rsid w:val="00707F8C"/>
    <w:rsid w:val="00710179"/>
    <w:rsid w:val="00710280"/>
    <w:rsid w:val="00710282"/>
    <w:rsid w:val="0071068C"/>
    <w:rsid w:val="00710A81"/>
    <w:rsid w:val="00710A88"/>
    <w:rsid w:val="00710C66"/>
    <w:rsid w:val="00710C82"/>
    <w:rsid w:val="00710C83"/>
    <w:rsid w:val="00710D6B"/>
    <w:rsid w:val="00710DA9"/>
    <w:rsid w:val="00710E46"/>
    <w:rsid w:val="00710ED7"/>
    <w:rsid w:val="00711010"/>
    <w:rsid w:val="00711313"/>
    <w:rsid w:val="0071140F"/>
    <w:rsid w:val="0071141C"/>
    <w:rsid w:val="00711592"/>
    <w:rsid w:val="0071159A"/>
    <w:rsid w:val="007115DB"/>
    <w:rsid w:val="00711600"/>
    <w:rsid w:val="00711912"/>
    <w:rsid w:val="00711BCD"/>
    <w:rsid w:val="00711D3F"/>
    <w:rsid w:val="00711FDF"/>
    <w:rsid w:val="007120FF"/>
    <w:rsid w:val="00712306"/>
    <w:rsid w:val="00712401"/>
    <w:rsid w:val="0071246D"/>
    <w:rsid w:val="00712498"/>
    <w:rsid w:val="007127F9"/>
    <w:rsid w:val="00712B53"/>
    <w:rsid w:val="00712BF7"/>
    <w:rsid w:val="00712F38"/>
    <w:rsid w:val="0071338C"/>
    <w:rsid w:val="00713934"/>
    <w:rsid w:val="00713BCC"/>
    <w:rsid w:val="00713D5D"/>
    <w:rsid w:val="00713DB0"/>
    <w:rsid w:val="00713FDC"/>
    <w:rsid w:val="007140AA"/>
    <w:rsid w:val="0071415E"/>
    <w:rsid w:val="007144FF"/>
    <w:rsid w:val="00714598"/>
    <w:rsid w:val="007146F5"/>
    <w:rsid w:val="00714718"/>
    <w:rsid w:val="00714778"/>
    <w:rsid w:val="007147A8"/>
    <w:rsid w:val="00714831"/>
    <w:rsid w:val="00714C68"/>
    <w:rsid w:val="00714D69"/>
    <w:rsid w:val="00714F88"/>
    <w:rsid w:val="00715234"/>
    <w:rsid w:val="00715348"/>
    <w:rsid w:val="007157CA"/>
    <w:rsid w:val="00715951"/>
    <w:rsid w:val="00715DC0"/>
    <w:rsid w:val="00715DED"/>
    <w:rsid w:val="00715E7D"/>
    <w:rsid w:val="00715F03"/>
    <w:rsid w:val="007160DE"/>
    <w:rsid w:val="007160FB"/>
    <w:rsid w:val="007162C7"/>
    <w:rsid w:val="00716595"/>
    <w:rsid w:val="00716703"/>
    <w:rsid w:val="00716798"/>
    <w:rsid w:val="007167A2"/>
    <w:rsid w:val="0071688D"/>
    <w:rsid w:val="00716960"/>
    <w:rsid w:val="00716A2E"/>
    <w:rsid w:val="00716B8A"/>
    <w:rsid w:val="00716F7F"/>
    <w:rsid w:val="00717156"/>
    <w:rsid w:val="007171C6"/>
    <w:rsid w:val="007172D9"/>
    <w:rsid w:val="0071754B"/>
    <w:rsid w:val="0071771A"/>
    <w:rsid w:val="00717B5A"/>
    <w:rsid w:val="00717C79"/>
    <w:rsid w:val="00717CA0"/>
    <w:rsid w:val="00717CDA"/>
    <w:rsid w:val="00717CF8"/>
    <w:rsid w:val="0072009B"/>
    <w:rsid w:val="00720775"/>
    <w:rsid w:val="00720839"/>
    <w:rsid w:val="00720888"/>
    <w:rsid w:val="00720C6D"/>
    <w:rsid w:val="00720F95"/>
    <w:rsid w:val="00721209"/>
    <w:rsid w:val="0072138D"/>
    <w:rsid w:val="00721447"/>
    <w:rsid w:val="00721467"/>
    <w:rsid w:val="0072186E"/>
    <w:rsid w:val="007218B4"/>
    <w:rsid w:val="00721997"/>
    <w:rsid w:val="00721A2B"/>
    <w:rsid w:val="00721CE4"/>
    <w:rsid w:val="00721D6D"/>
    <w:rsid w:val="00721DE8"/>
    <w:rsid w:val="00721E57"/>
    <w:rsid w:val="00721F84"/>
    <w:rsid w:val="007220A2"/>
    <w:rsid w:val="0072252E"/>
    <w:rsid w:val="0072252F"/>
    <w:rsid w:val="00722554"/>
    <w:rsid w:val="007226B9"/>
    <w:rsid w:val="007229E1"/>
    <w:rsid w:val="00722B46"/>
    <w:rsid w:val="00722C49"/>
    <w:rsid w:val="00722C9D"/>
    <w:rsid w:val="00722D20"/>
    <w:rsid w:val="00722E24"/>
    <w:rsid w:val="00723199"/>
    <w:rsid w:val="00723597"/>
    <w:rsid w:val="0072361C"/>
    <w:rsid w:val="0072382C"/>
    <w:rsid w:val="007238F8"/>
    <w:rsid w:val="00723CFB"/>
    <w:rsid w:val="00723E10"/>
    <w:rsid w:val="00723EBD"/>
    <w:rsid w:val="00724039"/>
    <w:rsid w:val="007243CC"/>
    <w:rsid w:val="00724BD4"/>
    <w:rsid w:val="00724D05"/>
    <w:rsid w:val="007253A2"/>
    <w:rsid w:val="007253FD"/>
    <w:rsid w:val="0072595B"/>
    <w:rsid w:val="0072595E"/>
    <w:rsid w:val="00725A09"/>
    <w:rsid w:val="00725F47"/>
    <w:rsid w:val="00725FF9"/>
    <w:rsid w:val="0072619C"/>
    <w:rsid w:val="00726474"/>
    <w:rsid w:val="0072651F"/>
    <w:rsid w:val="007266B6"/>
    <w:rsid w:val="00726BDE"/>
    <w:rsid w:val="00726C74"/>
    <w:rsid w:val="00726CBF"/>
    <w:rsid w:val="00726DE8"/>
    <w:rsid w:val="00726F73"/>
    <w:rsid w:val="0072708F"/>
    <w:rsid w:val="00727208"/>
    <w:rsid w:val="0072720E"/>
    <w:rsid w:val="0072746D"/>
    <w:rsid w:val="00727480"/>
    <w:rsid w:val="00727628"/>
    <w:rsid w:val="00727A3A"/>
    <w:rsid w:val="00727A64"/>
    <w:rsid w:val="00727D38"/>
    <w:rsid w:val="00727F00"/>
    <w:rsid w:val="00727FB9"/>
    <w:rsid w:val="00727FD2"/>
    <w:rsid w:val="00730469"/>
    <w:rsid w:val="00730471"/>
    <w:rsid w:val="00730696"/>
    <w:rsid w:val="007307F2"/>
    <w:rsid w:val="00730888"/>
    <w:rsid w:val="0073098C"/>
    <w:rsid w:val="00730CF5"/>
    <w:rsid w:val="00730E99"/>
    <w:rsid w:val="00730EBF"/>
    <w:rsid w:val="00731270"/>
    <w:rsid w:val="007312AA"/>
    <w:rsid w:val="0073136B"/>
    <w:rsid w:val="00731433"/>
    <w:rsid w:val="00731659"/>
    <w:rsid w:val="00731908"/>
    <w:rsid w:val="0073198E"/>
    <w:rsid w:val="00731CEE"/>
    <w:rsid w:val="00732146"/>
    <w:rsid w:val="007323F4"/>
    <w:rsid w:val="00732420"/>
    <w:rsid w:val="00732809"/>
    <w:rsid w:val="00732A3D"/>
    <w:rsid w:val="00732AAE"/>
    <w:rsid w:val="00732FEA"/>
    <w:rsid w:val="00733149"/>
    <w:rsid w:val="007333DC"/>
    <w:rsid w:val="007334E6"/>
    <w:rsid w:val="007336C1"/>
    <w:rsid w:val="00733970"/>
    <w:rsid w:val="007339E6"/>
    <w:rsid w:val="00733A42"/>
    <w:rsid w:val="00733BA4"/>
    <w:rsid w:val="00733CC8"/>
    <w:rsid w:val="007341C5"/>
    <w:rsid w:val="0073429A"/>
    <w:rsid w:val="0073438F"/>
    <w:rsid w:val="00734416"/>
    <w:rsid w:val="0073448F"/>
    <w:rsid w:val="007344B8"/>
    <w:rsid w:val="007344D4"/>
    <w:rsid w:val="0073451A"/>
    <w:rsid w:val="00734583"/>
    <w:rsid w:val="0073464B"/>
    <w:rsid w:val="00734719"/>
    <w:rsid w:val="00734795"/>
    <w:rsid w:val="00734890"/>
    <w:rsid w:val="00734924"/>
    <w:rsid w:val="00734948"/>
    <w:rsid w:val="00734B69"/>
    <w:rsid w:val="00734C1B"/>
    <w:rsid w:val="00734CE0"/>
    <w:rsid w:val="00735318"/>
    <w:rsid w:val="007353F9"/>
    <w:rsid w:val="007356A6"/>
    <w:rsid w:val="00735781"/>
    <w:rsid w:val="00735FA3"/>
    <w:rsid w:val="007361B5"/>
    <w:rsid w:val="0073637D"/>
    <w:rsid w:val="007364F4"/>
    <w:rsid w:val="00736612"/>
    <w:rsid w:val="0073667F"/>
    <w:rsid w:val="00736699"/>
    <w:rsid w:val="007368E5"/>
    <w:rsid w:val="00736A2E"/>
    <w:rsid w:val="00736B37"/>
    <w:rsid w:val="00736B47"/>
    <w:rsid w:val="00736C68"/>
    <w:rsid w:val="00736D44"/>
    <w:rsid w:val="00736DCE"/>
    <w:rsid w:val="00736DD0"/>
    <w:rsid w:val="00736E1C"/>
    <w:rsid w:val="00736E9D"/>
    <w:rsid w:val="00736F15"/>
    <w:rsid w:val="007371F0"/>
    <w:rsid w:val="0073727F"/>
    <w:rsid w:val="0073742F"/>
    <w:rsid w:val="0073752F"/>
    <w:rsid w:val="00737717"/>
    <w:rsid w:val="00737C59"/>
    <w:rsid w:val="00737E08"/>
    <w:rsid w:val="00737EC2"/>
    <w:rsid w:val="007401C2"/>
    <w:rsid w:val="007407AB"/>
    <w:rsid w:val="00740E74"/>
    <w:rsid w:val="00741363"/>
    <w:rsid w:val="007413B8"/>
    <w:rsid w:val="0074151B"/>
    <w:rsid w:val="00741629"/>
    <w:rsid w:val="00741B0F"/>
    <w:rsid w:val="00741E21"/>
    <w:rsid w:val="00742120"/>
    <w:rsid w:val="00742252"/>
    <w:rsid w:val="00742256"/>
    <w:rsid w:val="00742280"/>
    <w:rsid w:val="007422F0"/>
    <w:rsid w:val="007423A6"/>
    <w:rsid w:val="007423DC"/>
    <w:rsid w:val="007427F5"/>
    <w:rsid w:val="00742861"/>
    <w:rsid w:val="0074293D"/>
    <w:rsid w:val="00742C17"/>
    <w:rsid w:val="00742E8F"/>
    <w:rsid w:val="0074314C"/>
    <w:rsid w:val="007431F4"/>
    <w:rsid w:val="00743282"/>
    <w:rsid w:val="00743303"/>
    <w:rsid w:val="00743446"/>
    <w:rsid w:val="0074355B"/>
    <w:rsid w:val="00743C39"/>
    <w:rsid w:val="00743CE3"/>
    <w:rsid w:val="00743DDF"/>
    <w:rsid w:val="00743E9B"/>
    <w:rsid w:val="00743F98"/>
    <w:rsid w:val="00744003"/>
    <w:rsid w:val="007440E1"/>
    <w:rsid w:val="007441C1"/>
    <w:rsid w:val="007441E5"/>
    <w:rsid w:val="00744902"/>
    <w:rsid w:val="007449E9"/>
    <w:rsid w:val="00744A89"/>
    <w:rsid w:val="00744C83"/>
    <w:rsid w:val="00744D11"/>
    <w:rsid w:val="00744E47"/>
    <w:rsid w:val="0074504F"/>
    <w:rsid w:val="007450B3"/>
    <w:rsid w:val="007451A9"/>
    <w:rsid w:val="007451CA"/>
    <w:rsid w:val="00745775"/>
    <w:rsid w:val="007457E2"/>
    <w:rsid w:val="00745A8D"/>
    <w:rsid w:val="00745C54"/>
    <w:rsid w:val="00745FA8"/>
    <w:rsid w:val="0074602D"/>
    <w:rsid w:val="007460A4"/>
    <w:rsid w:val="007460B5"/>
    <w:rsid w:val="0074611B"/>
    <w:rsid w:val="007461FF"/>
    <w:rsid w:val="007462D6"/>
    <w:rsid w:val="007462F1"/>
    <w:rsid w:val="00746410"/>
    <w:rsid w:val="00746541"/>
    <w:rsid w:val="007466E5"/>
    <w:rsid w:val="00746881"/>
    <w:rsid w:val="007469DD"/>
    <w:rsid w:val="00746B54"/>
    <w:rsid w:val="007470AE"/>
    <w:rsid w:val="007474F8"/>
    <w:rsid w:val="00747578"/>
    <w:rsid w:val="00747AF7"/>
    <w:rsid w:val="00747BDE"/>
    <w:rsid w:val="00747C50"/>
    <w:rsid w:val="00750050"/>
    <w:rsid w:val="0075012F"/>
    <w:rsid w:val="007502C7"/>
    <w:rsid w:val="007509B5"/>
    <w:rsid w:val="00750CDB"/>
    <w:rsid w:val="00750D3B"/>
    <w:rsid w:val="00750F3D"/>
    <w:rsid w:val="00750FF1"/>
    <w:rsid w:val="0075101F"/>
    <w:rsid w:val="007511A3"/>
    <w:rsid w:val="007514C5"/>
    <w:rsid w:val="007516F0"/>
    <w:rsid w:val="00751A3D"/>
    <w:rsid w:val="00751AD9"/>
    <w:rsid w:val="00751B3A"/>
    <w:rsid w:val="00751BD9"/>
    <w:rsid w:val="00751C84"/>
    <w:rsid w:val="00751CF9"/>
    <w:rsid w:val="00751D9F"/>
    <w:rsid w:val="00751E5D"/>
    <w:rsid w:val="00751FC7"/>
    <w:rsid w:val="00752327"/>
    <w:rsid w:val="0075254F"/>
    <w:rsid w:val="007525E6"/>
    <w:rsid w:val="007526EC"/>
    <w:rsid w:val="00752D00"/>
    <w:rsid w:val="00752E59"/>
    <w:rsid w:val="00752FA5"/>
    <w:rsid w:val="00753488"/>
    <w:rsid w:val="0075372C"/>
    <w:rsid w:val="007538D0"/>
    <w:rsid w:val="00753947"/>
    <w:rsid w:val="00753A99"/>
    <w:rsid w:val="00753CDA"/>
    <w:rsid w:val="00753F96"/>
    <w:rsid w:val="0075447C"/>
    <w:rsid w:val="0075461A"/>
    <w:rsid w:val="007548F6"/>
    <w:rsid w:val="00754AFB"/>
    <w:rsid w:val="00754B04"/>
    <w:rsid w:val="007550AB"/>
    <w:rsid w:val="007550DF"/>
    <w:rsid w:val="00755270"/>
    <w:rsid w:val="007555EF"/>
    <w:rsid w:val="007557A1"/>
    <w:rsid w:val="00755803"/>
    <w:rsid w:val="007558FF"/>
    <w:rsid w:val="00755942"/>
    <w:rsid w:val="00755B6C"/>
    <w:rsid w:val="00755C5B"/>
    <w:rsid w:val="00756063"/>
    <w:rsid w:val="007560D5"/>
    <w:rsid w:val="0075613C"/>
    <w:rsid w:val="0075634B"/>
    <w:rsid w:val="00756439"/>
    <w:rsid w:val="0075656B"/>
    <w:rsid w:val="0075666C"/>
    <w:rsid w:val="0075674E"/>
    <w:rsid w:val="007567A4"/>
    <w:rsid w:val="00756847"/>
    <w:rsid w:val="00756C2D"/>
    <w:rsid w:val="0075705A"/>
    <w:rsid w:val="007570B9"/>
    <w:rsid w:val="007570BC"/>
    <w:rsid w:val="00757117"/>
    <w:rsid w:val="00757412"/>
    <w:rsid w:val="00757458"/>
    <w:rsid w:val="0075770C"/>
    <w:rsid w:val="007578F5"/>
    <w:rsid w:val="0075797E"/>
    <w:rsid w:val="00757AB6"/>
    <w:rsid w:val="00757AC9"/>
    <w:rsid w:val="00757EEE"/>
    <w:rsid w:val="00760191"/>
    <w:rsid w:val="00760412"/>
    <w:rsid w:val="00760CA8"/>
    <w:rsid w:val="00760DC4"/>
    <w:rsid w:val="00760EFA"/>
    <w:rsid w:val="00760F39"/>
    <w:rsid w:val="00760F64"/>
    <w:rsid w:val="0076156B"/>
    <w:rsid w:val="007615C6"/>
    <w:rsid w:val="007618C3"/>
    <w:rsid w:val="00761987"/>
    <w:rsid w:val="00761BAA"/>
    <w:rsid w:val="00761C3D"/>
    <w:rsid w:val="00761D28"/>
    <w:rsid w:val="00761DF0"/>
    <w:rsid w:val="0076226A"/>
    <w:rsid w:val="0076234B"/>
    <w:rsid w:val="0076271A"/>
    <w:rsid w:val="0076278A"/>
    <w:rsid w:val="007628A9"/>
    <w:rsid w:val="007629C6"/>
    <w:rsid w:val="00762C6C"/>
    <w:rsid w:val="00762D93"/>
    <w:rsid w:val="00762E3A"/>
    <w:rsid w:val="00762FFB"/>
    <w:rsid w:val="0076312E"/>
    <w:rsid w:val="0076326A"/>
    <w:rsid w:val="00763398"/>
    <w:rsid w:val="007633D6"/>
    <w:rsid w:val="007633DB"/>
    <w:rsid w:val="00763697"/>
    <w:rsid w:val="00763817"/>
    <w:rsid w:val="00763895"/>
    <w:rsid w:val="00763A6D"/>
    <w:rsid w:val="00763BD8"/>
    <w:rsid w:val="00763F14"/>
    <w:rsid w:val="00763F21"/>
    <w:rsid w:val="00763FB5"/>
    <w:rsid w:val="007646AE"/>
    <w:rsid w:val="00764AB4"/>
    <w:rsid w:val="00764B95"/>
    <w:rsid w:val="00764E7B"/>
    <w:rsid w:val="00764F7B"/>
    <w:rsid w:val="007652BC"/>
    <w:rsid w:val="007653DA"/>
    <w:rsid w:val="00765408"/>
    <w:rsid w:val="007656C9"/>
    <w:rsid w:val="00765830"/>
    <w:rsid w:val="007658D2"/>
    <w:rsid w:val="00765972"/>
    <w:rsid w:val="007659A4"/>
    <w:rsid w:val="00765DAB"/>
    <w:rsid w:val="00765FAE"/>
    <w:rsid w:val="00765FC7"/>
    <w:rsid w:val="0076614E"/>
    <w:rsid w:val="007662D6"/>
    <w:rsid w:val="00766491"/>
    <w:rsid w:val="007666B3"/>
    <w:rsid w:val="0076677A"/>
    <w:rsid w:val="00766962"/>
    <w:rsid w:val="00766BE5"/>
    <w:rsid w:val="00766BF5"/>
    <w:rsid w:val="00766CC2"/>
    <w:rsid w:val="00766D67"/>
    <w:rsid w:val="00766EE4"/>
    <w:rsid w:val="00766F02"/>
    <w:rsid w:val="00767040"/>
    <w:rsid w:val="007671B0"/>
    <w:rsid w:val="007671FC"/>
    <w:rsid w:val="0076749D"/>
    <w:rsid w:val="00767AF9"/>
    <w:rsid w:val="00767C8F"/>
    <w:rsid w:val="00767DDE"/>
    <w:rsid w:val="00767FF3"/>
    <w:rsid w:val="00770066"/>
    <w:rsid w:val="00770354"/>
    <w:rsid w:val="00770580"/>
    <w:rsid w:val="00770946"/>
    <w:rsid w:val="007709BA"/>
    <w:rsid w:val="00770BB8"/>
    <w:rsid w:val="00770CAF"/>
    <w:rsid w:val="00770CD1"/>
    <w:rsid w:val="00771231"/>
    <w:rsid w:val="007712A3"/>
    <w:rsid w:val="007712B1"/>
    <w:rsid w:val="0077147F"/>
    <w:rsid w:val="007714CD"/>
    <w:rsid w:val="0077156C"/>
    <w:rsid w:val="0077180C"/>
    <w:rsid w:val="0077184A"/>
    <w:rsid w:val="0077192C"/>
    <w:rsid w:val="00771BBF"/>
    <w:rsid w:val="00771C70"/>
    <w:rsid w:val="00771D86"/>
    <w:rsid w:val="00771F71"/>
    <w:rsid w:val="00771FCB"/>
    <w:rsid w:val="00772091"/>
    <w:rsid w:val="00772120"/>
    <w:rsid w:val="0077216F"/>
    <w:rsid w:val="007722CF"/>
    <w:rsid w:val="007724FD"/>
    <w:rsid w:val="00772A87"/>
    <w:rsid w:val="00772B78"/>
    <w:rsid w:val="00772D12"/>
    <w:rsid w:val="00772DE0"/>
    <w:rsid w:val="007730C1"/>
    <w:rsid w:val="007732CC"/>
    <w:rsid w:val="007733FB"/>
    <w:rsid w:val="007735B1"/>
    <w:rsid w:val="007735BB"/>
    <w:rsid w:val="00773725"/>
    <w:rsid w:val="007737C9"/>
    <w:rsid w:val="00773949"/>
    <w:rsid w:val="00773BAD"/>
    <w:rsid w:val="00773C48"/>
    <w:rsid w:val="00773D94"/>
    <w:rsid w:val="00773DC1"/>
    <w:rsid w:val="00773F98"/>
    <w:rsid w:val="007740AB"/>
    <w:rsid w:val="007741E6"/>
    <w:rsid w:val="00774397"/>
    <w:rsid w:val="00774722"/>
    <w:rsid w:val="007747A8"/>
    <w:rsid w:val="0077489A"/>
    <w:rsid w:val="00774C50"/>
    <w:rsid w:val="00774E20"/>
    <w:rsid w:val="00774E21"/>
    <w:rsid w:val="00774E29"/>
    <w:rsid w:val="00774E90"/>
    <w:rsid w:val="00774FAC"/>
    <w:rsid w:val="007750D3"/>
    <w:rsid w:val="007750E2"/>
    <w:rsid w:val="007751A7"/>
    <w:rsid w:val="00775241"/>
    <w:rsid w:val="007752F2"/>
    <w:rsid w:val="00775325"/>
    <w:rsid w:val="00775359"/>
    <w:rsid w:val="0077570C"/>
    <w:rsid w:val="0077594B"/>
    <w:rsid w:val="00775CFB"/>
    <w:rsid w:val="00775DBD"/>
    <w:rsid w:val="00775DC7"/>
    <w:rsid w:val="00775E7C"/>
    <w:rsid w:val="007760D5"/>
    <w:rsid w:val="0077616C"/>
    <w:rsid w:val="007765E3"/>
    <w:rsid w:val="00776C1B"/>
    <w:rsid w:val="007774C4"/>
    <w:rsid w:val="00777FDF"/>
    <w:rsid w:val="00780334"/>
    <w:rsid w:val="00780524"/>
    <w:rsid w:val="007806E2"/>
    <w:rsid w:val="007808B2"/>
    <w:rsid w:val="0078108D"/>
    <w:rsid w:val="007810E5"/>
    <w:rsid w:val="007810EE"/>
    <w:rsid w:val="007810F3"/>
    <w:rsid w:val="00781294"/>
    <w:rsid w:val="007815F5"/>
    <w:rsid w:val="0078163F"/>
    <w:rsid w:val="00781B11"/>
    <w:rsid w:val="00781B47"/>
    <w:rsid w:val="00781C18"/>
    <w:rsid w:val="00781DB9"/>
    <w:rsid w:val="00781E29"/>
    <w:rsid w:val="00781EFE"/>
    <w:rsid w:val="00781F75"/>
    <w:rsid w:val="00782319"/>
    <w:rsid w:val="00782482"/>
    <w:rsid w:val="007824C0"/>
    <w:rsid w:val="00782528"/>
    <w:rsid w:val="0078259F"/>
    <w:rsid w:val="0078281E"/>
    <w:rsid w:val="00782828"/>
    <w:rsid w:val="00782994"/>
    <w:rsid w:val="00782B3A"/>
    <w:rsid w:val="00782BBB"/>
    <w:rsid w:val="00782BF7"/>
    <w:rsid w:val="00782D6C"/>
    <w:rsid w:val="00782DEC"/>
    <w:rsid w:val="00783180"/>
    <w:rsid w:val="00783332"/>
    <w:rsid w:val="00783485"/>
    <w:rsid w:val="00783547"/>
    <w:rsid w:val="007836E0"/>
    <w:rsid w:val="007836FA"/>
    <w:rsid w:val="0078393D"/>
    <w:rsid w:val="00783949"/>
    <w:rsid w:val="0078396F"/>
    <w:rsid w:val="00783AC3"/>
    <w:rsid w:val="00783CFC"/>
    <w:rsid w:val="00783DD3"/>
    <w:rsid w:val="00783DD5"/>
    <w:rsid w:val="00783ED3"/>
    <w:rsid w:val="00783F96"/>
    <w:rsid w:val="0078405F"/>
    <w:rsid w:val="0078411F"/>
    <w:rsid w:val="00784444"/>
    <w:rsid w:val="00784677"/>
    <w:rsid w:val="00784744"/>
    <w:rsid w:val="00784AFC"/>
    <w:rsid w:val="00784B8A"/>
    <w:rsid w:val="00784C65"/>
    <w:rsid w:val="00784DFE"/>
    <w:rsid w:val="00784E48"/>
    <w:rsid w:val="00784F3C"/>
    <w:rsid w:val="00784F42"/>
    <w:rsid w:val="00784F5B"/>
    <w:rsid w:val="00784FB8"/>
    <w:rsid w:val="0078520B"/>
    <w:rsid w:val="007853D3"/>
    <w:rsid w:val="007854F9"/>
    <w:rsid w:val="007855EA"/>
    <w:rsid w:val="007857A6"/>
    <w:rsid w:val="00785986"/>
    <w:rsid w:val="00785CA0"/>
    <w:rsid w:val="00785CDE"/>
    <w:rsid w:val="00785D1C"/>
    <w:rsid w:val="00785FF4"/>
    <w:rsid w:val="0078641F"/>
    <w:rsid w:val="007864B9"/>
    <w:rsid w:val="00786632"/>
    <w:rsid w:val="00786C45"/>
    <w:rsid w:val="00786D41"/>
    <w:rsid w:val="00786E8B"/>
    <w:rsid w:val="00786EA3"/>
    <w:rsid w:val="0078704E"/>
    <w:rsid w:val="0078744C"/>
    <w:rsid w:val="007876AB"/>
    <w:rsid w:val="007878F9"/>
    <w:rsid w:val="007879A1"/>
    <w:rsid w:val="007879CB"/>
    <w:rsid w:val="00787BDB"/>
    <w:rsid w:val="00787D97"/>
    <w:rsid w:val="0079016D"/>
    <w:rsid w:val="00790255"/>
    <w:rsid w:val="00790320"/>
    <w:rsid w:val="007905E3"/>
    <w:rsid w:val="00790661"/>
    <w:rsid w:val="00790676"/>
    <w:rsid w:val="007906F2"/>
    <w:rsid w:val="00790826"/>
    <w:rsid w:val="0079088D"/>
    <w:rsid w:val="007909F4"/>
    <w:rsid w:val="00790C7D"/>
    <w:rsid w:val="00791142"/>
    <w:rsid w:val="0079129D"/>
    <w:rsid w:val="0079140A"/>
    <w:rsid w:val="007915AF"/>
    <w:rsid w:val="007916F6"/>
    <w:rsid w:val="0079184E"/>
    <w:rsid w:val="0079185C"/>
    <w:rsid w:val="0079187B"/>
    <w:rsid w:val="007919A8"/>
    <w:rsid w:val="00791B36"/>
    <w:rsid w:val="00791F01"/>
    <w:rsid w:val="00791F98"/>
    <w:rsid w:val="00792065"/>
    <w:rsid w:val="0079239D"/>
    <w:rsid w:val="00792645"/>
    <w:rsid w:val="00792710"/>
    <w:rsid w:val="007927B2"/>
    <w:rsid w:val="007929E6"/>
    <w:rsid w:val="00792BBE"/>
    <w:rsid w:val="00792E41"/>
    <w:rsid w:val="0079305A"/>
    <w:rsid w:val="0079305D"/>
    <w:rsid w:val="007934E4"/>
    <w:rsid w:val="00793558"/>
    <w:rsid w:val="007937A3"/>
    <w:rsid w:val="0079396A"/>
    <w:rsid w:val="00793A5D"/>
    <w:rsid w:val="00793E29"/>
    <w:rsid w:val="00793F19"/>
    <w:rsid w:val="007940BF"/>
    <w:rsid w:val="0079415E"/>
    <w:rsid w:val="0079441B"/>
    <w:rsid w:val="00794896"/>
    <w:rsid w:val="0079491D"/>
    <w:rsid w:val="0079496F"/>
    <w:rsid w:val="00794A58"/>
    <w:rsid w:val="00794B2C"/>
    <w:rsid w:val="00794D24"/>
    <w:rsid w:val="00794DB1"/>
    <w:rsid w:val="00794E48"/>
    <w:rsid w:val="00794E76"/>
    <w:rsid w:val="007950A8"/>
    <w:rsid w:val="00795390"/>
    <w:rsid w:val="00795512"/>
    <w:rsid w:val="0079571C"/>
    <w:rsid w:val="00795A1C"/>
    <w:rsid w:val="00795B95"/>
    <w:rsid w:val="00795EDC"/>
    <w:rsid w:val="00796530"/>
    <w:rsid w:val="0079667C"/>
    <w:rsid w:val="0079686C"/>
    <w:rsid w:val="0079687F"/>
    <w:rsid w:val="00796B3C"/>
    <w:rsid w:val="00796B5B"/>
    <w:rsid w:val="0079704B"/>
    <w:rsid w:val="007975F9"/>
    <w:rsid w:val="0079764C"/>
    <w:rsid w:val="00797716"/>
    <w:rsid w:val="007977FF"/>
    <w:rsid w:val="00797944"/>
    <w:rsid w:val="00797C5F"/>
    <w:rsid w:val="00797D09"/>
    <w:rsid w:val="00797D62"/>
    <w:rsid w:val="00797D97"/>
    <w:rsid w:val="00797E2F"/>
    <w:rsid w:val="00797F6F"/>
    <w:rsid w:val="007A0252"/>
    <w:rsid w:val="007A0283"/>
    <w:rsid w:val="007A0825"/>
    <w:rsid w:val="007A09CC"/>
    <w:rsid w:val="007A0B83"/>
    <w:rsid w:val="007A0B84"/>
    <w:rsid w:val="007A0D9D"/>
    <w:rsid w:val="007A0DED"/>
    <w:rsid w:val="007A0F05"/>
    <w:rsid w:val="007A0FD0"/>
    <w:rsid w:val="007A10BB"/>
    <w:rsid w:val="007A11D4"/>
    <w:rsid w:val="007A1238"/>
    <w:rsid w:val="007A1421"/>
    <w:rsid w:val="007A1599"/>
    <w:rsid w:val="007A160F"/>
    <w:rsid w:val="007A1C8F"/>
    <w:rsid w:val="007A1CDE"/>
    <w:rsid w:val="007A20C1"/>
    <w:rsid w:val="007A20F7"/>
    <w:rsid w:val="007A2166"/>
    <w:rsid w:val="007A22FF"/>
    <w:rsid w:val="007A25F7"/>
    <w:rsid w:val="007A2AFD"/>
    <w:rsid w:val="007A2E65"/>
    <w:rsid w:val="007A2EAA"/>
    <w:rsid w:val="007A318A"/>
    <w:rsid w:val="007A31D2"/>
    <w:rsid w:val="007A320E"/>
    <w:rsid w:val="007A3240"/>
    <w:rsid w:val="007A36C9"/>
    <w:rsid w:val="007A37DC"/>
    <w:rsid w:val="007A3ACD"/>
    <w:rsid w:val="007A3B53"/>
    <w:rsid w:val="007A3BAF"/>
    <w:rsid w:val="007A3BF3"/>
    <w:rsid w:val="007A3C93"/>
    <w:rsid w:val="007A3E4A"/>
    <w:rsid w:val="007A4026"/>
    <w:rsid w:val="007A404F"/>
    <w:rsid w:val="007A431A"/>
    <w:rsid w:val="007A43BB"/>
    <w:rsid w:val="007A457F"/>
    <w:rsid w:val="007A4760"/>
    <w:rsid w:val="007A481F"/>
    <w:rsid w:val="007A48E4"/>
    <w:rsid w:val="007A4992"/>
    <w:rsid w:val="007A4E5F"/>
    <w:rsid w:val="007A50A7"/>
    <w:rsid w:val="007A5499"/>
    <w:rsid w:val="007A56AB"/>
    <w:rsid w:val="007A5917"/>
    <w:rsid w:val="007A5936"/>
    <w:rsid w:val="007A5AB6"/>
    <w:rsid w:val="007A5B4B"/>
    <w:rsid w:val="007A5B7C"/>
    <w:rsid w:val="007A5C24"/>
    <w:rsid w:val="007A5D69"/>
    <w:rsid w:val="007A5E14"/>
    <w:rsid w:val="007A6001"/>
    <w:rsid w:val="007A619C"/>
    <w:rsid w:val="007A620F"/>
    <w:rsid w:val="007A633C"/>
    <w:rsid w:val="007A6441"/>
    <w:rsid w:val="007A68CA"/>
    <w:rsid w:val="007A69D2"/>
    <w:rsid w:val="007A6A10"/>
    <w:rsid w:val="007A6A46"/>
    <w:rsid w:val="007A6AFA"/>
    <w:rsid w:val="007A70FE"/>
    <w:rsid w:val="007A7202"/>
    <w:rsid w:val="007A7249"/>
    <w:rsid w:val="007A7321"/>
    <w:rsid w:val="007A743E"/>
    <w:rsid w:val="007A76B5"/>
    <w:rsid w:val="007A78C5"/>
    <w:rsid w:val="007A78ED"/>
    <w:rsid w:val="007A7B74"/>
    <w:rsid w:val="007A7C4F"/>
    <w:rsid w:val="007A7C9C"/>
    <w:rsid w:val="007A7E1A"/>
    <w:rsid w:val="007A7F10"/>
    <w:rsid w:val="007A7F6D"/>
    <w:rsid w:val="007B00BA"/>
    <w:rsid w:val="007B017E"/>
    <w:rsid w:val="007B04BF"/>
    <w:rsid w:val="007B0506"/>
    <w:rsid w:val="007B07D8"/>
    <w:rsid w:val="007B082E"/>
    <w:rsid w:val="007B0A8C"/>
    <w:rsid w:val="007B0BBF"/>
    <w:rsid w:val="007B0DB5"/>
    <w:rsid w:val="007B121F"/>
    <w:rsid w:val="007B16E4"/>
    <w:rsid w:val="007B1724"/>
    <w:rsid w:val="007B173A"/>
    <w:rsid w:val="007B1817"/>
    <w:rsid w:val="007B19AA"/>
    <w:rsid w:val="007B19BB"/>
    <w:rsid w:val="007B1A53"/>
    <w:rsid w:val="007B1C1F"/>
    <w:rsid w:val="007B1C46"/>
    <w:rsid w:val="007B1E14"/>
    <w:rsid w:val="007B1F23"/>
    <w:rsid w:val="007B1FCF"/>
    <w:rsid w:val="007B2030"/>
    <w:rsid w:val="007B2099"/>
    <w:rsid w:val="007B2320"/>
    <w:rsid w:val="007B249E"/>
    <w:rsid w:val="007B24C0"/>
    <w:rsid w:val="007B28ED"/>
    <w:rsid w:val="007B29C4"/>
    <w:rsid w:val="007B2C08"/>
    <w:rsid w:val="007B2C3F"/>
    <w:rsid w:val="007B2E95"/>
    <w:rsid w:val="007B2FB1"/>
    <w:rsid w:val="007B305E"/>
    <w:rsid w:val="007B3193"/>
    <w:rsid w:val="007B3466"/>
    <w:rsid w:val="007B35A9"/>
    <w:rsid w:val="007B35B7"/>
    <w:rsid w:val="007B39C2"/>
    <w:rsid w:val="007B3A52"/>
    <w:rsid w:val="007B3B6E"/>
    <w:rsid w:val="007B3EE3"/>
    <w:rsid w:val="007B4261"/>
    <w:rsid w:val="007B4389"/>
    <w:rsid w:val="007B43AB"/>
    <w:rsid w:val="007B446F"/>
    <w:rsid w:val="007B451F"/>
    <w:rsid w:val="007B45E3"/>
    <w:rsid w:val="007B45EC"/>
    <w:rsid w:val="007B4ADB"/>
    <w:rsid w:val="007B4B7B"/>
    <w:rsid w:val="007B4BBB"/>
    <w:rsid w:val="007B4C63"/>
    <w:rsid w:val="007B4CF5"/>
    <w:rsid w:val="007B4D1B"/>
    <w:rsid w:val="007B4D64"/>
    <w:rsid w:val="007B5030"/>
    <w:rsid w:val="007B5091"/>
    <w:rsid w:val="007B5624"/>
    <w:rsid w:val="007B5632"/>
    <w:rsid w:val="007B56B0"/>
    <w:rsid w:val="007B5820"/>
    <w:rsid w:val="007B5865"/>
    <w:rsid w:val="007B5959"/>
    <w:rsid w:val="007B59B3"/>
    <w:rsid w:val="007B5A7D"/>
    <w:rsid w:val="007B5BDB"/>
    <w:rsid w:val="007B5E9C"/>
    <w:rsid w:val="007B625F"/>
    <w:rsid w:val="007B6592"/>
    <w:rsid w:val="007B65B3"/>
    <w:rsid w:val="007B6826"/>
    <w:rsid w:val="007B6862"/>
    <w:rsid w:val="007B68A9"/>
    <w:rsid w:val="007B692B"/>
    <w:rsid w:val="007B6A31"/>
    <w:rsid w:val="007B6A4D"/>
    <w:rsid w:val="007B6BB1"/>
    <w:rsid w:val="007B6C04"/>
    <w:rsid w:val="007B6CB0"/>
    <w:rsid w:val="007B6CCB"/>
    <w:rsid w:val="007B6CD8"/>
    <w:rsid w:val="007B6E53"/>
    <w:rsid w:val="007B6E7D"/>
    <w:rsid w:val="007B6E82"/>
    <w:rsid w:val="007B7093"/>
    <w:rsid w:val="007B75E1"/>
    <w:rsid w:val="007B7707"/>
    <w:rsid w:val="007C0008"/>
    <w:rsid w:val="007C008A"/>
    <w:rsid w:val="007C01CC"/>
    <w:rsid w:val="007C02B2"/>
    <w:rsid w:val="007C03FF"/>
    <w:rsid w:val="007C05BC"/>
    <w:rsid w:val="007C0C20"/>
    <w:rsid w:val="007C0C5F"/>
    <w:rsid w:val="007C0EE9"/>
    <w:rsid w:val="007C1020"/>
    <w:rsid w:val="007C1204"/>
    <w:rsid w:val="007C128C"/>
    <w:rsid w:val="007C1291"/>
    <w:rsid w:val="007C12AC"/>
    <w:rsid w:val="007C1760"/>
    <w:rsid w:val="007C1A95"/>
    <w:rsid w:val="007C1B68"/>
    <w:rsid w:val="007C1C8A"/>
    <w:rsid w:val="007C1CCE"/>
    <w:rsid w:val="007C1D72"/>
    <w:rsid w:val="007C1EF9"/>
    <w:rsid w:val="007C2562"/>
    <w:rsid w:val="007C2590"/>
    <w:rsid w:val="007C266A"/>
    <w:rsid w:val="007C2766"/>
    <w:rsid w:val="007C2820"/>
    <w:rsid w:val="007C28BE"/>
    <w:rsid w:val="007C2A62"/>
    <w:rsid w:val="007C2B59"/>
    <w:rsid w:val="007C2BB9"/>
    <w:rsid w:val="007C2D52"/>
    <w:rsid w:val="007C2E2A"/>
    <w:rsid w:val="007C2EA5"/>
    <w:rsid w:val="007C33E8"/>
    <w:rsid w:val="007C349D"/>
    <w:rsid w:val="007C34FE"/>
    <w:rsid w:val="007C3553"/>
    <w:rsid w:val="007C3B0D"/>
    <w:rsid w:val="007C3DAF"/>
    <w:rsid w:val="007C4146"/>
    <w:rsid w:val="007C438E"/>
    <w:rsid w:val="007C4412"/>
    <w:rsid w:val="007C45C6"/>
    <w:rsid w:val="007C47F1"/>
    <w:rsid w:val="007C4BC8"/>
    <w:rsid w:val="007C4EFE"/>
    <w:rsid w:val="007C4F39"/>
    <w:rsid w:val="007C51AF"/>
    <w:rsid w:val="007C5300"/>
    <w:rsid w:val="007C530D"/>
    <w:rsid w:val="007C542E"/>
    <w:rsid w:val="007C546A"/>
    <w:rsid w:val="007C5747"/>
    <w:rsid w:val="007C58CC"/>
    <w:rsid w:val="007C5924"/>
    <w:rsid w:val="007C5BBD"/>
    <w:rsid w:val="007C5D9D"/>
    <w:rsid w:val="007C5E8B"/>
    <w:rsid w:val="007C5FE4"/>
    <w:rsid w:val="007C60B4"/>
    <w:rsid w:val="007C6321"/>
    <w:rsid w:val="007C643E"/>
    <w:rsid w:val="007C65E8"/>
    <w:rsid w:val="007C666F"/>
    <w:rsid w:val="007C6722"/>
    <w:rsid w:val="007C6863"/>
    <w:rsid w:val="007C6B66"/>
    <w:rsid w:val="007C6C77"/>
    <w:rsid w:val="007C6D48"/>
    <w:rsid w:val="007C6F58"/>
    <w:rsid w:val="007C70D7"/>
    <w:rsid w:val="007C70FE"/>
    <w:rsid w:val="007C725E"/>
    <w:rsid w:val="007C7277"/>
    <w:rsid w:val="007C72AC"/>
    <w:rsid w:val="007C73F2"/>
    <w:rsid w:val="007C748B"/>
    <w:rsid w:val="007C77D1"/>
    <w:rsid w:val="007C784B"/>
    <w:rsid w:val="007C7944"/>
    <w:rsid w:val="007C7C55"/>
    <w:rsid w:val="007D0023"/>
    <w:rsid w:val="007D00E6"/>
    <w:rsid w:val="007D0152"/>
    <w:rsid w:val="007D077B"/>
    <w:rsid w:val="007D0870"/>
    <w:rsid w:val="007D0AD8"/>
    <w:rsid w:val="007D0B4D"/>
    <w:rsid w:val="007D0CC0"/>
    <w:rsid w:val="007D0D03"/>
    <w:rsid w:val="007D0D59"/>
    <w:rsid w:val="007D0EEC"/>
    <w:rsid w:val="007D0F08"/>
    <w:rsid w:val="007D165E"/>
    <w:rsid w:val="007D177F"/>
    <w:rsid w:val="007D1863"/>
    <w:rsid w:val="007D198B"/>
    <w:rsid w:val="007D1AC9"/>
    <w:rsid w:val="007D1E2A"/>
    <w:rsid w:val="007D1E56"/>
    <w:rsid w:val="007D1F12"/>
    <w:rsid w:val="007D209F"/>
    <w:rsid w:val="007D22BC"/>
    <w:rsid w:val="007D22D9"/>
    <w:rsid w:val="007D23C4"/>
    <w:rsid w:val="007D2437"/>
    <w:rsid w:val="007D2466"/>
    <w:rsid w:val="007D252B"/>
    <w:rsid w:val="007D2604"/>
    <w:rsid w:val="007D263F"/>
    <w:rsid w:val="007D2E56"/>
    <w:rsid w:val="007D2E93"/>
    <w:rsid w:val="007D2EF0"/>
    <w:rsid w:val="007D2F78"/>
    <w:rsid w:val="007D3098"/>
    <w:rsid w:val="007D30EE"/>
    <w:rsid w:val="007D32E5"/>
    <w:rsid w:val="007D3379"/>
    <w:rsid w:val="007D33CB"/>
    <w:rsid w:val="007D350A"/>
    <w:rsid w:val="007D39AA"/>
    <w:rsid w:val="007D3A02"/>
    <w:rsid w:val="007D3AD8"/>
    <w:rsid w:val="007D3FEF"/>
    <w:rsid w:val="007D4117"/>
    <w:rsid w:val="007D4182"/>
    <w:rsid w:val="007D41BF"/>
    <w:rsid w:val="007D44F5"/>
    <w:rsid w:val="007D4789"/>
    <w:rsid w:val="007D47E5"/>
    <w:rsid w:val="007D48ED"/>
    <w:rsid w:val="007D4904"/>
    <w:rsid w:val="007D4914"/>
    <w:rsid w:val="007D4958"/>
    <w:rsid w:val="007D4A84"/>
    <w:rsid w:val="007D4DBB"/>
    <w:rsid w:val="007D50E3"/>
    <w:rsid w:val="007D5398"/>
    <w:rsid w:val="007D53E5"/>
    <w:rsid w:val="007D54B4"/>
    <w:rsid w:val="007D5689"/>
    <w:rsid w:val="007D58B7"/>
    <w:rsid w:val="007D5B19"/>
    <w:rsid w:val="007D5C72"/>
    <w:rsid w:val="007D6038"/>
    <w:rsid w:val="007D6296"/>
    <w:rsid w:val="007D6330"/>
    <w:rsid w:val="007D637B"/>
    <w:rsid w:val="007D6628"/>
    <w:rsid w:val="007D6666"/>
    <w:rsid w:val="007D66B3"/>
    <w:rsid w:val="007D673D"/>
    <w:rsid w:val="007D683E"/>
    <w:rsid w:val="007D688E"/>
    <w:rsid w:val="007D6AAE"/>
    <w:rsid w:val="007D6B94"/>
    <w:rsid w:val="007D6F58"/>
    <w:rsid w:val="007D6F5B"/>
    <w:rsid w:val="007D6F65"/>
    <w:rsid w:val="007D70CC"/>
    <w:rsid w:val="007D75ED"/>
    <w:rsid w:val="007D7672"/>
    <w:rsid w:val="007D77D7"/>
    <w:rsid w:val="007D7B99"/>
    <w:rsid w:val="007D7C7D"/>
    <w:rsid w:val="007D7CA6"/>
    <w:rsid w:val="007D7D46"/>
    <w:rsid w:val="007D7D7D"/>
    <w:rsid w:val="007D7E94"/>
    <w:rsid w:val="007D7EC8"/>
    <w:rsid w:val="007E03C0"/>
    <w:rsid w:val="007E045C"/>
    <w:rsid w:val="007E0A01"/>
    <w:rsid w:val="007E0AB4"/>
    <w:rsid w:val="007E0AB6"/>
    <w:rsid w:val="007E0E7C"/>
    <w:rsid w:val="007E11C7"/>
    <w:rsid w:val="007E121F"/>
    <w:rsid w:val="007E128E"/>
    <w:rsid w:val="007E1342"/>
    <w:rsid w:val="007E153D"/>
    <w:rsid w:val="007E1677"/>
    <w:rsid w:val="007E1A69"/>
    <w:rsid w:val="007E1C41"/>
    <w:rsid w:val="007E2034"/>
    <w:rsid w:val="007E2069"/>
    <w:rsid w:val="007E2289"/>
    <w:rsid w:val="007E24A1"/>
    <w:rsid w:val="007E24F2"/>
    <w:rsid w:val="007E2836"/>
    <w:rsid w:val="007E28AE"/>
    <w:rsid w:val="007E28EF"/>
    <w:rsid w:val="007E2D4E"/>
    <w:rsid w:val="007E2F28"/>
    <w:rsid w:val="007E2F50"/>
    <w:rsid w:val="007E31DA"/>
    <w:rsid w:val="007E32B5"/>
    <w:rsid w:val="007E3527"/>
    <w:rsid w:val="007E370C"/>
    <w:rsid w:val="007E4309"/>
    <w:rsid w:val="007E4322"/>
    <w:rsid w:val="007E4389"/>
    <w:rsid w:val="007E4475"/>
    <w:rsid w:val="007E4495"/>
    <w:rsid w:val="007E457F"/>
    <w:rsid w:val="007E479E"/>
    <w:rsid w:val="007E481F"/>
    <w:rsid w:val="007E4B7D"/>
    <w:rsid w:val="007E4D45"/>
    <w:rsid w:val="007E505D"/>
    <w:rsid w:val="007E50B1"/>
    <w:rsid w:val="007E50BD"/>
    <w:rsid w:val="007E51C5"/>
    <w:rsid w:val="007E521E"/>
    <w:rsid w:val="007E52D5"/>
    <w:rsid w:val="007E55EA"/>
    <w:rsid w:val="007E5625"/>
    <w:rsid w:val="007E562B"/>
    <w:rsid w:val="007E567A"/>
    <w:rsid w:val="007E568A"/>
    <w:rsid w:val="007E57E6"/>
    <w:rsid w:val="007E5A27"/>
    <w:rsid w:val="007E5AE5"/>
    <w:rsid w:val="007E5B59"/>
    <w:rsid w:val="007E5C25"/>
    <w:rsid w:val="007E5C26"/>
    <w:rsid w:val="007E5C87"/>
    <w:rsid w:val="007E5CA6"/>
    <w:rsid w:val="007E5CE9"/>
    <w:rsid w:val="007E5D2B"/>
    <w:rsid w:val="007E5DFE"/>
    <w:rsid w:val="007E6085"/>
    <w:rsid w:val="007E614B"/>
    <w:rsid w:val="007E647C"/>
    <w:rsid w:val="007E649F"/>
    <w:rsid w:val="007E64AD"/>
    <w:rsid w:val="007E681A"/>
    <w:rsid w:val="007E68EA"/>
    <w:rsid w:val="007E6A19"/>
    <w:rsid w:val="007E6C34"/>
    <w:rsid w:val="007E6D89"/>
    <w:rsid w:val="007E6E0A"/>
    <w:rsid w:val="007E6EB8"/>
    <w:rsid w:val="007E7196"/>
    <w:rsid w:val="007E74D2"/>
    <w:rsid w:val="007E7643"/>
    <w:rsid w:val="007E7758"/>
    <w:rsid w:val="007E77D4"/>
    <w:rsid w:val="007E7846"/>
    <w:rsid w:val="007E7905"/>
    <w:rsid w:val="007E7936"/>
    <w:rsid w:val="007E7974"/>
    <w:rsid w:val="007E7A7C"/>
    <w:rsid w:val="007E7BE3"/>
    <w:rsid w:val="007E7C37"/>
    <w:rsid w:val="007E7D34"/>
    <w:rsid w:val="007E7D93"/>
    <w:rsid w:val="007E7E3C"/>
    <w:rsid w:val="007E7EFB"/>
    <w:rsid w:val="007F04D8"/>
    <w:rsid w:val="007F095E"/>
    <w:rsid w:val="007F0963"/>
    <w:rsid w:val="007F0D03"/>
    <w:rsid w:val="007F0D5C"/>
    <w:rsid w:val="007F0EC9"/>
    <w:rsid w:val="007F0F3D"/>
    <w:rsid w:val="007F0FBF"/>
    <w:rsid w:val="007F129A"/>
    <w:rsid w:val="007F12A2"/>
    <w:rsid w:val="007F1750"/>
    <w:rsid w:val="007F18DB"/>
    <w:rsid w:val="007F1A51"/>
    <w:rsid w:val="007F1C4B"/>
    <w:rsid w:val="007F1CE6"/>
    <w:rsid w:val="007F1DD6"/>
    <w:rsid w:val="007F1E2A"/>
    <w:rsid w:val="007F1F98"/>
    <w:rsid w:val="007F2184"/>
    <w:rsid w:val="007F2220"/>
    <w:rsid w:val="007F2284"/>
    <w:rsid w:val="007F23EF"/>
    <w:rsid w:val="007F2410"/>
    <w:rsid w:val="007F2530"/>
    <w:rsid w:val="007F26D3"/>
    <w:rsid w:val="007F271B"/>
    <w:rsid w:val="007F273C"/>
    <w:rsid w:val="007F28A7"/>
    <w:rsid w:val="007F28DB"/>
    <w:rsid w:val="007F2B39"/>
    <w:rsid w:val="007F2DD2"/>
    <w:rsid w:val="007F2E52"/>
    <w:rsid w:val="007F2F70"/>
    <w:rsid w:val="007F34FD"/>
    <w:rsid w:val="007F35F2"/>
    <w:rsid w:val="007F3851"/>
    <w:rsid w:val="007F39DB"/>
    <w:rsid w:val="007F3A35"/>
    <w:rsid w:val="007F3A92"/>
    <w:rsid w:val="007F3C32"/>
    <w:rsid w:val="007F3D54"/>
    <w:rsid w:val="007F3E49"/>
    <w:rsid w:val="007F423C"/>
    <w:rsid w:val="007F42C3"/>
    <w:rsid w:val="007F433A"/>
    <w:rsid w:val="007F43F1"/>
    <w:rsid w:val="007F4436"/>
    <w:rsid w:val="007F4454"/>
    <w:rsid w:val="007F472E"/>
    <w:rsid w:val="007F4828"/>
    <w:rsid w:val="007F48BC"/>
    <w:rsid w:val="007F4A55"/>
    <w:rsid w:val="007F4ACF"/>
    <w:rsid w:val="007F4F3A"/>
    <w:rsid w:val="007F5011"/>
    <w:rsid w:val="007F55BC"/>
    <w:rsid w:val="007F5791"/>
    <w:rsid w:val="007F58B2"/>
    <w:rsid w:val="007F5968"/>
    <w:rsid w:val="007F5A76"/>
    <w:rsid w:val="007F5AD2"/>
    <w:rsid w:val="007F5B11"/>
    <w:rsid w:val="007F5CD0"/>
    <w:rsid w:val="007F5D54"/>
    <w:rsid w:val="007F6302"/>
    <w:rsid w:val="007F66C4"/>
    <w:rsid w:val="007F66CF"/>
    <w:rsid w:val="007F6712"/>
    <w:rsid w:val="007F675A"/>
    <w:rsid w:val="007F68BA"/>
    <w:rsid w:val="007F6BB3"/>
    <w:rsid w:val="007F6BE9"/>
    <w:rsid w:val="007F6C33"/>
    <w:rsid w:val="007F6CF2"/>
    <w:rsid w:val="007F6DB2"/>
    <w:rsid w:val="007F7138"/>
    <w:rsid w:val="007F71E1"/>
    <w:rsid w:val="007F7446"/>
    <w:rsid w:val="007F77FB"/>
    <w:rsid w:val="007F7820"/>
    <w:rsid w:val="007F7A8C"/>
    <w:rsid w:val="007F7B80"/>
    <w:rsid w:val="007F7BFA"/>
    <w:rsid w:val="007F7DAC"/>
    <w:rsid w:val="007F7E51"/>
    <w:rsid w:val="0080001F"/>
    <w:rsid w:val="0080009D"/>
    <w:rsid w:val="00800233"/>
    <w:rsid w:val="008005C8"/>
    <w:rsid w:val="008006BE"/>
    <w:rsid w:val="008008E4"/>
    <w:rsid w:val="00800E8C"/>
    <w:rsid w:val="00800EAF"/>
    <w:rsid w:val="008010F8"/>
    <w:rsid w:val="0080129C"/>
    <w:rsid w:val="0080132C"/>
    <w:rsid w:val="008013B6"/>
    <w:rsid w:val="008015F9"/>
    <w:rsid w:val="008016A3"/>
    <w:rsid w:val="008017F8"/>
    <w:rsid w:val="00801910"/>
    <w:rsid w:val="00801A13"/>
    <w:rsid w:val="00801CFF"/>
    <w:rsid w:val="008020A7"/>
    <w:rsid w:val="0080222C"/>
    <w:rsid w:val="0080239C"/>
    <w:rsid w:val="0080273A"/>
    <w:rsid w:val="0080298B"/>
    <w:rsid w:val="00802C5B"/>
    <w:rsid w:val="00802C73"/>
    <w:rsid w:val="00802CA6"/>
    <w:rsid w:val="00802D5D"/>
    <w:rsid w:val="00802D9E"/>
    <w:rsid w:val="00802DAF"/>
    <w:rsid w:val="00803024"/>
    <w:rsid w:val="008036E9"/>
    <w:rsid w:val="00803815"/>
    <w:rsid w:val="0080384C"/>
    <w:rsid w:val="0080397A"/>
    <w:rsid w:val="00803B78"/>
    <w:rsid w:val="00803B7E"/>
    <w:rsid w:val="00803D73"/>
    <w:rsid w:val="00803E67"/>
    <w:rsid w:val="008040A2"/>
    <w:rsid w:val="0080415F"/>
    <w:rsid w:val="008041B6"/>
    <w:rsid w:val="00804395"/>
    <w:rsid w:val="00804467"/>
    <w:rsid w:val="00804651"/>
    <w:rsid w:val="00804692"/>
    <w:rsid w:val="0080487C"/>
    <w:rsid w:val="008048F6"/>
    <w:rsid w:val="008049D5"/>
    <w:rsid w:val="00804BB5"/>
    <w:rsid w:val="00804DF0"/>
    <w:rsid w:val="00804E27"/>
    <w:rsid w:val="00804EFC"/>
    <w:rsid w:val="00804F1C"/>
    <w:rsid w:val="00804FDD"/>
    <w:rsid w:val="008052E6"/>
    <w:rsid w:val="00805471"/>
    <w:rsid w:val="00805513"/>
    <w:rsid w:val="008055E5"/>
    <w:rsid w:val="00805BB0"/>
    <w:rsid w:val="00805BBD"/>
    <w:rsid w:val="00805C3F"/>
    <w:rsid w:val="00805C80"/>
    <w:rsid w:val="008062AF"/>
    <w:rsid w:val="0080644C"/>
    <w:rsid w:val="008064F8"/>
    <w:rsid w:val="00806743"/>
    <w:rsid w:val="00806797"/>
    <w:rsid w:val="00806A67"/>
    <w:rsid w:val="00806BAD"/>
    <w:rsid w:val="00806DA3"/>
    <w:rsid w:val="00806F0B"/>
    <w:rsid w:val="00807054"/>
    <w:rsid w:val="0080710D"/>
    <w:rsid w:val="0080728A"/>
    <w:rsid w:val="00807666"/>
    <w:rsid w:val="0080771A"/>
    <w:rsid w:val="00807767"/>
    <w:rsid w:val="008078A8"/>
    <w:rsid w:val="0080795C"/>
    <w:rsid w:val="0080795F"/>
    <w:rsid w:val="00807BBD"/>
    <w:rsid w:val="00807D2E"/>
    <w:rsid w:val="00807E46"/>
    <w:rsid w:val="00807EF5"/>
    <w:rsid w:val="00807F0C"/>
    <w:rsid w:val="00807FBE"/>
    <w:rsid w:val="00807FC5"/>
    <w:rsid w:val="008103F5"/>
    <w:rsid w:val="00810485"/>
    <w:rsid w:val="008104AA"/>
    <w:rsid w:val="00810742"/>
    <w:rsid w:val="008107B4"/>
    <w:rsid w:val="00810EC4"/>
    <w:rsid w:val="00810F4E"/>
    <w:rsid w:val="00811193"/>
    <w:rsid w:val="008112D5"/>
    <w:rsid w:val="008113B4"/>
    <w:rsid w:val="00811550"/>
    <w:rsid w:val="0081186A"/>
    <w:rsid w:val="00811A67"/>
    <w:rsid w:val="00811AF0"/>
    <w:rsid w:val="00811DD7"/>
    <w:rsid w:val="00811F2B"/>
    <w:rsid w:val="00812039"/>
    <w:rsid w:val="00812320"/>
    <w:rsid w:val="00812388"/>
    <w:rsid w:val="00812448"/>
    <w:rsid w:val="00812738"/>
    <w:rsid w:val="008128BE"/>
    <w:rsid w:val="00812C3E"/>
    <w:rsid w:val="00812D29"/>
    <w:rsid w:val="00812F65"/>
    <w:rsid w:val="00812FBC"/>
    <w:rsid w:val="0081347B"/>
    <w:rsid w:val="00813731"/>
    <w:rsid w:val="008137C1"/>
    <w:rsid w:val="008137EA"/>
    <w:rsid w:val="00813915"/>
    <w:rsid w:val="008139FE"/>
    <w:rsid w:val="00813A11"/>
    <w:rsid w:val="00813AB1"/>
    <w:rsid w:val="00813CE3"/>
    <w:rsid w:val="00813DBC"/>
    <w:rsid w:val="00813E7D"/>
    <w:rsid w:val="00813F7A"/>
    <w:rsid w:val="0081443B"/>
    <w:rsid w:val="008145E4"/>
    <w:rsid w:val="00814642"/>
    <w:rsid w:val="008146EE"/>
    <w:rsid w:val="008146FD"/>
    <w:rsid w:val="008147BC"/>
    <w:rsid w:val="008147E7"/>
    <w:rsid w:val="0081480A"/>
    <w:rsid w:val="00814825"/>
    <w:rsid w:val="008148B9"/>
    <w:rsid w:val="00814A6A"/>
    <w:rsid w:val="00814B08"/>
    <w:rsid w:val="00814BAC"/>
    <w:rsid w:val="00814C47"/>
    <w:rsid w:val="00814EA9"/>
    <w:rsid w:val="0081504B"/>
    <w:rsid w:val="0081533B"/>
    <w:rsid w:val="008155C7"/>
    <w:rsid w:val="008155EE"/>
    <w:rsid w:val="008155FA"/>
    <w:rsid w:val="00815657"/>
    <w:rsid w:val="0081579E"/>
    <w:rsid w:val="008158BD"/>
    <w:rsid w:val="00815932"/>
    <w:rsid w:val="00815A01"/>
    <w:rsid w:val="00815AC2"/>
    <w:rsid w:val="00815C7A"/>
    <w:rsid w:val="00815D93"/>
    <w:rsid w:val="00815F04"/>
    <w:rsid w:val="008163B0"/>
    <w:rsid w:val="00816667"/>
    <w:rsid w:val="00816CBD"/>
    <w:rsid w:val="00816EE5"/>
    <w:rsid w:val="00817054"/>
    <w:rsid w:val="008171BA"/>
    <w:rsid w:val="008171D7"/>
    <w:rsid w:val="00817323"/>
    <w:rsid w:val="00817389"/>
    <w:rsid w:val="0081758E"/>
    <w:rsid w:val="00817622"/>
    <w:rsid w:val="00817667"/>
    <w:rsid w:val="008178FF"/>
    <w:rsid w:val="008179E1"/>
    <w:rsid w:val="00817A89"/>
    <w:rsid w:val="00817AF2"/>
    <w:rsid w:val="00817EED"/>
    <w:rsid w:val="0082011E"/>
    <w:rsid w:val="0082037B"/>
    <w:rsid w:val="008203F3"/>
    <w:rsid w:val="008206A7"/>
    <w:rsid w:val="00820788"/>
    <w:rsid w:val="0082085F"/>
    <w:rsid w:val="0082095D"/>
    <w:rsid w:val="00820BFC"/>
    <w:rsid w:val="00820CE0"/>
    <w:rsid w:val="0082105D"/>
    <w:rsid w:val="0082108A"/>
    <w:rsid w:val="00821132"/>
    <w:rsid w:val="0082138F"/>
    <w:rsid w:val="0082156D"/>
    <w:rsid w:val="0082175B"/>
    <w:rsid w:val="00821ACD"/>
    <w:rsid w:val="00821B0A"/>
    <w:rsid w:val="00821C54"/>
    <w:rsid w:val="00821CBE"/>
    <w:rsid w:val="00821D3C"/>
    <w:rsid w:val="00821DFB"/>
    <w:rsid w:val="00821F18"/>
    <w:rsid w:val="00821FC7"/>
    <w:rsid w:val="0082206E"/>
    <w:rsid w:val="008220B4"/>
    <w:rsid w:val="008222DD"/>
    <w:rsid w:val="00822434"/>
    <w:rsid w:val="00822472"/>
    <w:rsid w:val="00822677"/>
    <w:rsid w:val="00822956"/>
    <w:rsid w:val="00822995"/>
    <w:rsid w:val="008229CA"/>
    <w:rsid w:val="00822B00"/>
    <w:rsid w:val="00822DAD"/>
    <w:rsid w:val="00822FC7"/>
    <w:rsid w:val="0082333D"/>
    <w:rsid w:val="00823826"/>
    <w:rsid w:val="008238E0"/>
    <w:rsid w:val="00823921"/>
    <w:rsid w:val="00823974"/>
    <w:rsid w:val="00823C00"/>
    <w:rsid w:val="0082404D"/>
    <w:rsid w:val="0082417E"/>
    <w:rsid w:val="0082439D"/>
    <w:rsid w:val="00824434"/>
    <w:rsid w:val="0082452C"/>
    <w:rsid w:val="008249E2"/>
    <w:rsid w:val="00824AF0"/>
    <w:rsid w:val="00824C11"/>
    <w:rsid w:val="00824C42"/>
    <w:rsid w:val="00825147"/>
    <w:rsid w:val="00825317"/>
    <w:rsid w:val="00825435"/>
    <w:rsid w:val="00825559"/>
    <w:rsid w:val="008255C3"/>
    <w:rsid w:val="0082573C"/>
    <w:rsid w:val="008257DF"/>
    <w:rsid w:val="00825907"/>
    <w:rsid w:val="00825A4C"/>
    <w:rsid w:val="00825B02"/>
    <w:rsid w:val="00825CB7"/>
    <w:rsid w:val="00825E68"/>
    <w:rsid w:val="00825EDB"/>
    <w:rsid w:val="00825F8A"/>
    <w:rsid w:val="008260E7"/>
    <w:rsid w:val="008260E9"/>
    <w:rsid w:val="00826131"/>
    <w:rsid w:val="00826160"/>
    <w:rsid w:val="008261C6"/>
    <w:rsid w:val="008261DC"/>
    <w:rsid w:val="00826299"/>
    <w:rsid w:val="0082641B"/>
    <w:rsid w:val="008264A1"/>
    <w:rsid w:val="008268E5"/>
    <w:rsid w:val="00826F8B"/>
    <w:rsid w:val="008276C4"/>
    <w:rsid w:val="0082772D"/>
    <w:rsid w:val="00827799"/>
    <w:rsid w:val="0082779A"/>
    <w:rsid w:val="008279F6"/>
    <w:rsid w:val="00827E2D"/>
    <w:rsid w:val="00827E55"/>
    <w:rsid w:val="00827EF0"/>
    <w:rsid w:val="00830258"/>
    <w:rsid w:val="00830551"/>
    <w:rsid w:val="00830695"/>
    <w:rsid w:val="00830737"/>
    <w:rsid w:val="0083074B"/>
    <w:rsid w:val="00830A7D"/>
    <w:rsid w:val="00830B6F"/>
    <w:rsid w:val="00830D0C"/>
    <w:rsid w:val="00830D5A"/>
    <w:rsid w:val="0083119B"/>
    <w:rsid w:val="008312E9"/>
    <w:rsid w:val="008315C8"/>
    <w:rsid w:val="00831AD2"/>
    <w:rsid w:val="00831B41"/>
    <w:rsid w:val="00831B82"/>
    <w:rsid w:val="00831D5E"/>
    <w:rsid w:val="00831E0F"/>
    <w:rsid w:val="00831EC2"/>
    <w:rsid w:val="00831F0F"/>
    <w:rsid w:val="00832033"/>
    <w:rsid w:val="0083219E"/>
    <w:rsid w:val="00832227"/>
    <w:rsid w:val="008322C4"/>
    <w:rsid w:val="008322EB"/>
    <w:rsid w:val="0083239A"/>
    <w:rsid w:val="008324EE"/>
    <w:rsid w:val="0083263E"/>
    <w:rsid w:val="0083269F"/>
    <w:rsid w:val="00832943"/>
    <w:rsid w:val="00832957"/>
    <w:rsid w:val="00832AAB"/>
    <w:rsid w:val="00832FE0"/>
    <w:rsid w:val="00833072"/>
    <w:rsid w:val="008331E9"/>
    <w:rsid w:val="008333E1"/>
    <w:rsid w:val="0083349F"/>
    <w:rsid w:val="0083397F"/>
    <w:rsid w:val="00833A20"/>
    <w:rsid w:val="00833B7D"/>
    <w:rsid w:val="00833C77"/>
    <w:rsid w:val="00833F9E"/>
    <w:rsid w:val="00834135"/>
    <w:rsid w:val="00834307"/>
    <w:rsid w:val="00834435"/>
    <w:rsid w:val="00834960"/>
    <w:rsid w:val="00834C85"/>
    <w:rsid w:val="00834D6D"/>
    <w:rsid w:val="00835081"/>
    <w:rsid w:val="00835446"/>
    <w:rsid w:val="0083563A"/>
    <w:rsid w:val="008356D1"/>
    <w:rsid w:val="0083578E"/>
    <w:rsid w:val="00835795"/>
    <w:rsid w:val="008357AB"/>
    <w:rsid w:val="008358B0"/>
    <w:rsid w:val="008359F1"/>
    <w:rsid w:val="00835A5F"/>
    <w:rsid w:val="00835A69"/>
    <w:rsid w:val="00835B02"/>
    <w:rsid w:val="00835B81"/>
    <w:rsid w:val="00835EF6"/>
    <w:rsid w:val="00836204"/>
    <w:rsid w:val="0083621A"/>
    <w:rsid w:val="00836237"/>
    <w:rsid w:val="008362D8"/>
    <w:rsid w:val="008363F1"/>
    <w:rsid w:val="00836AB2"/>
    <w:rsid w:val="00836AD1"/>
    <w:rsid w:val="00836B56"/>
    <w:rsid w:val="00836C5F"/>
    <w:rsid w:val="00836E17"/>
    <w:rsid w:val="008370F9"/>
    <w:rsid w:val="0083713C"/>
    <w:rsid w:val="00837267"/>
    <w:rsid w:val="00837286"/>
    <w:rsid w:val="008372B8"/>
    <w:rsid w:val="00837376"/>
    <w:rsid w:val="00837560"/>
    <w:rsid w:val="008375FD"/>
    <w:rsid w:val="008377F5"/>
    <w:rsid w:val="00837807"/>
    <w:rsid w:val="00840491"/>
    <w:rsid w:val="00840515"/>
    <w:rsid w:val="0084055C"/>
    <w:rsid w:val="008409C8"/>
    <w:rsid w:val="00840AD6"/>
    <w:rsid w:val="00840CD0"/>
    <w:rsid w:val="00840DA7"/>
    <w:rsid w:val="00841122"/>
    <w:rsid w:val="008412B8"/>
    <w:rsid w:val="00841354"/>
    <w:rsid w:val="008414CC"/>
    <w:rsid w:val="00841592"/>
    <w:rsid w:val="00841984"/>
    <w:rsid w:val="00841A63"/>
    <w:rsid w:val="00841BDE"/>
    <w:rsid w:val="00842055"/>
    <w:rsid w:val="00842070"/>
    <w:rsid w:val="00842094"/>
    <w:rsid w:val="008421A6"/>
    <w:rsid w:val="0084222D"/>
    <w:rsid w:val="00842371"/>
    <w:rsid w:val="008423EE"/>
    <w:rsid w:val="00842406"/>
    <w:rsid w:val="0084247F"/>
    <w:rsid w:val="00842483"/>
    <w:rsid w:val="00842655"/>
    <w:rsid w:val="00842819"/>
    <w:rsid w:val="00842955"/>
    <w:rsid w:val="00842960"/>
    <w:rsid w:val="008429CD"/>
    <w:rsid w:val="00842AD3"/>
    <w:rsid w:val="00842B0A"/>
    <w:rsid w:val="00842CA1"/>
    <w:rsid w:val="00842D31"/>
    <w:rsid w:val="00842E97"/>
    <w:rsid w:val="008432E0"/>
    <w:rsid w:val="008434B3"/>
    <w:rsid w:val="008434B7"/>
    <w:rsid w:val="008437FF"/>
    <w:rsid w:val="0084389C"/>
    <w:rsid w:val="00843905"/>
    <w:rsid w:val="0084390B"/>
    <w:rsid w:val="0084422E"/>
    <w:rsid w:val="008442F5"/>
    <w:rsid w:val="008444F6"/>
    <w:rsid w:val="008445EF"/>
    <w:rsid w:val="0084463A"/>
    <w:rsid w:val="008447ED"/>
    <w:rsid w:val="0084486B"/>
    <w:rsid w:val="00844ACE"/>
    <w:rsid w:val="00844CF4"/>
    <w:rsid w:val="00844D60"/>
    <w:rsid w:val="00844E43"/>
    <w:rsid w:val="00844F13"/>
    <w:rsid w:val="00844FD9"/>
    <w:rsid w:val="00845048"/>
    <w:rsid w:val="008450C0"/>
    <w:rsid w:val="008451C2"/>
    <w:rsid w:val="0084537E"/>
    <w:rsid w:val="00845577"/>
    <w:rsid w:val="0084572F"/>
    <w:rsid w:val="008458ED"/>
    <w:rsid w:val="008459E3"/>
    <w:rsid w:val="00845AF6"/>
    <w:rsid w:val="00845B5C"/>
    <w:rsid w:val="00845F18"/>
    <w:rsid w:val="00846019"/>
    <w:rsid w:val="00846265"/>
    <w:rsid w:val="00846576"/>
    <w:rsid w:val="008466FA"/>
    <w:rsid w:val="008468E3"/>
    <w:rsid w:val="008468EF"/>
    <w:rsid w:val="008468FB"/>
    <w:rsid w:val="00846A67"/>
    <w:rsid w:val="00846BD9"/>
    <w:rsid w:val="00846D04"/>
    <w:rsid w:val="00846F94"/>
    <w:rsid w:val="00847010"/>
    <w:rsid w:val="008474F3"/>
    <w:rsid w:val="0084754B"/>
    <w:rsid w:val="00847648"/>
    <w:rsid w:val="00847664"/>
    <w:rsid w:val="00847737"/>
    <w:rsid w:val="0084774E"/>
    <w:rsid w:val="00847827"/>
    <w:rsid w:val="00847FF2"/>
    <w:rsid w:val="0085005B"/>
    <w:rsid w:val="0085022C"/>
    <w:rsid w:val="008504DE"/>
    <w:rsid w:val="0085069C"/>
    <w:rsid w:val="00850B04"/>
    <w:rsid w:val="00850B24"/>
    <w:rsid w:val="00850BB6"/>
    <w:rsid w:val="00850D02"/>
    <w:rsid w:val="00850D06"/>
    <w:rsid w:val="00850D64"/>
    <w:rsid w:val="00850D9C"/>
    <w:rsid w:val="0085115E"/>
    <w:rsid w:val="008512C8"/>
    <w:rsid w:val="008519C6"/>
    <w:rsid w:val="00851A0F"/>
    <w:rsid w:val="00851BA3"/>
    <w:rsid w:val="00851C22"/>
    <w:rsid w:val="00851C46"/>
    <w:rsid w:val="00852231"/>
    <w:rsid w:val="0085251F"/>
    <w:rsid w:val="00852584"/>
    <w:rsid w:val="0085262D"/>
    <w:rsid w:val="0085278F"/>
    <w:rsid w:val="008527C6"/>
    <w:rsid w:val="008528B3"/>
    <w:rsid w:val="008528F6"/>
    <w:rsid w:val="00852BE9"/>
    <w:rsid w:val="00852EFB"/>
    <w:rsid w:val="0085326D"/>
    <w:rsid w:val="00853553"/>
    <w:rsid w:val="00853769"/>
    <w:rsid w:val="00853791"/>
    <w:rsid w:val="00853A4A"/>
    <w:rsid w:val="00853A6B"/>
    <w:rsid w:val="00853CB3"/>
    <w:rsid w:val="00853CE1"/>
    <w:rsid w:val="00853DC7"/>
    <w:rsid w:val="00854025"/>
    <w:rsid w:val="008541BB"/>
    <w:rsid w:val="00854283"/>
    <w:rsid w:val="008542C7"/>
    <w:rsid w:val="008544F7"/>
    <w:rsid w:val="0085479C"/>
    <w:rsid w:val="008548AC"/>
    <w:rsid w:val="00854B38"/>
    <w:rsid w:val="00854E0E"/>
    <w:rsid w:val="00854EA3"/>
    <w:rsid w:val="008550B9"/>
    <w:rsid w:val="0085573D"/>
    <w:rsid w:val="00855992"/>
    <w:rsid w:val="00855994"/>
    <w:rsid w:val="00855A7A"/>
    <w:rsid w:val="00855A9A"/>
    <w:rsid w:val="00855B12"/>
    <w:rsid w:val="00855B1D"/>
    <w:rsid w:val="00855F1B"/>
    <w:rsid w:val="0085623F"/>
    <w:rsid w:val="0085657D"/>
    <w:rsid w:val="008565DE"/>
    <w:rsid w:val="0085673E"/>
    <w:rsid w:val="00856931"/>
    <w:rsid w:val="00856A0E"/>
    <w:rsid w:val="00856B97"/>
    <w:rsid w:val="00856C26"/>
    <w:rsid w:val="00856EAE"/>
    <w:rsid w:val="0085713C"/>
    <w:rsid w:val="00857305"/>
    <w:rsid w:val="0085738A"/>
    <w:rsid w:val="00857565"/>
    <w:rsid w:val="008575F4"/>
    <w:rsid w:val="0085770B"/>
    <w:rsid w:val="00857999"/>
    <w:rsid w:val="00857DAB"/>
    <w:rsid w:val="00857F48"/>
    <w:rsid w:val="00860044"/>
    <w:rsid w:val="0086009E"/>
    <w:rsid w:val="008600F7"/>
    <w:rsid w:val="00860413"/>
    <w:rsid w:val="0086042C"/>
    <w:rsid w:val="0086051E"/>
    <w:rsid w:val="00860529"/>
    <w:rsid w:val="00860688"/>
    <w:rsid w:val="0086074B"/>
    <w:rsid w:val="00860AC1"/>
    <w:rsid w:val="00860B66"/>
    <w:rsid w:val="00860BCE"/>
    <w:rsid w:val="00860C61"/>
    <w:rsid w:val="00860D76"/>
    <w:rsid w:val="00860E39"/>
    <w:rsid w:val="00860FD2"/>
    <w:rsid w:val="00861045"/>
    <w:rsid w:val="00861049"/>
    <w:rsid w:val="00861122"/>
    <w:rsid w:val="008616DA"/>
    <w:rsid w:val="00861702"/>
    <w:rsid w:val="00861861"/>
    <w:rsid w:val="00861F9D"/>
    <w:rsid w:val="008621C2"/>
    <w:rsid w:val="008623ED"/>
    <w:rsid w:val="0086277D"/>
    <w:rsid w:val="008627C9"/>
    <w:rsid w:val="00862970"/>
    <w:rsid w:val="00862A0E"/>
    <w:rsid w:val="00862AB3"/>
    <w:rsid w:val="00862ABA"/>
    <w:rsid w:val="00862AD0"/>
    <w:rsid w:val="00862AED"/>
    <w:rsid w:val="00862B89"/>
    <w:rsid w:val="00862CEF"/>
    <w:rsid w:val="00862D90"/>
    <w:rsid w:val="00862DCF"/>
    <w:rsid w:val="008631CE"/>
    <w:rsid w:val="00863331"/>
    <w:rsid w:val="0086356C"/>
    <w:rsid w:val="0086386C"/>
    <w:rsid w:val="00863B2F"/>
    <w:rsid w:val="00863BFB"/>
    <w:rsid w:val="00863EC1"/>
    <w:rsid w:val="00863F7C"/>
    <w:rsid w:val="00863FA9"/>
    <w:rsid w:val="0086443E"/>
    <w:rsid w:val="00864860"/>
    <w:rsid w:val="0086492D"/>
    <w:rsid w:val="00864B02"/>
    <w:rsid w:val="00864BEC"/>
    <w:rsid w:val="00864C7E"/>
    <w:rsid w:val="00864C90"/>
    <w:rsid w:val="00864DE4"/>
    <w:rsid w:val="00864EBF"/>
    <w:rsid w:val="008650DA"/>
    <w:rsid w:val="0086522D"/>
    <w:rsid w:val="008655FC"/>
    <w:rsid w:val="0086585D"/>
    <w:rsid w:val="00865FBF"/>
    <w:rsid w:val="0086636D"/>
    <w:rsid w:val="008663F0"/>
    <w:rsid w:val="00866587"/>
    <w:rsid w:val="00866817"/>
    <w:rsid w:val="00866A65"/>
    <w:rsid w:val="00866DF4"/>
    <w:rsid w:val="00866FCF"/>
    <w:rsid w:val="008670DB"/>
    <w:rsid w:val="00867171"/>
    <w:rsid w:val="008676C7"/>
    <w:rsid w:val="00867B0B"/>
    <w:rsid w:val="00867BB3"/>
    <w:rsid w:val="00867F07"/>
    <w:rsid w:val="0087001C"/>
    <w:rsid w:val="00870125"/>
    <w:rsid w:val="00870228"/>
    <w:rsid w:val="00870233"/>
    <w:rsid w:val="00870581"/>
    <w:rsid w:val="00870610"/>
    <w:rsid w:val="00870638"/>
    <w:rsid w:val="00870697"/>
    <w:rsid w:val="008706C2"/>
    <w:rsid w:val="0087070C"/>
    <w:rsid w:val="00870B58"/>
    <w:rsid w:val="00870C3E"/>
    <w:rsid w:val="00870C65"/>
    <w:rsid w:val="00870E1A"/>
    <w:rsid w:val="00870E4C"/>
    <w:rsid w:val="00871190"/>
    <w:rsid w:val="00871239"/>
    <w:rsid w:val="00871379"/>
    <w:rsid w:val="00871411"/>
    <w:rsid w:val="008718DD"/>
    <w:rsid w:val="0087194C"/>
    <w:rsid w:val="00871B9B"/>
    <w:rsid w:val="00871C16"/>
    <w:rsid w:val="00871C6F"/>
    <w:rsid w:val="00871CB5"/>
    <w:rsid w:val="00871E9A"/>
    <w:rsid w:val="00871EC8"/>
    <w:rsid w:val="00872185"/>
    <w:rsid w:val="00872559"/>
    <w:rsid w:val="008726F7"/>
    <w:rsid w:val="00872B19"/>
    <w:rsid w:val="00872BDA"/>
    <w:rsid w:val="00872C70"/>
    <w:rsid w:val="00872E86"/>
    <w:rsid w:val="00872EE0"/>
    <w:rsid w:val="00872FD2"/>
    <w:rsid w:val="0087340B"/>
    <w:rsid w:val="00873506"/>
    <w:rsid w:val="00873610"/>
    <w:rsid w:val="00873954"/>
    <w:rsid w:val="00873C70"/>
    <w:rsid w:val="00873D35"/>
    <w:rsid w:val="00873D7A"/>
    <w:rsid w:val="00873DB3"/>
    <w:rsid w:val="00873DEC"/>
    <w:rsid w:val="00873E27"/>
    <w:rsid w:val="00873E37"/>
    <w:rsid w:val="00873F23"/>
    <w:rsid w:val="00873FF8"/>
    <w:rsid w:val="0087407F"/>
    <w:rsid w:val="0087424D"/>
    <w:rsid w:val="00874277"/>
    <w:rsid w:val="0087431B"/>
    <w:rsid w:val="00874754"/>
    <w:rsid w:val="00874A7C"/>
    <w:rsid w:val="00874CCE"/>
    <w:rsid w:val="00874DC5"/>
    <w:rsid w:val="00874DF4"/>
    <w:rsid w:val="0087504A"/>
    <w:rsid w:val="0087509B"/>
    <w:rsid w:val="00875503"/>
    <w:rsid w:val="00875579"/>
    <w:rsid w:val="008758FE"/>
    <w:rsid w:val="008759C9"/>
    <w:rsid w:val="00875AA6"/>
    <w:rsid w:val="00875E31"/>
    <w:rsid w:val="00875F42"/>
    <w:rsid w:val="00875F8E"/>
    <w:rsid w:val="00876067"/>
    <w:rsid w:val="0087633D"/>
    <w:rsid w:val="00876341"/>
    <w:rsid w:val="008763CC"/>
    <w:rsid w:val="008763EE"/>
    <w:rsid w:val="00876869"/>
    <w:rsid w:val="00876916"/>
    <w:rsid w:val="00876A24"/>
    <w:rsid w:val="00876F0F"/>
    <w:rsid w:val="00876F66"/>
    <w:rsid w:val="008771B7"/>
    <w:rsid w:val="00877212"/>
    <w:rsid w:val="00877223"/>
    <w:rsid w:val="00877315"/>
    <w:rsid w:val="0087743A"/>
    <w:rsid w:val="00877796"/>
    <w:rsid w:val="00877B75"/>
    <w:rsid w:val="00880308"/>
    <w:rsid w:val="0088042F"/>
    <w:rsid w:val="008804F5"/>
    <w:rsid w:val="00880601"/>
    <w:rsid w:val="00880636"/>
    <w:rsid w:val="008808F8"/>
    <w:rsid w:val="00880DDC"/>
    <w:rsid w:val="00880EB8"/>
    <w:rsid w:val="00880EC6"/>
    <w:rsid w:val="0088103F"/>
    <w:rsid w:val="00881080"/>
    <w:rsid w:val="00881175"/>
    <w:rsid w:val="0088117B"/>
    <w:rsid w:val="00881382"/>
    <w:rsid w:val="00881609"/>
    <w:rsid w:val="00881647"/>
    <w:rsid w:val="0088169E"/>
    <w:rsid w:val="008816A0"/>
    <w:rsid w:val="00881A12"/>
    <w:rsid w:val="00881C24"/>
    <w:rsid w:val="0088208D"/>
    <w:rsid w:val="008820CD"/>
    <w:rsid w:val="0088210B"/>
    <w:rsid w:val="00882156"/>
    <w:rsid w:val="008821BD"/>
    <w:rsid w:val="00882271"/>
    <w:rsid w:val="0088263F"/>
    <w:rsid w:val="008827C2"/>
    <w:rsid w:val="0088298A"/>
    <w:rsid w:val="00882B11"/>
    <w:rsid w:val="00882B1D"/>
    <w:rsid w:val="00882C04"/>
    <w:rsid w:val="00882E44"/>
    <w:rsid w:val="00882E47"/>
    <w:rsid w:val="00882F67"/>
    <w:rsid w:val="00883085"/>
    <w:rsid w:val="00883155"/>
    <w:rsid w:val="00883331"/>
    <w:rsid w:val="00883438"/>
    <w:rsid w:val="0088364D"/>
    <w:rsid w:val="008837D9"/>
    <w:rsid w:val="008839F4"/>
    <w:rsid w:val="008839FD"/>
    <w:rsid w:val="00883A72"/>
    <w:rsid w:val="00883B1A"/>
    <w:rsid w:val="00883BB1"/>
    <w:rsid w:val="00883C01"/>
    <w:rsid w:val="00883E9B"/>
    <w:rsid w:val="00884396"/>
    <w:rsid w:val="008844EB"/>
    <w:rsid w:val="00884630"/>
    <w:rsid w:val="0088474B"/>
    <w:rsid w:val="00884A18"/>
    <w:rsid w:val="00884DB0"/>
    <w:rsid w:val="00885565"/>
    <w:rsid w:val="008855AD"/>
    <w:rsid w:val="00885700"/>
    <w:rsid w:val="0088571F"/>
    <w:rsid w:val="008858EC"/>
    <w:rsid w:val="00885993"/>
    <w:rsid w:val="00885B31"/>
    <w:rsid w:val="00885CFD"/>
    <w:rsid w:val="00885F64"/>
    <w:rsid w:val="0088608D"/>
    <w:rsid w:val="00886360"/>
    <w:rsid w:val="008864E5"/>
    <w:rsid w:val="0088672C"/>
    <w:rsid w:val="00886939"/>
    <w:rsid w:val="00886BDE"/>
    <w:rsid w:val="00886C04"/>
    <w:rsid w:val="00886D93"/>
    <w:rsid w:val="00886E9B"/>
    <w:rsid w:val="00886F46"/>
    <w:rsid w:val="00886FB2"/>
    <w:rsid w:val="00887548"/>
    <w:rsid w:val="00887589"/>
    <w:rsid w:val="008875A2"/>
    <w:rsid w:val="00887607"/>
    <w:rsid w:val="008879DF"/>
    <w:rsid w:val="00887AFB"/>
    <w:rsid w:val="00887C2E"/>
    <w:rsid w:val="00887D4D"/>
    <w:rsid w:val="00887E47"/>
    <w:rsid w:val="0089006F"/>
    <w:rsid w:val="0089011B"/>
    <w:rsid w:val="0089035F"/>
    <w:rsid w:val="0089038D"/>
    <w:rsid w:val="00890571"/>
    <w:rsid w:val="00890588"/>
    <w:rsid w:val="0089062D"/>
    <w:rsid w:val="0089084F"/>
    <w:rsid w:val="00890A76"/>
    <w:rsid w:val="00890B00"/>
    <w:rsid w:val="00890B0D"/>
    <w:rsid w:val="00890C2B"/>
    <w:rsid w:val="00890CCB"/>
    <w:rsid w:val="00890EA7"/>
    <w:rsid w:val="00891177"/>
    <w:rsid w:val="00891187"/>
    <w:rsid w:val="00891257"/>
    <w:rsid w:val="008913B7"/>
    <w:rsid w:val="00891473"/>
    <w:rsid w:val="0089179C"/>
    <w:rsid w:val="00891916"/>
    <w:rsid w:val="00891AB0"/>
    <w:rsid w:val="00891EC1"/>
    <w:rsid w:val="00891F86"/>
    <w:rsid w:val="008920EF"/>
    <w:rsid w:val="0089239F"/>
    <w:rsid w:val="00892566"/>
    <w:rsid w:val="008925A0"/>
    <w:rsid w:val="00892782"/>
    <w:rsid w:val="008929E5"/>
    <w:rsid w:val="00892A04"/>
    <w:rsid w:val="00892B7E"/>
    <w:rsid w:val="00892B82"/>
    <w:rsid w:val="00892E65"/>
    <w:rsid w:val="0089303C"/>
    <w:rsid w:val="008932FD"/>
    <w:rsid w:val="00893A4F"/>
    <w:rsid w:val="00893B24"/>
    <w:rsid w:val="00893CCB"/>
    <w:rsid w:val="00893CDF"/>
    <w:rsid w:val="00893DE8"/>
    <w:rsid w:val="00893E0E"/>
    <w:rsid w:val="00893F66"/>
    <w:rsid w:val="00894003"/>
    <w:rsid w:val="008944A6"/>
    <w:rsid w:val="008944CE"/>
    <w:rsid w:val="00894A3B"/>
    <w:rsid w:val="00894F9A"/>
    <w:rsid w:val="00894FA4"/>
    <w:rsid w:val="00895285"/>
    <w:rsid w:val="0089537C"/>
    <w:rsid w:val="00895408"/>
    <w:rsid w:val="00895724"/>
    <w:rsid w:val="00895991"/>
    <w:rsid w:val="008959BA"/>
    <w:rsid w:val="00895E34"/>
    <w:rsid w:val="00896033"/>
    <w:rsid w:val="0089621B"/>
    <w:rsid w:val="00896513"/>
    <w:rsid w:val="00896587"/>
    <w:rsid w:val="00896905"/>
    <w:rsid w:val="00896997"/>
    <w:rsid w:val="008969E1"/>
    <w:rsid w:val="00896A01"/>
    <w:rsid w:val="00896BD0"/>
    <w:rsid w:val="00896D97"/>
    <w:rsid w:val="00896D99"/>
    <w:rsid w:val="00896EBF"/>
    <w:rsid w:val="00897068"/>
    <w:rsid w:val="00897090"/>
    <w:rsid w:val="008973FE"/>
    <w:rsid w:val="00897455"/>
    <w:rsid w:val="00897521"/>
    <w:rsid w:val="0089754E"/>
    <w:rsid w:val="0089757F"/>
    <w:rsid w:val="0089792D"/>
    <w:rsid w:val="00897AEE"/>
    <w:rsid w:val="00897B2F"/>
    <w:rsid w:val="00897FBC"/>
    <w:rsid w:val="008A00F7"/>
    <w:rsid w:val="008A02E5"/>
    <w:rsid w:val="008A04AB"/>
    <w:rsid w:val="008A04D7"/>
    <w:rsid w:val="008A0519"/>
    <w:rsid w:val="008A062C"/>
    <w:rsid w:val="008A066C"/>
    <w:rsid w:val="008A06A7"/>
    <w:rsid w:val="008A08A5"/>
    <w:rsid w:val="008A08C0"/>
    <w:rsid w:val="008A0BCC"/>
    <w:rsid w:val="008A0D0D"/>
    <w:rsid w:val="008A0D1E"/>
    <w:rsid w:val="008A0D4D"/>
    <w:rsid w:val="008A0D7C"/>
    <w:rsid w:val="008A0F1E"/>
    <w:rsid w:val="008A1185"/>
    <w:rsid w:val="008A1292"/>
    <w:rsid w:val="008A12E4"/>
    <w:rsid w:val="008A1308"/>
    <w:rsid w:val="008A1359"/>
    <w:rsid w:val="008A1943"/>
    <w:rsid w:val="008A1D25"/>
    <w:rsid w:val="008A1D4B"/>
    <w:rsid w:val="008A208E"/>
    <w:rsid w:val="008A2212"/>
    <w:rsid w:val="008A232E"/>
    <w:rsid w:val="008A23C3"/>
    <w:rsid w:val="008A25D4"/>
    <w:rsid w:val="008A2604"/>
    <w:rsid w:val="008A2C2B"/>
    <w:rsid w:val="008A2CFA"/>
    <w:rsid w:val="008A2F0C"/>
    <w:rsid w:val="008A3108"/>
    <w:rsid w:val="008A3225"/>
    <w:rsid w:val="008A3373"/>
    <w:rsid w:val="008A37B9"/>
    <w:rsid w:val="008A3DF3"/>
    <w:rsid w:val="008A423B"/>
    <w:rsid w:val="008A4382"/>
    <w:rsid w:val="008A449F"/>
    <w:rsid w:val="008A4525"/>
    <w:rsid w:val="008A479B"/>
    <w:rsid w:val="008A47AF"/>
    <w:rsid w:val="008A4B7E"/>
    <w:rsid w:val="008A4E99"/>
    <w:rsid w:val="008A4FD2"/>
    <w:rsid w:val="008A4FD4"/>
    <w:rsid w:val="008A5048"/>
    <w:rsid w:val="008A58B4"/>
    <w:rsid w:val="008A5C90"/>
    <w:rsid w:val="008A5CD2"/>
    <w:rsid w:val="008A5FA6"/>
    <w:rsid w:val="008A604D"/>
    <w:rsid w:val="008A6446"/>
    <w:rsid w:val="008A6477"/>
    <w:rsid w:val="008A6496"/>
    <w:rsid w:val="008A6833"/>
    <w:rsid w:val="008A687E"/>
    <w:rsid w:val="008A68CD"/>
    <w:rsid w:val="008A6BA2"/>
    <w:rsid w:val="008A6D78"/>
    <w:rsid w:val="008A6E1D"/>
    <w:rsid w:val="008A6FFC"/>
    <w:rsid w:val="008A7317"/>
    <w:rsid w:val="008A77B3"/>
    <w:rsid w:val="008A7CD9"/>
    <w:rsid w:val="008B0517"/>
    <w:rsid w:val="008B06D3"/>
    <w:rsid w:val="008B0808"/>
    <w:rsid w:val="008B09F1"/>
    <w:rsid w:val="008B0A88"/>
    <w:rsid w:val="008B0AE4"/>
    <w:rsid w:val="008B0C61"/>
    <w:rsid w:val="008B0D0C"/>
    <w:rsid w:val="008B0D9C"/>
    <w:rsid w:val="008B100C"/>
    <w:rsid w:val="008B14DB"/>
    <w:rsid w:val="008B15B1"/>
    <w:rsid w:val="008B1793"/>
    <w:rsid w:val="008B1B65"/>
    <w:rsid w:val="008B1BAF"/>
    <w:rsid w:val="008B1CBC"/>
    <w:rsid w:val="008B1CF3"/>
    <w:rsid w:val="008B1F03"/>
    <w:rsid w:val="008B20E8"/>
    <w:rsid w:val="008B2138"/>
    <w:rsid w:val="008B225F"/>
    <w:rsid w:val="008B2309"/>
    <w:rsid w:val="008B2460"/>
    <w:rsid w:val="008B269D"/>
    <w:rsid w:val="008B26FD"/>
    <w:rsid w:val="008B2949"/>
    <w:rsid w:val="008B2BDD"/>
    <w:rsid w:val="008B2BF7"/>
    <w:rsid w:val="008B2E38"/>
    <w:rsid w:val="008B2E86"/>
    <w:rsid w:val="008B2FA7"/>
    <w:rsid w:val="008B30EE"/>
    <w:rsid w:val="008B321C"/>
    <w:rsid w:val="008B3360"/>
    <w:rsid w:val="008B37BA"/>
    <w:rsid w:val="008B3819"/>
    <w:rsid w:val="008B384D"/>
    <w:rsid w:val="008B385F"/>
    <w:rsid w:val="008B390F"/>
    <w:rsid w:val="008B3945"/>
    <w:rsid w:val="008B3B3A"/>
    <w:rsid w:val="008B3C51"/>
    <w:rsid w:val="008B3CB6"/>
    <w:rsid w:val="008B3CCB"/>
    <w:rsid w:val="008B42D6"/>
    <w:rsid w:val="008B42D7"/>
    <w:rsid w:val="008B43E1"/>
    <w:rsid w:val="008B43E8"/>
    <w:rsid w:val="008B47B6"/>
    <w:rsid w:val="008B482D"/>
    <w:rsid w:val="008B487A"/>
    <w:rsid w:val="008B488B"/>
    <w:rsid w:val="008B4C5B"/>
    <w:rsid w:val="008B4CF6"/>
    <w:rsid w:val="008B4D7D"/>
    <w:rsid w:val="008B5264"/>
    <w:rsid w:val="008B5295"/>
    <w:rsid w:val="008B52D9"/>
    <w:rsid w:val="008B53AD"/>
    <w:rsid w:val="008B5428"/>
    <w:rsid w:val="008B55C2"/>
    <w:rsid w:val="008B56FD"/>
    <w:rsid w:val="008B5955"/>
    <w:rsid w:val="008B5B48"/>
    <w:rsid w:val="008B5BD1"/>
    <w:rsid w:val="008B5CFC"/>
    <w:rsid w:val="008B5D28"/>
    <w:rsid w:val="008B5E40"/>
    <w:rsid w:val="008B5E68"/>
    <w:rsid w:val="008B647F"/>
    <w:rsid w:val="008B6502"/>
    <w:rsid w:val="008B6588"/>
    <w:rsid w:val="008B662C"/>
    <w:rsid w:val="008B66B4"/>
    <w:rsid w:val="008B66C9"/>
    <w:rsid w:val="008B6778"/>
    <w:rsid w:val="008B6949"/>
    <w:rsid w:val="008B6999"/>
    <w:rsid w:val="008B69C5"/>
    <w:rsid w:val="008B6A5A"/>
    <w:rsid w:val="008B6C9B"/>
    <w:rsid w:val="008B6E3D"/>
    <w:rsid w:val="008B6E9A"/>
    <w:rsid w:val="008B7175"/>
    <w:rsid w:val="008B72A2"/>
    <w:rsid w:val="008B73B6"/>
    <w:rsid w:val="008B7839"/>
    <w:rsid w:val="008B7903"/>
    <w:rsid w:val="008B7906"/>
    <w:rsid w:val="008B792D"/>
    <w:rsid w:val="008B7936"/>
    <w:rsid w:val="008B7A99"/>
    <w:rsid w:val="008B7AB5"/>
    <w:rsid w:val="008B7B06"/>
    <w:rsid w:val="008B7CE2"/>
    <w:rsid w:val="008B7E5C"/>
    <w:rsid w:val="008C0256"/>
    <w:rsid w:val="008C0265"/>
    <w:rsid w:val="008C02ED"/>
    <w:rsid w:val="008C0610"/>
    <w:rsid w:val="008C07AA"/>
    <w:rsid w:val="008C08CC"/>
    <w:rsid w:val="008C0A1E"/>
    <w:rsid w:val="008C0A55"/>
    <w:rsid w:val="008C0B2B"/>
    <w:rsid w:val="008C0D49"/>
    <w:rsid w:val="008C0E20"/>
    <w:rsid w:val="008C0EAA"/>
    <w:rsid w:val="008C0FE1"/>
    <w:rsid w:val="008C11A4"/>
    <w:rsid w:val="008C16DC"/>
    <w:rsid w:val="008C170C"/>
    <w:rsid w:val="008C182E"/>
    <w:rsid w:val="008C184F"/>
    <w:rsid w:val="008C18B2"/>
    <w:rsid w:val="008C1981"/>
    <w:rsid w:val="008C19E7"/>
    <w:rsid w:val="008C1D31"/>
    <w:rsid w:val="008C1E20"/>
    <w:rsid w:val="008C1EC8"/>
    <w:rsid w:val="008C1ED2"/>
    <w:rsid w:val="008C2061"/>
    <w:rsid w:val="008C210D"/>
    <w:rsid w:val="008C2184"/>
    <w:rsid w:val="008C2371"/>
    <w:rsid w:val="008C24B1"/>
    <w:rsid w:val="008C24D4"/>
    <w:rsid w:val="008C252A"/>
    <w:rsid w:val="008C286A"/>
    <w:rsid w:val="008C2CB8"/>
    <w:rsid w:val="008C2F6D"/>
    <w:rsid w:val="008C3102"/>
    <w:rsid w:val="008C31B3"/>
    <w:rsid w:val="008C3255"/>
    <w:rsid w:val="008C3677"/>
    <w:rsid w:val="008C37E7"/>
    <w:rsid w:val="008C3A54"/>
    <w:rsid w:val="008C3B56"/>
    <w:rsid w:val="008C3B6A"/>
    <w:rsid w:val="008C3BCE"/>
    <w:rsid w:val="008C3C71"/>
    <w:rsid w:val="008C3C80"/>
    <w:rsid w:val="008C3CA1"/>
    <w:rsid w:val="008C4095"/>
    <w:rsid w:val="008C44FE"/>
    <w:rsid w:val="008C453F"/>
    <w:rsid w:val="008C4F8B"/>
    <w:rsid w:val="008C4FC9"/>
    <w:rsid w:val="008C5015"/>
    <w:rsid w:val="008C50FB"/>
    <w:rsid w:val="008C5174"/>
    <w:rsid w:val="008C53FA"/>
    <w:rsid w:val="008C54EB"/>
    <w:rsid w:val="008C568E"/>
    <w:rsid w:val="008C58EB"/>
    <w:rsid w:val="008C5A91"/>
    <w:rsid w:val="008C5B5B"/>
    <w:rsid w:val="008C5CF7"/>
    <w:rsid w:val="008C5E8E"/>
    <w:rsid w:val="008C6006"/>
    <w:rsid w:val="008C6065"/>
    <w:rsid w:val="008C6156"/>
    <w:rsid w:val="008C635F"/>
    <w:rsid w:val="008C6370"/>
    <w:rsid w:val="008C66B2"/>
    <w:rsid w:val="008C66E6"/>
    <w:rsid w:val="008C69F1"/>
    <w:rsid w:val="008C6C26"/>
    <w:rsid w:val="008C6DB8"/>
    <w:rsid w:val="008C71EA"/>
    <w:rsid w:val="008C7311"/>
    <w:rsid w:val="008C736B"/>
    <w:rsid w:val="008C747F"/>
    <w:rsid w:val="008C77DA"/>
    <w:rsid w:val="008C7AF8"/>
    <w:rsid w:val="008C7B0C"/>
    <w:rsid w:val="008C7E79"/>
    <w:rsid w:val="008D00E0"/>
    <w:rsid w:val="008D02CD"/>
    <w:rsid w:val="008D0375"/>
    <w:rsid w:val="008D05F1"/>
    <w:rsid w:val="008D060E"/>
    <w:rsid w:val="008D08C7"/>
    <w:rsid w:val="008D08CB"/>
    <w:rsid w:val="008D0A8D"/>
    <w:rsid w:val="008D0B10"/>
    <w:rsid w:val="008D0C8A"/>
    <w:rsid w:val="008D0C91"/>
    <w:rsid w:val="008D0C9A"/>
    <w:rsid w:val="008D0D6A"/>
    <w:rsid w:val="008D0F30"/>
    <w:rsid w:val="008D10DA"/>
    <w:rsid w:val="008D15BA"/>
    <w:rsid w:val="008D1718"/>
    <w:rsid w:val="008D17C2"/>
    <w:rsid w:val="008D199D"/>
    <w:rsid w:val="008D19F1"/>
    <w:rsid w:val="008D1A00"/>
    <w:rsid w:val="008D1A6D"/>
    <w:rsid w:val="008D1BDA"/>
    <w:rsid w:val="008D1C78"/>
    <w:rsid w:val="008D1CDB"/>
    <w:rsid w:val="008D1EC6"/>
    <w:rsid w:val="008D1F88"/>
    <w:rsid w:val="008D200A"/>
    <w:rsid w:val="008D210F"/>
    <w:rsid w:val="008D2117"/>
    <w:rsid w:val="008D22BD"/>
    <w:rsid w:val="008D2313"/>
    <w:rsid w:val="008D24D3"/>
    <w:rsid w:val="008D24E1"/>
    <w:rsid w:val="008D24F2"/>
    <w:rsid w:val="008D267C"/>
    <w:rsid w:val="008D2820"/>
    <w:rsid w:val="008D28C7"/>
    <w:rsid w:val="008D2B48"/>
    <w:rsid w:val="008D2B98"/>
    <w:rsid w:val="008D2BC7"/>
    <w:rsid w:val="008D2E48"/>
    <w:rsid w:val="008D2F2E"/>
    <w:rsid w:val="008D30CC"/>
    <w:rsid w:val="008D3101"/>
    <w:rsid w:val="008D3357"/>
    <w:rsid w:val="008D35F0"/>
    <w:rsid w:val="008D3A32"/>
    <w:rsid w:val="008D3C1A"/>
    <w:rsid w:val="008D3E58"/>
    <w:rsid w:val="008D3EBC"/>
    <w:rsid w:val="008D3ECB"/>
    <w:rsid w:val="008D4231"/>
    <w:rsid w:val="008D44CC"/>
    <w:rsid w:val="008D4564"/>
    <w:rsid w:val="008D457C"/>
    <w:rsid w:val="008D48BE"/>
    <w:rsid w:val="008D48D2"/>
    <w:rsid w:val="008D49A3"/>
    <w:rsid w:val="008D49F0"/>
    <w:rsid w:val="008D4B76"/>
    <w:rsid w:val="008D4EE8"/>
    <w:rsid w:val="008D50F5"/>
    <w:rsid w:val="008D5A4D"/>
    <w:rsid w:val="008D5B47"/>
    <w:rsid w:val="008D5D15"/>
    <w:rsid w:val="008D5D7A"/>
    <w:rsid w:val="008D641D"/>
    <w:rsid w:val="008D64A7"/>
    <w:rsid w:val="008D6623"/>
    <w:rsid w:val="008D6792"/>
    <w:rsid w:val="008D67F1"/>
    <w:rsid w:val="008D68C9"/>
    <w:rsid w:val="008D69C6"/>
    <w:rsid w:val="008D6AF0"/>
    <w:rsid w:val="008D6B91"/>
    <w:rsid w:val="008D6C60"/>
    <w:rsid w:val="008D6CE3"/>
    <w:rsid w:val="008D6D39"/>
    <w:rsid w:val="008D6FE8"/>
    <w:rsid w:val="008D740D"/>
    <w:rsid w:val="008D77E8"/>
    <w:rsid w:val="008D78E1"/>
    <w:rsid w:val="008D78EB"/>
    <w:rsid w:val="008D79D2"/>
    <w:rsid w:val="008D7D5C"/>
    <w:rsid w:val="008E02C1"/>
    <w:rsid w:val="008E0374"/>
    <w:rsid w:val="008E04A5"/>
    <w:rsid w:val="008E056A"/>
    <w:rsid w:val="008E078A"/>
    <w:rsid w:val="008E07B1"/>
    <w:rsid w:val="008E0810"/>
    <w:rsid w:val="008E0A18"/>
    <w:rsid w:val="008E0BC8"/>
    <w:rsid w:val="008E0DB8"/>
    <w:rsid w:val="008E0E12"/>
    <w:rsid w:val="008E1264"/>
    <w:rsid w:val="008E12EC"/>
    <w:rsid w:val="008E1497"/>
    <w:rsid w:val="008E14E7"/>
    <w:rsid w:val="008E163D"/>
    <w:rsid w:val="008E17C6"/>
    <w:rsid w:val="008E1A7A"/>
    <w:rsid w:val="008E1B17"/>
    <w:rsid w:val="008E1E5D"/>
    <w:rsid w:val="008E1FD9"/>
    <w:rsid w:val="008E21D9"/>
    <w:rsid w:val="008E231D"/>
    <w:rsid w:val="008E23C3"/>
    <w:rsid w:val="008E2458"/>
    <w:rsid w:val="008E246E"/>
    <w:rsid w:val="008E24E9"/>
    <w:rsid w:val="008E2650"/>
    <w:rsid w:val="008E26A1"/>
    <w:rsid w:val="008E26EE"/>
    <w:rsid w:val="008E271D"/>
    <w:rsid w:val="008E2809"/>
    <w:rsid w:val="008E280E"/>
    <w:rsid w:val="008E2821"/>
    <w:rsid w:val="008E2AB7"/>
    <w:rsid w:val="008E2B14"/>
    <w:rsid w:val="008E2DBC"/>
    <w:rsid w:val="008E2DE7"/>
    <w:rsid w:val="008E304E"/>
    <w:rsid w:val="008E3167"/>
    <w:rsid w:val="008E323A"/>
    <w:rsid w:val="008E326B"/>
    <w:rsid w:val="008E32AA"/>
    <w:rsid w:val="008E34CF"/>
    <w:rsid w:val="008E350F"/>
    <w:rsid w:val="008E370C"/>
    <w:rsid w:val="008E39FA"/>
    <w:rsid w:val="008E3B84"/>
    <w:rsid w:val="008E3FD5"/>
    <w:rsid w:val="008E4123"/>
    <w:rsid w:val="008E41DE"/>
    <w:rsid w:val="008E4529"/>
    <w:rsid w:val="008E4580"/>
    <w:rsid w:val="008E4805"/>
    <w:rsid w:val="008E488D"/>
    <w:rsid w:val="008E491F"/>
    <w:rsid w:val="008E493D"/>
    <w:rsid w:val="008E4B1A"/>
    <w:rsid w:val="008E4C03"/>
    <w:rsid w:val="008E4CE4"/>
    <w:rsid w:val="008E4D4C"/>
    <w:rsid w:val="008E4FA5"/>
    <w:rsid w:val="008E518E"/>
    <w:rsid w:val="008E52B2"/>
    <w:rsid w:val="008E542B"/>
    <w:rsid w:val="008E5502"/>
    <w:rsid w:val="008E5747"/>
    <w:rsid w:val="008E596A"/>
    <w:rsid w:val="008E5B34"/>
    <w:rsid w:val="008E5B9C"/>
    <w:rsid w:val="008E5C61"/>
    <w:rsid w:val="008E5EC2"/>
    <w:rsid w:val="008E681D"/>
    <w:rsid w:val="008E683B"/>
    <w:rsid w:val="008E69A2"/>
    <w:rsid w:val="008E6C96"/>
    <w:rsid w:val="008E6D23"/>
    <w:rsid w:val="008E6DAC"/>
    <w:rsid w:val="008E6EFE"/>
    <w:rsid w:val="008E6FAF"/>
    <w:rsid w:val="008E718B"/>
    <w:rsid w:val="008E71C2"/>
    <w:rsid w:val="008E7336"/>
    <w:rsid w:val="008E7378"/>
    <w:rsid w:val="008E784F"/>
    <w:rsid w:val="008E7A56"/>
    <w:rsid w:val="008E7B8E"/>
    <w:rsid w:val="008E7CAA"/>
    <w:rsid w:val="008E7DEE"/>
    <w:rsid w:val="008E7E47"/>
    <w:rsid w:val="008E7ED3"/>
    <w:rsid w:val="008F0092"/>
    <w:rsid w:val="008F00DA"/>
    <w:rsid w:val="008F01F7"/>
    <w:rsid w:val="008F02EF"/>
    <w:rsid w:val="008F04BF"/>
    <w:rsid w:val="008F0664"/>
    <w:rsid w:val="008F0EF0"/>
    <w:rsid w:val="008F1553"/>
    <w:rsid w:val="008F164B"/>
    <w:rsid w:val="008F17AE"/>
    <w:rsid w:val="008F1958"/>
    <w:rsid w:val="008F1B6E"/>
    <w:rsid w:val="008F1B98"/>
    <w:rsid w:val="008F1BE5"/>
    <w:rsid w:val="008F1C52"/>
    <w:rsid w:val="008F1C57"/>
    <w:rsid w:val="008F1E07"/>
    <w:rsid w:val="008F1EFB"/>
    <w:rsid w:val="008F1FDB"/>
    <w:rsid w:val="008F2317"/>
    <w:rsid w:val="008F268F"/>
    <w:rsid w:val="008F27E3"/>
    <w:rsid w:val="008F27E4"/>
    <w:rsid w:val="008F2A34"/>
    <w:rsid w:val="008F2F5D"/>
    <w:rsid w:val="008F2FDE"/>
    <w:rsid w:val="008F301F"/>
    <w:rsid w:val="008F31BA"/>
    <w:rsid w:val="008F33A5"/>
    <w:rsid w:val="008F3600"/>
    <w:rsid w:val="008F36C4"/>
    <w:rsid w:val="008F3710"/>
    <w:rsid w:val="008F3795"/>
    <w:rsid w:val="008F379C"/>
    <w:rsid w:val="008F37A6"/>
    <w:rsid w:val="008F37FA"/>
    <w:rsid w:val="008F3998"/>
    <w:rsid w:val="008F3A0F"/>
    <w:rsid w:val="008F3D9C"/>
    <w:rsid w:val="008F3D9D"/>
    <w:rsid w:val="008F3E26"/>
    <w:rsid w:val="008F413E"/>
    <w:rsid w:val="008F4666"/>
    <w:rsid w:val="008F4978"/>
    <w:rsid w:val="008F4D0D"/>
    <w:rsid w:val="008F4E67"/>
    <w:rsid w:val="008F4EF0"/>
    <w:rsid w:val="008F4F80"/>
    <w:rsid w:val="008F4FEC"/>
    <w:rsid w:val="008F50D6"/>
    <w:rsid w:val="008F50E6"/>
    <w:rsid w:val="008F549A"/>
    <w:rsid w:val="008F5541"/>
    <w:rsid w:val="008F576D"/>
    <w:rsid w:val="008F5965"/>
    <w:rsid w:val="008F5BB3"/>
    <w:rsid w:val="008F5F40"/>
    <w:rsid w:val="008F5F41"/>
    <w:rsid w:val="008F60F4"/>
    <w:rsid w:val="008F6288"/>
    <w:rsid w:val="008F62BE"/>
    <w:rsid w:val="008F62D3"/>
    <w:rsid w:val="008F6522"/>
    <w:rsid w:val="008F65A4"/>
    <w:rsid w:val="008F6892"/>
    <w:rsid w:val="008F6BAA"/>
    <w:rsid w:val="008F6F9A"/>
    <w:rsid w:val="008F722F"/>
    <w:rsid w:val="008F729A"/>
    <w:rsid w:val="008F7662"/>
    <w:rsid w:val="008F76E7"/>
    <w:rsid w:val="008F780D"/>
    <w:rsid w:val="008F781A"/>
    <w:rsid w:val="008F7CEC"/>
    <w:rsid w:val="00900039"/>
    <w:rsid w:val="0090036F"/>
    <w:rsid w:val="00900622"/>
    <w:rsid w:val="00900825"/>
    <w:rsid w:val="009008FB"/>
    <w:rsid w:val="00900C3B"/>
    <w:rsid w:val="00900E25"/>
    <w:rsid w:val="00900EB8"/>
    <w:rsid w:val="00900FCE"/>
    <w:rsid w:val="009011FA"/>
    <w:rsid w:val="00901215"/>
    <w:rsid w:val="009012A8"/>
    <w:rsid w:val="00901957"/>
    <w:rsid w:val="00901BA5"/>
    <w:rsid w:val="00901C81"/>
    <w:rsid w:val="00901D9A"/>
    <w:rsid w:val="00901F70"/>
    <w:rsid w:val="00901F84"/>
    <w:rsid w:val="009021AC"/>
    <w:rsid w:val="00902280"/>
    <w:rsid w:val="0090273E"/>
    <w:rsid w:val="009029E1"/>
    <w:rsid w:val="00902DFD"/>
    <w:rsid w:val="00903211"/>
    <w:rsid w:val="00903506"/>
    <w:rsid w:val="00903531"/>
    <w:rsid w:val="009036B2"/>
    <w:rsid w:val="0090379F"/>
    <w:rsid w:val="009037B9"/>
    <w:rsid w:val="00903A6A"/>
    <w:rsid w:val="00904097"/>
    <w:rsid w:val="00904189"/>
    <w:rsid w:val="00904286"/>
    <w:rsid w:val="00904411"/>
    <w:rsid w:val="00904463"/>
    <w:rsid w:val="009044B0"/>
    <w:rsid w:val="00904503"/>
    <w:rsid w:val="00904575"/>
    <w:rsid w:val="009046DE"/>
    <w:rsid w:val="009049F7"/>
    <w:rsid w:val="00904A03"/>
    <w:rsid w:val="00904B08"/>
    <w:rsid w:val="00904BF6"/>
    <w:rsid w:val="00904C72"/>
    <w:rsid w:val="00904CED"/>
    <w:rsid w:val="00904E96"/>
    <w:rsid w:val="00904F72"/>
    <w:rsid w:val="00904F8E"/>
    <w:rsid w:val="009051AD"/>
    <w:rsid w:val="009053F7"/>
    <w:rsid w:val="00905422"/>
    <w:rsid w:val="00905424"/>
    <w:rsid w:val="009054A2"/>
    <w:rsid w:val="009055DC"/>
    <w:rsid w:val="00905BD2"/>
    <w:rsid w:val="00905F41"/>
    <w:rsid w:val="00906038"/>
    <w:rsid w:val="009060BC"/>
    <w:rsid w:val="009064BF"/>
    <w:rsid w:val="0090679A"/>
    <w:rsid w:val="009069D5"/>
    <w:rsid w:val="00906A78"/>
    <w:rsid w:val="00906E41"/>
    <w:rsid w:val="00907090"/>
    <w:rsid w:val="009074EB"/>
    <w:rsid w:val="00907724"/>
    <w:rsid w:val="00907972"/>
    <w:rsid w:val="00907BE7"/>
    <w:rsid w:val="00907EEB"/>
    <w:rsid w:val="0091016B"/>
    <w:rsid w:val="009102C8"/>
    <w:rsid w:val="009107B1"/>
    <w:rsid w:val="00910DD7"/>
    <w:rsid w:val="00910E06"/>
    <w:rsid w:val="00910F17"/>
    <w:rsid w:val="00910F8E"/>
    <w:rsid w:val="00911079"/>
    <w:rsid w:val="0091108B"/>
    <w:rsid w:val="0091152A"/>
    <w:rsid w:val="009116D4"/>
    <w:rsid w:val="009117F9"/>
    <w:rsid w:val="009118C7"/>
    <w:rsid w:val="00911AD0"/>
    <w:rsid w:val="00911CC5"/>
    <w:rsid w:val="00911DBA"/>
    <w:rsid w:val="00911F05"/>
    <w:rsid w:val="00911F45"/>
    <w:rsid w:val="00911FB4"/>
    <w:rsid w:val="00911FB5"/>
    <w:rsid w:val="009123A3"/>
    <w:rsid w:val="009124FB"/>
    <w:rsid w:val="00912664"/>
    <w:rsid w:val="009126D4"/>
    <w:rsid w:val="0091278C"/>
    <w:rsid w:val="00912B0F"/>
    <w:rsid w:val="00912BFE"/>
    <w:rsid w:val="00912CB1"/>
    <w:rsid w:val="00912CD6"/>
    <w:rsid w:val="00913398"/>
    <w:rsid w:val="00913477"/>
    <w:rsid w:val="00913501"/>
    <w:rsid w:val="00913531"/>
    <w:rsid w:val="009135EF"/>
    <w:rsid w:val="009136D5"/>
    <w:rsid w:val="009137EE"/>
    <w:rsid w:val="009139F2"/>
    <w:rsid w:val="00913F7A"/>
    <w:rsid w:val="00913FA3"/>
    <w:rsid w:val="00914057"/>
    <w:rsid w:val="0091410C"/>
    <w:rsid w:val="00914133"/>
    <w:rsid w:val="009145DF"/>
    <w:rsid w:val="0091494F"/>
    <w:rsid w:val="00914BEB"/>
    <w:rsid w:val="00914D07"/>
    <w:rsid w:val="00914E1E"/>
    <w:rsid w:val="00914E1F"/>
    <w:rsid w:val="00914E62"/>
    <w:rsid w:val="00914ED2"/>
    <w:rsid w:val="0091502F"/>
    <w:rsid w:val="0091511B"/>
    <w:rsid w:val="0091560B"/>
    <w:rsid w:val="0091574E"/>
    <w:rsid w:val="009157CA"/>
    <w:rsid w:val="00915845"/>
    <w:rsid w:val="00915918"/>
    <w:rsid w:val="009159B8"/>
    <w:rsid w:val="00915A76"/>
    <w:rsid w:val="00915BB8"/>
    <w:rsid w:val="00915D06"/>
    <w:rsid w:val="00915D0D"/>
    <w:rsid w:val="00915EAE"/>
    <w:rsid w:val="00916029"/>
    <w:rsid w:val="00916306"/>
    <w:rsid w:val="009163BD"/>
    <w:rsid w:val="009164C4"/>
    <w:rsid w:val="009164D2"/>
    <w:rsid w:val="00916533"/>
    <w:rsid w:val="0091655D"/>
    <w:rsid w:val="0091673C"/>
    <w:rsid w:val="00916917"/>
    <w:rsid w:val="00916E76"/>
    <w:rsid w:val="00916EF6"/>
    <w:rsid w:val="009171BC"/>
    <w:rsid w:val="009174D1"/>
    <w:rsid w:val="009175C4"/>
    <w:rsid w:val="0091789A"/>
    <w:rsid w:val="00917998"/>
    <w:rsid w:val="00917A18"/>
    <w:rsid w:val="00917A4C"/>
    <w:rsid w:val="00917C90"/>
    <w:rsid w:val="00917F9C"/>
    <w:rsid w:val="00917FF0"/>
    <w:rsid w:val="0092007B"/>
    <w:rsid w:val="0092037B"/>
    <w:rsid w:val="009204CE"/>
    <w:rsid w:val="00920587"/>
    <w:rsid w:val="00920839"/>
    <w:rsid w:val="009208EF"/>
    <w:rsid w:val="0092090D"/>
    <w:rsid w:val="00920B19"/>
    <w:rsid w:val="00920E67"/>
    <w:rsid w:val="00920E9E"/>
    <w:rsid w:val="00921225"/>
    <w:rsid w:val="0092139D"/>
    <w:rsid w:val="009216F9"/>
    <w:rsid w:val="009217BD"/>
    <w:rsid w:val="00921AC0"/>
    <w:rsid w:val="00921CF1"/>
    <w:rsid w:val="00921D1E"/>
    <w:rsid w:val="00921EB5"/>
    <w:rsid w:val="00922043"/>
    <w:rsid w:val="00922069"/>
    <w:rsid w:val="00922530"/>
    <w:rsid w:val="0092258B"/>
    <w:rsid w:val="0092267B"/>
    <w:rsid w:val="00922801"/>
    <w:rsid w:val="0092299D"/>
    <w:rsid w:val="00922CC9"/>
    <w:rsid w:val="00923144"/>
    <w:rsid w:val="009231D0"/>
    <w:rsid w:val="0092329C"/>
    <w:rsid w:val="009232DC"/>
    <w:rsid w:val="00923529"/>
    <w:rsid w:val="0092384B"/>
    <w:rsid w:val="00923900"/>
    <w:rsid w:val="00923A55"/>
    <w:rsid w:val="00923AA0"/>
    <w:rsid w:val="0092405E"/>
    <w:rsid w:val="009240E2"/>
    <w:rsid w:val="00924252"/>
    <w:rsid w:val="009242AE"/>
    <w:rsid w:val="0092458A"/>
    <w:rsid w:val="00924987"/>
    <w:rsid w:val="00924A77"/>
    <w:rsid w:val="00924B1A"/>
    <w:rsid w:val="00924BF0"/>
    <w:rsid w:val="00924C0D"/>
    <w:rsid w:val="00924E92"/>
    <w:rsid w:val="00924FC5"/>
    <w:rsid w:val="00925158"/>
    <w:rsid w:val="00925272"/>
    <w:rsid w:val="00925354"/>
    <w:rsid w:val="00925457"/>
    <w:rsid w:val="009256FF"/>
    <w:rsid w:val="00925938"/>
    <w:rsid w:val="00925B57"/>
    <w:rsid w:val="00925B68"/>
    <w:rsid w:val="00925CC2"/>
    <w:rsid w:val="00925DF4"/>
    <w:rsid w:val="00926339"/>
    <w:rsid w:val="00926399"/>
    <w:rsid w:val="009263A3"/>
    <w:rsid w:val="009263D3"/>
    <w:rsid w:val="00926473"/>
    <w:rsid w:val="00926645"/>
    <w:rsid w:val="00926CDF"/>
    <w:rsid w:val="00926E51"/>
    <w:rsid w:val="00926EC1"/>
    <w:rsid w:val="00926EDD"/>
    <w:rsid w:val="00926FA3"/>
    <w:rsid w:val="00927052"/>
    <w:rsid w:val="009270C5"/>
    <w:rsid w:val="00927209"/>
    <w:rsid w:val="009272EE"/>
    <w:rsid w:val="009273C8"/>
    <w:rsid w:val="00927782"/>
    <w:rsid w:val="00927A0B"/>
    <w:rsid w:val="00927C9B"/>
    <w:rsid w:val="00927EA8"/>
    <w:rsid w:val="00927F6A"/>
    <w:rsid w:val="00930031"/>
    <w:rsid w:val="00930145"/>
    <w:rsid w:val="0093016C"/>
    <w:rsid w:val="00930258"/>
    <w:rsid w:val="00930435"/>
    <w:rsid w:val="00930617"/>
    <w:rsid w:val="00930675"/>
    <w:rsid w:val="009306AD"/>
    <w:rsid w:val="009306DA"/>
    <w:rsid w:val="00930706"/>
    <w:rsid w:val="0093077F"/>
    <w:rsid w:val="00930A39"/>
    <w:rsid w:val="00930C64"/>
    <w:rsid w:val="00930CD5"/>
    <w:rsid w:val="00930DC3"/>
    <w:rsid w:val="00930E7D"/>
    <w:rsid w:val="00930F3F"/>
    <w:rsid w:val="00931004"/>
    <w:rsid w:val="009310A8"/>
    <w:rsid w:val="00931148"/>
    <w:rsid w:val="0093127A"/>
    <w:rsid w:val="0093133D"/>
    <w:rsid w:val="009318C4"/>
    <w:rsid w:val="00931A46"/>
    <w:rsid w:val="00931BC2"/>
    <w:rsid w:val="00931C99"/>
    <w:rsid w:val="00931FBD"/>
    <w:rsid w:val="00932012"/>
    <w:rsid w:val="00932055"/>
    <w:rsid w:val="0093219D"/>
    <w:rsid w:val="00932291"/>
    <w:rsid w:val="009322E7"/>
    <w:rsid w:val="009322ED"/>
    <w:rsid w:val="00932426"/>
    <w:rsid w:val="0093265C"/>
    <w:rsid w:val="00932829"/>
    <w:rsid w:val="00932A01"/>
    <w:rsid w:val="00932CF8"/>
    <w:rsid w:val="00932E5A"/>
    <w:rsid w:val="0093301A"/>
    <w:rsid w:val="00933177"/>
    <w:rsid w:val="0093323E"/>
    <w:rsid w:val="00933241"/>
    <w:rsid w:val="0093368D"/>
    <w:rsid w:val="009337BE"/>
    <w:rsid w:val="0093396F"/>
    <w:rsid w:val="009339F3"/>
    <w:rsid w:val="00934089"/>
    <w:rsid w:val="0093413D"/>
    <w:rsid w:val="009341B0"/>
    <w:rsid w:val="0093432C"/>
    <w:rsid w:val="00934527"/>
    <w:rsid w:val="00934587"/>
    <w:rsid w:val="009345D4"/>
    <w:rsid w:val="009346ED"/>
    <w:rsid w:val="00934909"/>
    <w:rsid w:val="00935048"/>
    <w:rsid w:val="009350F0"/>
    <w:rsid w:val="0093521A"/>
    <w:rsid w:val="00935518"/>
    <w:rsid w:val="00935570"/>
    <w:rsid w:val="0093557E"/>
    <w:rsid w:val="00935600"/>
    <w:rsid w:val="009356D0"/>
    <w:rsid w:val="009357E5"/>
    <w:rsid w:val="00935ADA"/>
    <w:rsid w:val="00935BD3"/>
    <w:rsid w:val="00935D11"/>
    <w:rsid w:val="009360B9"/>
    <w:rsid w:val="0093621F"/>
    <w:rsid w:val="00936264"/>
    <w:rsid w:val="0093634C"/>
    <w:rsid w:val="00936502"/>
    <w:rsid w:val="009365C8"/>
    <w:rsid w:val="00936807"/>
    <w:rsid w:val="00936A75"/>
    <w:rsid w:val="00936AB3"/>
    <w:rsid w:val="00936B6F"/>
    <w:rsid w:val="00936C77"/>
    <w:rsid w:val="00936D0A"/>
    <w:rsid w:val="00936D9B"/>
    <w:rsid w:val="00936E39"/>
    <w:rsid w:val="00936F07"/>
    <w:rsid w:val="00937033"/>
    <w:rsid w:val="00937245"/>
    <w:rsid w:val="0093728C"/>
    <w:rsid w:val="009373F4"/>
    <w:rsid w:val="009373F8"/>
    <w:rsid w:val="009374F4"/>
    <w:rsid w:val="00937502"/>
    <w:rsid w:val="0093764B"/>
    <w:rsid w:val="0093793E"/>
    <w:rsid w:val="009379A5"/>
    <w:rsid w:val="00937B2D"/>
    <w:rsid w:val="00937F96"/>
    <w:rsid w:val="009400C4"/>
    <w:rsid w:val="00940182"/>
    <w:rsid w:val="009401CC"/>
    <w:rsid w:val="009401ED"/>
    <w:rsid w:val="0094067E"/>
    <w:rsid w:val="00940758"/>
    <w:rsid w:val="00940932"/>
    <w:rsid w:val="00940A79"/>
    <w:rsid w:val="00940B39"/>
    <w:rsid w:val="00940B6B"/>
    <w:rsid w:val="00940DD5"/>
    <w:rsid w:val="00940FB9"/>
    <w:rsid w:val="009410A7"/>
    <w:rsid w:val="009410CC"/>
    <w:rsid w:val="00941162"/>
    <w:rsid w:val="0094120A"/>
    <w:rsid w:val="009412D1"/>
    <w:rsid w:val="00941768"/>
    <w:rsid w:val="0094197E"/>
    <w:rsid w:val="009419A4"/>
    <w:rsid w:val="00941D61"/>
    <w:rsid w:val="00941EF5"/>
    <w:rsid w:val="00941F00"/>
    <w:rsid w:val="00941FE8"/>
    <w:rsid w:val="0094212A"/>
    <w:rsid w:val="00942187"/>
    <w:rsid w:val="0094237F"/>
    <w:rsid w:val="00942759"/>
    <w:rsid w:val="00942769"/>
    <w:rsid w:val="00942A39"/>
    <w:rsid w:val="00942B42"/>
    <w:rsid w:val="00942C57"/>
    <w:rsid w:val="00942CE8"/>
    <w:rsid w:val="00942D42"/>
    <w:rsid w:val="00942DF6"/>
    <w:rsid w:val="0094348B"/>
    <w:rsid w:val="00943554"/>
    <w:rsid w:val="009436F5"/>
    <w:rsid w:val="00943748"/>
    <w:rsid w:val="0094379B"/>
    <w:rsid w:val="00943C48"/>
    <w:rsid w:val="00943CEC"/>
    <w:rsid w:val="00943D51"/>
    <w:rsid w:val="00944187"/>
    <w:rsid w:val="00944192"/>
    <w:rsid w:val="009441CB"/>
    <w:rsid w:val="00944235"/>
    <w:rsid w:val="0094456E"/>
    <w:rsid w:val="0094460F"/>
    <w:rsid w:val="00944935"/>
    <w:rsid w:val="0094496A"/>
    <w:rsid w:val="009449BD"/>
    <w:rsid w:val="00944C3A"/>
    <w:rsid w:val="00944D16"/>
    <w:rsid w:val="00944FC3"/>
    <w:rsid w:val="009450AF"/>
    <w:rsid w:val="009452A3"/>
    <w:rsid w:val="009452AE"/>
    <w:rsid w:val="009452FF"/>
    <w:rsid w:val="00945302"/>
    <w:rsid w:val="00945EC6"/>
    <w:rsid w:val="00946199"/>
    <w:rsid w:val="009461AC"/>
    <w:rsid w:val="009465AC"/>
    <w:rsid w:val="00946673"/>
    <w:rsid w:val="00946762"/>
    <w:rsid w:val="0094677F"/>
    <w:rsid w:val="00946892"/>
    <w:rsid w:val="009468BA"/>
    <w:rsid w:val="00946B6A"/>
    <w:rsid w:val="00946C48"/>
    <w:rsid w:val="00946D30"/>
    <w:rsid w:val="00946F24"/>
    <w:rsid w:val="00946F3A"/>
    <w:rsid w:val="00947464"/>
    <w:rsid w:val="00947535"/>
    <w:rsid w:val="00947551"/>
    <w:rsid w:val="009475E4"/>
    <w:rsid w:val="00947625"/>
    <w:rsid w:val="009476F0"/>
    <w:rsid w:val="0094788C"/>
    <w:rsid w:val="00947A4F"/>
    <w:rsid w:val="00947B7D"/>
    <w:rsid w:val="00947BB1"/>
    <w:rsid w:val="00947D51"/>
    <w:rsid w:val="00947D95"/>
    <w:rsid w:val="00947EF6"/>
    <w:rsid w:val="0095043D"/>
    <w:rsid w:val="00950475"/>
    <w:rsid w:val="009509D6"/>
    <w:rsid w:val="00950A36"/>
    <w:rsid w:val="00950C7B"/>
    <w:rsid w:val="00950CA4"/>
    <w:rsid w:val="00950D06"/>
    <w:rsid w:val="00950F17"/>
    <w:rsid w:val="00950FC4"/>
    <w:rsid w:val="009511A2"/>
    <w:rsid w:val="00951232"/>
    <w:rsid w:val="0095127F"/>
    <w:rsid w:val="00951593"/>
    <w:rsid w:val="00951654"/>
    <w:rsid w:val="00951843"/>
    <w:rsid w:val="00951A6D"/>
    <w:rsid w:val="00951AA5"/>
    <w:rsid w:val="00951CC1"/>
    <w:rsid w:val="00951DC7"/>
    <w:rsid w:val="00951FBF"/>
    <w:rsid w:val="009520E2"/>
    <w:rsid w:val="00952147"/>
    <w:rsid w:val="0095222A"/>
    <w:rsid w:val="009522FE"/>
    <w:rsid w:val="0095254D"/>
    <w:rsid w:val="00952911"/>
    <w:rsid w:val="0095297D"/>
    <w:rsid w:val="00952AA8"/>
    <w:rsid w:val="00952D39"/>
    <w:rsid w:val="00952D57"/>
    <w:rsid w:val="00952F0C"/>
    <w:rsid w:val="00952FE3"/>
    <w:rsid w:val="0095302C"/>
    <w:rsid w:val="0095332E"/>
    <w:rsid w:val="009534DE"/>
    <w:rsid w:val="00953936"/>
    <w:rsid w:val="009539E7"/>
    <w:rsid w:val="00953BA5"/>
    <w:rsid w:val="00953CAE"/>
    <w:rsid w:val="00953CF5"/>
    <w:rsid w:val="009540E1"/>
    <w:rsid w:val="0095434D"/>
    <w:rsid w:val="00954546"/>
    <w:rsid w:val="0095457C"/>
    <w:rsid w:val="00954643"/>
    <w:rsid w:val="00954655"/>
    <w:rsid w:val="00954803"/>
    <w:rsid w:val="00954808"/>
    <w:rsid w:val="009548B5"/>
    <w:rsid w:val="00954945"/>
    <w:rsid w:val="0095497C"/>
    <w:rsid w:val="009549FB"/>
    <w:rsid w:val="00954CB3"/>
    <w:rsid w:val="00954EC7"/>
    <w:rsid w:val="00955011"/>
    <w:rsid w:val="00955081"/>
    <w:rsid w:val="00955275"/>
    <w:rsid w:val="009552B7"/>
    <w:rsid w:val="00955379"/>
    <w:rsid w:val="00955486"/>
    <w:rsid w:val="009554A6"/>
    <w:rsid w:val="009557AA"/>
    <w:rsid w:val="009559D9"/>
    <w:rsid w:val="00955C4E"/>
    <w:rsid w:val="00955CE2"/>
    <w:rsid w:val="00955D2D"/>
    <w:rsid w:val="00955F68"/>
    <w:rsid w:val="00956172"/>
    <w:rsid w:val="0095617F"/>
    <w:rsid w:val="009563BB"/>
    <w:rsid w:val="009564CF"/>
    <w:rsid w:val="0095653C"/>
    <w:rsid w:val="009565CC"/>
    <w:rsid w:val="00956A5A"/>
    <w:rsid w:val="00956B05"/>
    <w:rsid w:val="00956E51"/>
    <w:rsid w:val="00957046"/>
    <w:rsid w:val="0095706C"/>
    <w:rsid w:val="00957354"/>
    <w:rsid w:val="00957AA7"/>
    <w:rsid w:val="00957BA0"/>
    <w:rsid w:val="00957C43"/>
    <w:rsid w:val="00957CF2"/>
    <w:rsid w:val="00957F53"/>
    <w:rsid w:val="00957F5C"/>
    <w:rsid w:val="0096009E"/>
    <w:rsid w:val="0096013A"/>
    <w:rsid w:val="0096017F"/>
    <w:rsid w:val="00960240"/>
    <w:rsid w:val="009602AF"/>
    <w:rsid w:val="009603D7"/>
    <w:rsid w:val="009603DD"/>
    <w:rsid w:val="00960431"/>
    <w:rsid w:val="009604A8"/>
    <w:rsid w:val="0096052E"/>
    <w:rsid w:val="0096059F"/>
    <w:rsid w:val="009607F9"/>
    <w:rsid w:val="009608D6"/>
    <w:rsid w:val="009609AD"/>
    <w:rsid w:val="009609ED"/>
    <w:rsid w:val="00960D07"/>
    <w:rsid w:val="0096126B"/>
    <w:rsid w:val="009613D7"/>
    <w:rsid w:val="009614CF"/>
    <w:rsid w:val="0096179D"/>
    <w:rsid w:val="0096189F"/>
    <w:rsid w:val="00961A57"/>
    <w:rsid w:val="00961CD2"/>
    <w:rsid w:val="00961DE2"/>
    <w:rsid w:val="00961E34"/>
    <w:rsid w:val="00961E9B"/>
    <w:rsid w:val="00961EF4"/>
    <w:rsid w:val="00961FE9"/>
    <w:rsid w:val="009622C1"/>
    <w:rsid w:val="0096241D"/>
    <w:rsid w:val="009625B8"/>
    <w:rsid w:val="0096276A"/>
    <w:rsid w:val="00962B9D"/>
    <w:rsid w:val="00962D30"/>
    <w:rsid w:val="00962DDE"/>
    <w:rsid w:val="00962E22"/>
    <w:rsid w:val="009630F1"/>
    <w:rsid w:val="009631DA"/>
    <w:rsid w:val="0096393E"/>
    <w:rsid w:val="00963AFB"/>
    <w:rsid w:val="00963B35"/>
    <w:rsid w:val="00963B3D"/>
    <w:rsid w:val="0096441B"/>
    <w:rsid w:val="009646C6"/>
    <w:rsid w:val="00964723"/>
    <w:rsid w:val="009647F1"/>
    <w:rsid w:val="00964AC1"/>
    <w:rsid w:val="00964B1C"/>
    <w:rsid w:val="00964C63"/>
    <w:rsid w:val="00964D26"/>
    <w:rsid w:val="00964F01"/>
    <w:rsid w:val="0096504B"/>
    <w:rsid w:val="00965254"/>
    <w:rsid w:val="00965362"/>
    <w:rsid w:val="00965495"/>
    <w:rsid w:val="009655FF"/>
    <w:rsid w:val="0096562C"/>
    <w:rsid w:val="00965B10"/>
    <w:rsid w:val="00965C7D"/>
    <w:rsid w:val="00965D88"/>
    <w:rsid w:val="00965DAE"/>
    <w:rsid w:val="00965FBF"/>
    <w:rsid w:val="00966123"/>
    <w:rsid w:val="00966253"/>
    <w:rsid w:val="009662F5"/>
    <w:rsid w:val="009665DD"/>
    <w:rsid w:val="009669D7"/>
    <w:rsid w:val="00966C19"/>
    <w:rsid w:val="00966C44"/>
    <w:rsid w:val="00966CBF"/>
    <w:rsid w:val="009674A9"/>
    <w:rsid w:val="00967608"/>
    <w:rsid w:val="0096766D"/>
    <w:rsid w:val="009679E7"/>
    <w:rsid w:val="00967A84"/>
    <w:rsid w:val="00967B57"/>
    <w:rsid w:val="00967C05"/>
    <w:rsid w:val="00967C0E"/>
    <w:rsid w:val="00967D2C"/>
    <w:rsid w:val="00967ED4"/>
    <w:rsid w:val="00970175"/>
    <w:rsid w:val="00970477"/>
    <w:rsid w:val="009706F9"/>
    <w:rsid w:val="00970835"/>
    <w:rsid w:val="009709B8"/>
    <w:rsid w:val="00970B63"/>
    <w:rsid w:val="00970BAA"/>
    <w:rsid w:val="00970D0F"/>
    <w:rsid w:val="00970DE9"/>
    <w:rsid w:val="00971227"/>
    <w:rsid w:val="009712C4"/>
    <w:rsid w:val="00971711"/>
    <w:rsid w:val="0097188D"/>
    <w:rsid w:val="00971CD8"/>
    <w:rsid w:val="00971EFF"/>
    <w:rsid w:val="00971F3B"/>
    <w:rsid w:val="00971F90"/>
    <w:rsid w:val="00971FB0"/>
    <w:rsid w:val="0097201C"/>
    <w:rsid w:val="00972158"/>
    <w:rsid w:val="0097222E"/>
    <w:rsid w:val="00972452"/>
    <w:rsid w:val="00972466"/>
    <w:rsid w:val="009727BD"/>
    <w:rsid w:val="00972C38"/>
    <w:rsid w:val="00972D53"/>
    <w:rsid w:val="00972DC4"/>
    <w:rsid w:val="00973159"/>
    <w:rsid w:val="0097334D"/>
    <w:rsid w:val="0097347F"/>
    <w:rsid w:val="0097353E"/>
    <w:rsid w:val="009736A0"/>
    <w:rsid w:val="009737AF"/>
    <w:rsid w:val="009739BA"/>
    <w:rsid w:val="00973C52"/>
    <w:rsid w:val="00974065"/>
    <w:rsid w:val="0097413B"/>
    <w:rsid w:val="00974202"/>
    <w:rsid w:val="0097444A"/>
    <w:rsid w:val="009747D6"/>
    <w:rsid w:val="009748EE"/>
    <w:rsid w:val="00974CDA"/>
    <w:rsid w:val="00974D57"/>
    <w:rsid w:val="00974D9B"/>
    <w:rsid w:val="00974DD8"/>
    <w:rsid w:val="009750A6"/>
    <w:rsid w:val="0097542D"/>
    <w:rsid w:val="0097545A"/>
    <w:rsid w:val="00975628"/>
    <w:rsid w:val="009756AC"/>
    <w:rsid w:val="009756C4"/>
    <w:rsid w:val="0097587A"/>
    <w:rsid w:val="00975BBF"/>
    <w:rsid w:val="00975BC3"/>
    <w:rsid w:val="00975C02"/>
    <w:rsid w:val="00975C9B"/>
    <w:rsid w:val="00975D9E"/>
    <w:rsid w:val="00975FC2"/>
    <w:rsid w:val="0097604B"/>
    <w:rsid w:val="00976501"/>
    <w:rsid w:val="00976829"/>
    <w:rsid w:val="00976C31"/>
    <w:rsid w:val="00976F02"/>
    <w:rsid w:val="00976F8E"/>
    <w:rsid w:val="00977084"/>
    <w:rsid w:val="009771E8"/>
    <w:rsid w:val="0097722F"/>
    <w:rsid w:val="00977515"/>
    <w:rsid w:val="009776F4"/>
    <w:rsid w:val="009777FA"/>
    <w:rsid w:val="00977909"/>
    <w:rsid w:val="0097796E"/>
    <w:rsid w:val="00977B11"/>
    <w:rsid w:val="00977B2D"/>
    <w:rsid w:val="00977BEA"/>
    <w:rsid w:val="00977CF4"/>
    <w:rsid w:val="00977D7A"/>
    <w:rsid w:val="009800D5"/>
    <w:rsid w:val="009804A0"/>
    <w:rsid w:val="0098055C"/>
    <w:rsid w:val="0098059F"/>
    <w:rsid w:val="00980694"/>
    <w:rsid w:val="009807D6"/>
    <w:rsid w:val="0098087D"/>
    <w:rsid w:val="00980925"/>
    <w:rsid w:val="00980A0F"/>
    <w:rsid w:val="00980A72"/>
    <w:rsid w:val="00980DBC"/>
    <w:rsid w:val="00980EC3"/>
    <w:rsid w:val="00980F60"/>
    <w:rsid w:val="00981018"/>
    <w:rsid w:val="009811ED"/>
    <w:rsid w:val="00981265"/>
    <w:rsid w:val="009813AC"/>
    <w:rsid w:val="009814A2"/>
    <w:rsid w:val="00981514"/>
    <w:rsid w:val="00981F2C"/>
    <w:rsid w:val="00981FE5"/>
    <w:rsid w:val="00982043"/>
    <w:rsid w:val="009821A8"/>
    <w:rsid w:val="0098241D"/>
    <w:rsid w:val="009825D0"/>
    <w:rsid w:val="00982988"/>
    <w:rsid w:val="00982D52"/>
    <w:rsid w:val="009832D6"/>
    <w:rsid w:val="009832F2"/>
    <w:rsid w:val="009833C0"/>
    <w:rsid w:val="009837EC"/>
    <w:rsid w:val="00983814"/>
    <w:rsid w:val="0098382A"/>
    <w:rsid w:val="00983859"/>
    <w:rsid w:val="009838B4"/>
    <w:rsid w:val="00983929"/>
    <w:rsid w:val="00983A25"/>
    <w:rsid w:val="00983CF3"/>
    <w:rsid w:val="00983DA9"/>
    <w:rsid w:val="00984509"/>
    <w:rsid w:val="0098454C"/>
    <w:rsid w:val="009846E4"/>
    <w:rsid w:val="00984846"/>
    <w:rsid w:val="00984926"/>
    <w:rsid w:val="00984D41"/>
    <w:rsid w:val="00984EFD"/>
    <w:rsid w:val="00985113"/>
    <w:rsid w:val="009852DD"/>
    <w:rsid w:val="0098534B"/>
    <w:rsid w:val="00985584"/>
    <w:rsid w:val="009856B3"/>
    <w:rsid w:val="00985816"/>
    <w:rsid w:val="009858F2"/>
    <w:rsid w:val="00985A2C"/>
    <w:rsid w:val="00985C66"/>
    <w:rsid w:val="009863AE"/>
    <w:rsid w:val="0098653C"/>
    <w:rsid w:val="009865F5"/>
    <w:rsid w:val="009866F8"/>
    <w:rsid w:val="009869A9"/>
    <w:rsid w:val="009869AF"/>
    <w:rsid w:val="00986D7F"/>
    <w:rsid w:val="0098705A"/>
    <w:rsid w:val="0098708B"/>
    <w:rsid w:val="00987360"/>
    <w:rsid w:val="009874C0"/>
    <w:rsid w:val="009874F0"/>
    <w:rsid w:val="009875E2"/>
    <w:rsid w:val="009876E7"/>
    <w:rsid w:val="00987727"/>
    <w:rsid w:val="0098776A"/>
    <w:rsid w:val="0098781C"/>
    <w:rsid w:val="00987C7F"/>
    <w:rsid w:val="009900EE"/>
    <w:rsid w:val="0099011F"/>
    <w:rsid w:val="0099017F"/>
    <w:rsid w:val="00990225"/>
    <w:rsid w:val="009902D5"/>
    <w:rsid w:val="009905C4"/>
    <w:rsid w:val="009905D7"/>
    <w:rsid w:val="00990688"/>
    <w:rsid w:val="009907B4"/>
    <w:rsid w:val="00990A6A"/>
    <w:rsid w:val="00990B29"/>
    <w:rsid w:val="00990CC1"/>
    <w:rsid w:val="00990DC9"/>
    <w:rsid w:val="00990DD4"/>
    <w:rsid w:val="00990F6C"/>
    <w:rsid w:val="00991046"/>
    <w:rsid w:val="00991285"/>
    <w:rsid w:val="00991538"/>
    <w:rsid w:val="0099161A"/>
    <w:rsid w:val="00991624"/>
    <w:rsid w:val="009917B4"/>
    <w:rsid w:val="00991882"/>
    <w:rsid w:val="009919FD"/>
    <w:rsid w:val="00991B9A"/>
    <w:rsid w:val="00991D1C"/>
    <w:rsid w:val="00991E92"/>
    <w:rsid w:val="00991ECB"/>
    <w:rsid w:val="00991F34"/>
    <w:rsid w:val="00991F80"/>
    <w:rsid w:val="009920A3"/>
    <w:rsid w:val="00992207"/>
    <w:rsid w:val="0099232D"/>
    <w:rsid w:val="00992356"/>
    <w:rsid w:val="0099245B"/>
    <w:rsid w:val="00992867"/>
    <w:rsid w:val="00992966"/>
    <w:rsid w:val="009929F4"/>
    <w:rsid w:val="00992B8A"/>
    <w:rsid w:val="00992BAB"/>
    <w:rsid w:val="00992CE0"/>
    <w:rsid w:val="00992E30"/>
    <w:rsid w:val="009930B5"/>
    <w:rsid w:val="009931B0"/>
    <w:rsid w:val="0099340F"/>
    <w:rsid w:val="009935A7"/>
    <w:rsid w:val="00993680"/>
    <w:rsid w:val="00993698"/>
    <w:rsid w:val="0099372E"/>
    <w:rsid w:val="00993749"/>
    <w:rsid w:val="00993ACA"/>
    <w:rsid w:val="00993CD6"/>
    <w:rsid w:val="00993E73"/>
    <w:rsid w:val="0099401C"/>
    <w:rsid w:val="00994061"/>
    <w:rsid w:val="009940C7"/>
    <w:rsid w:val="00994200"/>
    <w:rsid w:val="00994361"/>
    <w:rsid w:val="009945AE"/>
    <w:rsid w:val="0099460D"/>
    <w:rsid w:val="009946A8"/>
    <w:rsid w:val="0099484C"/>
    <w:rsid w:val="00994C96"/>
    <w:rsid w:val="00994E9C"/>
    <w:rsid w:val="00995075"/>
    <w:rsid w:val="00995104"/>
    <w:rsid w:val="00995105"/>
    <w:rsid w:val="009952A1"/>
    <w:rsid w:val="0099539A"/>
    <w:rsid w:val="009954B0"/>
    <w:rsid w:val="0099562E"/>
    <w:rsid w:val="00995670"/>
    <w:rsid w:val="009956FE"/>
    <w:rsid w:val="00995801"/>
    <w:rsid w:val="009958E1"/>
    <w:rsid w:val="0099595C"/>
    <w:rsid w:val="00995AFB"/>
    <w:rsid w:val="00995C1E"/>
    <w:rsid w:val="00995F4F"/>
    <w:rsid w:val="00995F9F"/>
    <w:rsid w:val="0099612F"/>
    <w:rsid w:val="00996432"/>
    <w:rsid w:val="0099658D"/>
    <w:rsid w:val="009968CB"/>
    <w:rsid w:val="00996D1E"/>
    <w:rsid w:val="00996DB2"/>
    <w:rsid w:val="00996EBE"/>
    <w:rsid w:val="00996ECB"/>
    <w:rsid w:val="00997019"/>
    <w:rsid w:val="009974B6"/>
    <w:rsid w:val="00997620"/>
    <w:rsid w:val="0099781D"/>
    <w:rsid w:val="00997893"/>
    <w:rsid w:val="009979E1"/>
    <w:rsid w:val="00997A88"/>
    <w:rsid w:val="00997C79"/>
    <w:rsid w:val="00997CCF"/>
    <w:rsid w:val="00997F9C"/>
    <w:rsid w:val="009A004B"/>
    <w:rsid w:val="009A0399"/>
    <w:rsid w:val="009A0464"/>
    <w:rsid w:val="009A05A3"/>
    <w:rsid w:val="009A067E"/>
    <w:rsid w:val="009A06E9"/>
    <w:rsid w:val="009A0EFD"/>
    <w:rsid w:val="009A1295"/>
    <w:rsid w:val="009A13F7"/>
    <w:rsid w:val="009A158D"/>
    <w:rsid w:val="009A16A8"/>
    <w:rsid w:val="009A18F5"/>
    <w:rsid w:val="009A1B41"/>
    <w:rsid w:val="009A1C18"/>
    <w:rsid w:val="009A1C74"/>
    <w:rsid w:val="009A1F1E"/>
    <w:rsid w:val="009A208D"/>
    <w:rsid w:val="009A215A"/>
    <w:rsid w:val="009A237C"/>
    <w:rsid w:val="009A23B6"/>
    <w:rsid w:val="009A2608"/>
    <w:rsid w:val="009A2635"/>
    <w:rsid w:val="009A266B"/>
    <w:rsid w:val="009A2A7B"/>
    <w:rsid w:val="009A2ADC"/>
    <w:rsid w:val="009A306F"/>
    <w:rsid w:val="009A30CE"/>
    <w:rsid w:val="009A362C"/>
    <w:rsid w:val="009A36FD"/>
    <w:rsid w:val="009A396C"/>
    <w:rsid w:val="009A3C0B"/>
    <w:rsid w:val="009A3FAE"/>
    <w:rsid w:val="009A4143"/>
    <w:rsid w:val="009A4160"/>
    <w:rsid w:val="009A4199"/>
    <w:rsid w:val="009A420E"/>
    <w:rsid w:val="009A42F4"/>
    <w:rsid w:val="009A4411"/>
    <w:rsid w:val="009A4466"/>
    <w:rsid w:val="009A44A5"/>
    <w:rsid w:val="009A460D"/>
    <w:rsid w:val="009A4713"/>
    <w:rsid w:val="009A4759"/>
    <w:rsid w:val="009A48CD"/>
    <w:rsid w:val="009A4A3A"/>
    <w:rsid w:val="009A4A77"/>
    <w:rsid w:val="009A4DDC"/>
    <w:rsid w:val="009A4FD8"/>
    <w:rsid w:val="009A509E"/>
    <w:rsid w:val="009A5268"/>
    <w:rsid w:val="009A5322"/>
    <w:rsid w:val="009A53E1"/>
    <w:rsid w:val="009A55F9"/>
    <w:rsid w:val="009A5771"/>
    <w:rsid w:val="009A5B79"/>
    <w:rsid w:val="009A5E69"/>
    <w:rsid w:val="009A5F2C"/>
    <w:rsid w:val="009A62C7"/>
    <w:rsid w:val="009A6481"/>
    <w:rsid w:val="009A6BD8"/>
    <w:rsid w:val="009A6E63"/>
    <w:rsid w:val="009A6F87"/>
    <w:rsid w:val="009A6FF0"/>
    <w:rsid w:val="009A7127"/>
    <w:rsid w:val="009A7329"/>
    <w:rsid w:val="009A7572"/>
    <w:rsid w:val="009A76A0"/>
    <w:rsid w:val="009A76E7"/>
    <w:rsid w:val="009A77CD"/>
    <w:rsid w:val="009A7A11"/>
    <w:rsid w:val="009A7B77"/>
    <w:rsid w:val="009A7E3D"/>
    <w:rsid w:val="009B02B8"/>
    <w:rsid w:val="009B035B"/>
    <w:rsid w:val="009B04FA"/>
    <w:rsid w:val="009B058D"/>
    <w:rsid w:val="009B062B"/>
    <w:rsid w:val="009B0A47"/>
    <w:rsid w:val="009B0D13"/>
    <w:rsid w:val="009B10B2"/>
    <w:rsid w:val="009B139F"/>
    <w:rsid w:val="009B16B2"/>
    <w:rsid w:val="009B181F"/>
    <w:rsid w:val="009B1825"/>
    <w:rsid w:val="009B18F4"/>
    <w:rsid w:val="009B1B96"/>
    <w:rsid w:val="009B1BE8"/>
    <w:rsid w:val="009B1C9D"/>
    <w:rsid w:val="009B1CBA"/>
    <w:rsid w:val="009B1D50"/>
    <w:rsid w:val="009B1E23"/>
    <w:rsid w:val="009B2064"/>
    <w:rsid w:val="009B2120"/>
    <w:rsid w:val="009B21D7"/>
    <w:rsid w:val="009B2431"/>
    <w:rsid w:val="009B26D2"/>
    <w:rsid w:val="009B26F4"/>
    <w:rsid w:val="009B27DA"/>
    <w:rsid w:val="009B2BDE"/>
    <w:rsid w:val="009B2D3C"/>
    <w:rsid w:val="009B2D95"/>
    <w:rsid w:val="009B31F1"/>
    <w:rsid w:val="009B3343"/>
    <w:rsid w:val="009B337E"/>
    <w:rsid w:val="009B33C8"/>
    <w:rsid w:val="009B3491"/>
    <w:rsid w:val="009B3663"/>
    <w:rsid w:val="009B377E"/>
    <w:rsid w:val="009B3ABF"/>
    <w:rsid w:val="009B3C18"/>
    <w:rsid w:val="009B3CA5"/>
    <w:rsid w:val="009B3CEF"/>
    <w:rsid w:val="009B3D17"/>
    <w:rsid w:val="009B3E45"/>
    <w:rsid w:val="009B3F33"/>
    <w:rsid w:val="009B3FD5"/>
    <w:rsid w:val="009B4035"/>
    <w:rsid w:val="009B4048"/>
    <w:rsid w:val="009B42ED"/>
    <w:rsid w:val="009B4395"/>
    <w:rsid w:val="009B452C"/>
    <w:rsid w:val="009B4622"/>
    <w:rsid w:val="009B46D8"/>
    <w:rsid w:val="009B4838"/>
    <w:rsid w:val="009B4B14"/>
    <w:rsid w:val="009B4F8C"/>
    <w:rsid w:val="009B5451"/>
    <w:rsid w:val="009B55CC"/>
    <w:rsid w:val="009B5600"/>
    <w:rsid w:val="009B577E"/>
    <w:rsid w:val="009B57A8"/>
    <w:rsid w:val="009B58B5"/>
    <w:rsid w:val="009B5949"/>
    <w:rsid w:val="009B5A35"/>
    <w:rsid w:val="009B5D75"/>
    <w:rsid w:val="009B5EF0"/>
    <w:rsid w:val="009B60A6"/>
    <w:rsid w:val="009B60B8"/>
    <w:rsid w:val="009B61C9"/>
    <w:rsid w:val="009B6244"/>
    <w:rsid w:val="009B632E"/>
    <w:rsid w:val="009B6449"/>
    <w:rsid w:val="009B66CB"/>
    <w:rsid w:val="009B6867"/>
    <w:rsid w:val="009B68AD"/>
    <w:rsid w:val="009B6A3A"/>
    <w:rsid w:val="009B6B1F"/>
    <w:rsid w:val="009B6C42"/>
    <w:rsid w:val="009B6D89"/>
    <w:rsid w:val="009B6E9F"/>
    <w:rsid w:val="009B6EB2"/>
    <w:rsid w:val="009B6F59"/>
    <w:rsid w:val="009B7126"/>
    <w:rsid w:val="009B7309"/>
    <w:rsid w:val="009B73A4"/>
    <w:rsid w:val="009B771B"/>
    <w:rsid w:val="009B7870"/>
    <w:rsid w:val="009B7903"/>
    <w:rsid w:val="009B7BD1"/>
    <w:rsid w:val="009B7C06"/>
    <w:rsid w:val="009B7D3E"/>
    <w:rsid w:val="009B7E13"/>
    <w:rsid w:val="009C01AC"/>
    <w:rsid w:val="009C0266"/>
    <w:rsid w:val="009C041A"/>
    <w:rsid w:val="009C05FD"/>
    <w:rsid w:val="009C08AD"/>
    <w:rsid w:val="009C08E0"/>
    <w:rsid w:val="009C0B40"/>
    <w:rsid w:val="009C0C4F"/>
    <w:rsid w:val="009C0D4C"/>
    <w:rsid w:val="009C0DD9"/>
    <w:rsid w:val="009C100B"/>
    <w:rsid w:val="009C1062"/>
    <w:rsid w:val="009C107F"/>
    <w:rsid w:val="009C1120"/>
    <w:rsid w:val="009C123B"/>
    <w:rsid w:val="009C15C1"/>
    <w:rsid w:val="009C1653"/>
    <w:rsid w:val="009C1C6F"/>
    <w:rsid w:val="009C1E10"/>
    <w:rsid w:val="009C209D"/>
    <w:rsid w:val="009C2518"/>
    <w:rsid w:val="009C2596"/>
    <w:rsid w:val="009C25FE"/>
    <w:rsid w:val="009C2B6F"/>
    <w:rsid w:val="009C309A"/>
    <w:rsid w:val="009C3367"/>
    <w:rsid w:val="009C3524"/>
    <w:rsid w:val="009C3964"/>
    <w:rsid w:val="009C3A10"/>
    <w:rsid w:val="009C3BD4"/>
    <w:rsid w:val="009C3CC9"/>
    <w:rsid w:val="009C3DA6"/>
    <w:rsid w:val="009C3FEE"/>
    <w:rsid w:val="009C403B"/>
    <w:rsid w:val="009C4048"/>
    <w:rsid w:val="009C41F4"/>
    <w:rsid w:val="009C42E5"/>
    <w:rsid w:val="009C4963"/>
    <w:rsid w:val="009C4A1F"/>
    <w:rsid w:val="009C4B00"/>
    <w:rsid w:val="009C4D49"/>
    <w:rsid w:val="009C4E04"/>
    <w:rsid w:val="009C4E49"/>
    <w:rsid w:val="009C4FBB"/>
    <w:rsid w:val="009C508C"/>
    <w:rsid w:val="009C50A7"/>
    <w:rsid w:val="009C53A8"/>
    <w:rsid w:val="009C5768"/>
    <w:rsid w:val="009C57EF"/>
    <w:rsid w:val="009C5929"/>
    <w:rsid w:val="009C5A92"/>
    <w:rsid w:val="009C5AE3"/>
    <w:rsid w:val="009C5AF6"/>
    <w:rsid w:val="009C5C3A"/>
    <w:rsid w:val="009C5F0B"/>
    <w:rsid w:val="009C639B"/>
    <w:rsid w:val="009C6566"/>
    <w:rsid w:val="009C6755"/>
    <w:rsid w:val="009C6A21"/>
    <w:rsid w:val="009C6BCB"/>
    <w:rsid w:val="009C6BD0"/>
    <w:rsid w:val="009C6D8D"/>
    <w:rsid w:val="009C6E9F"/>
    <w:rsid w:val="009C6F27"/>
    <w:rsid w:val="009C70F3"/>
    <w:rsid w:val="009C7193"/>
    <w:rsid w:val="009C727A"/>
    <w:rsid w:val="009C73DF"/>
    <w:rsid w:val="009C7482"/>
    <w:rsid w:val="009C76F0"/>
    <w:rsid w:val="009C7762"/>
    <w:rsid w:val="009C77D1"/>
    <w:rsid w:val="009C78AF"/>
    <w:rsid w:val="009C7BA2"/>
    <w:rsid w:val="009C7D33"/>
    <w:rsid w:val="009C7F69"/>
    <w:rsid w:val="009D02B6"/>
    <w:rsid w:val="009D0460"/>
    <w:rsid w:val="009D0619"/>
    <w:rsid w:val="009D08BE"/>
    <w:rsid w:val="009D0A47"/>
    <w:rsid w:val="009D0A73"/>
    <w:rsid w:val="009D0C28"/>
    <w:rsid w:val="009D0FF6"/>
    <w:rsid w:val="009D1179"/>
    <w:rsid w:val="009D132E"/>
    <w:rsid w:val="009D147E"/>
    <w:rsid w:val="009D16CF"/>
    <w:rsid w:val="009D187B"/>
    <w:rsid w:val="009D18D2"/>
    <w:rsid w:val="009D19EC"/>
    <w:rsid w:val="009D1B17"/>
    <w:rsid w:val="009D1B68"/>
    <w:rsid w:val="009D1CB2"/>
    <w:rsid w:val="009D1DCC"/>
    <w:rsid w:val="009D1ED5"/>
    <w:rsid w:val="009D2231"/>
    <w:rsid w:val="009D223C"/>
    <w:rsid w:val="009D236A"/>
    <w:rsid w:val="009D2390"/>
    <w:rsid w:val="009D2702"/>
    <w:rsid w:val="009D272A"/>
    <w:rsid w:val="009D2831"/>
    <w:rsid w:val="009D29DB"/>
    <w:rsid w:val="009D2A82"/>
    <w:rsid w:val="009D2B9E"/>
    <w:rsid w:val="009D2F9D"/>
    <w:rsid w:val="009D3564"/>
    <w:rsid w:val="009D3573"/>
    <w:rsid w:val="009D3636"/>
    <w:rsid w:val="009D398A"/>
    <w:rsid w:val="009D3A22"/>
    <w:rsid w:val="009D3B95"/>
    <w:rsid w:val="009D3C20"/>
    <w:rsid w:val="009D3D2E"/>
    <w:rsid w:val="009D3E09"/>
    <w:rsid w:val="009D3E2C"/>
    <w:rsid w:val="009D3E5F"/>
    <w:rsid w:val="009D3EE7"/>
    <w:rsid w:val="009D4124"/>
    <w:rsid w:val="009D4162"/>
    <w:rsid w:val="009D41F8"/>
    <w:rsid w:val="009D4296"/>
    <w:rsid w:val="009D43C8"/>
    <w:rsid w:val="009D44A0"/>
    <w:rsid w:val="009D45DA"/>
    <w:rsid w:val="009D4767"/>
    <w:rsid w:val="009D48A0"/>
    <w:rsid w:val="009D496C"/>
    <w:rsid w:val="009D4ADC"/>
    <w:rsid w:val="009D4B68"/>
    <w:rsid w:val="009D4C94"/>
    <w:rsid w:val="009D4CC1"/>
    <w:rsid w:val="009D4D83"/>
    <w:rsid w:val="009D4DB3"/>
    <w:rsid w:val="009D4DD7"/>
    <w:rsid w:val="009D4F04"/>
    <w:rsid w:val="009D4F1B"/>
    <w:rsid w:val="009D4FD9"/>
    <w:rsid w:val="009D5003"/>
    <w:rsid w:val="009D5174"/>
    <w:rsid w:val="009D51EC"/>
    <w:rsid w:val="009D52B7"/>
    <w:rsid w:val="009D5361"/>
    <w:rsid w:val="009D546F"/>
    <w:rsid w:val="009D5538"/>
    <w:rsid w:val="009D557A"/>
    <w:rsid w:val="009D557F"/>
    <w:rsid w:val="009D55B0"/>
    <w:rsid w:val="009D55C1"/>
    <w:rsid w:val="009D57E3"/>
    <w:rsid w:val="009D581B"/>
    <w:rsid w:val="009D5D4B"/>
    <w:rsid w:val="009D5E87"/>
    <w:rsid w:val="009D5F97"/>
    <w:rsid w:val="009D5F9E"/>
    <w:rsid w:val="009D62F8"/>
    <w:rsid w:val="009D630C"/>
    <w:rsid w:val="009D678D"/>
    <w:rsid w:val="009D6B44"/>
    <w:rsid w:val="009D6C18"/>
    <w:rsid w:val="009D7128"/>
    <w:rsid w:val="009D7166"/>
    <w:rsid w:val="009D72BC"/>
    <w:rsid w:val="009D7323"/>
    <w:rsid w:val="009D74F0"/>
    <w:rsid w:val="009D7823"/>
    <w:rsid w:val="009D788F"/>
    <w:rsid w:val="009D79D4"/>
    <w:rsid w:val="009D7F58"/>
    <w:rsid w:val="009E006D"/>
    <w:rsid w:val="009E0211"/>
    <w:rsid w:val="009E0250"/>
    <w:rsid w:val="009E02E4"/>
    <w:rsid w:val="009E07D5"/>
    <w:rsid w:val="009E0894"/>
    <w:rsid w:val="009E08D2"/>
    <w:rsid w:val="009E0A65"/>
    <w:rsid w:val="009E0A8C"/>
    <w:rsid w:val="009E0D89"/>
    <w:rsid w:val="009E0EFE"/>
    <w:rsid w:val="009E10EC"/>
    <w:rsid w:val="009E13CB"/>
    <w:rsid w:val="009E1433"/>
    <w:rsid w:val="009E1769"/>
    <w:rsid w:val="009E1C14"/>
    <w:rsid w:val="009E1CF5"/>
    <w:rsid w:val="009E1D79"/>
    <w:rsid w:val="009E1D80"/>
    <w:rsid w:val="009E1EFA"/>
    <w:rsid w:val="009E1FF6"/>
    <w:rsid w:val="009E24F0"/>
    <w:rsid w:val="009E258B"/>
    <w:rsid w:val="009E25E3"/>
    <w:rsid w:val="009E26AE"/>
    <w:rsid w:val="009E2BD3"/>
    <w:rsid w:val="009E2D27"/>
    <w:rsid w:val="009E2F33"/>
    <w:rsid w:val="009E317B"/>
    <w:rsid w:val="009E323B"/>
    <w:rsid w:val="009E34C0"/>
    <w:rsid w:val="009E35FA"/>
    <w:rsid w:val="009E361C"/>
    <w:rsid w:val="009E3677"/>
    <w:rsid w:val="009E37FC"/>
    <w:rsid w:val="009E3879"/>
    <w:rsid w:val="009E394C"/>
    <w:rsid w:val="009E39B2"/>
    <w:rsid w:val="009E3C6A"/>
    <w:rsid w:val="009E3CF9"/>
    <w:rsid w:val="009E3FC8"/>
    <w:rsid w:val="009E3FCE"/>
    <w:rsid w:val="009E40CA"/>
    <w:rsid w:val="009E418A"/>
    <w:rsid w:val="009E41D9"/>
    <w:rsid w:val="009E42BE"/>
    <w:rsid w:val="009E42DD"/>
    <w:rsid w:val="009E4511"/>
    <w:rsid w:val="009E4758"/>
    <w:rsid w:val="009E4759"/>
    <w:rsid w:val="009E48EE"/>
    <w:rsid w:val="009E4909"/>
    <w:rsid w:val="009E4A0C"/>
    <w:rsid w:val="009E4A7A"/>
    <w:rsid w:val="009E5122"/>
    <w:rsid w:val="009E5357"/>
    <w:rsid w:val="009E563B"/>
    <w:rsid w:val="009E578A"/>
    <w:rsid w:val="009E5C08"/>
    <w:rsid w:val="009E5C69"/>
    <w:rsid w:val="009E5CA0"/>
    <w:rsid w:val="009E5DB4"/>
    <w:rsid w:val="009E5FB0"/>
    <w:rsid w:val="009E60B5"/>
    <w:rsid w:val="009E60D5"/>
    <w:rsid w:val="009E628D"/>
    <w:rsid w:val="009E62F3"/>
    <w:rsid w:val="009E6671"/>
    <w:rsid w:val="009E68F5"/>
    <w:rsid w:val="009E6B2F"/>
    <w:rsid w:val="009E6C22"/>
    <w:rsid w:val="009E6F3F"/>
    <w:rsid w:val="009E7063"/>
    <w:rsid w:val="009E72F9"/>
    <w:rsid w:val="009E734D"/>
    <w:rsid w:val="009E73C3"/>
    <w:rsid w:val="009E7567"/>
    <w:rsid w:val="009E7663"/>
    <w:rsid w:val="009E7893"/>
    <w:rsid w:val="009E7A37"/>
    <w:rsid w:val="009E7B7E"/>
    <w:rsid w:val="009E7E77"/>
    <w:rsid w:val="009F0017"/>
    <w:rsid w:val="009F0597"/>
    <w:rsid w:val="009F074E"/>
    <w:rsid w:val="009F085A"/>
    <w:rsid w:val="009F0870"/>
    <w:rsid w:val="009F08E2"/>
    <w:rsid w:val="009F08F6"/>
    <w:rsid w:val="009F0A0E"/>
    <w:rsid w:val="009F0A40"/>
    <w:rsid w:val="009F0AE9"/>
    <w:rsid w:val="009F0C40"/>
    <w:rsid w:val="009F11F7"/>
    <w:rsid w:val="009F13AA"/>
    <w:rsid w:val="009F14F9"/>
    <w:rsid w:val="009F155A"/>
    <w:rsid w:val="009F199E"/>
    <w:rsid w:val="009F1CE4"/>
    <w:rsid w:val="009F1FBE"/>
    <w:rsid w:val="009F2105"/>
    <w:rsid w:val="009F2146"/>
    <w:rsid w:val="009F238F"/>
    <w:rsid w:val="009F240F"/>
    <w:rsid w:val="009F250C"/>
    <w:rsid w:val="009F252F"/>
    <w:rsid w:val="009F2626"/>
    <w:rsid w:val="009F2689"/>
    <w:rsid w:val="009F2748"/>
    <w:rsid w:val="009F2778"/>
    <w:rsid w:val="009F2901"/>
    <w:rsid w:val="009F2B44"/>
    <w:rsid w:val="009F2C43"/>
    <w:rsid w:val="009F2CF6"/>
    <w:rsid w:val="009F30E9"/>
    <w:rsid w:val="009F320C"/>
    <w:rsid w:val="009F3247"/>
    <w:rsid w:val="009F32F3"/>
    <w:rsid w:val="009F36A7"/>
    <w:rsid w:val="009F389C"/>
    <w:rsid w:val="009F4060"/>
    <w:rsid w:val="009F40B3"/>
    <w:rsid w:val="009F4241"/>
    <w:rsid w:val="009F4492"/>
    <w:rsid w:val="009F462F"/>
    <w:rsid w:val="009F48C8"/>
    <w:rsid w:val="009F4BC5"/>
    <w:rsid w:val="009F4BF0"/>
    <w:rsid w:val="009F4C6E"/>
    <w:rsid w:val="009F4D22"/>
    <w:rsid w:val="009F4D3F"/>
    <w:rsid w:val="009F4FE6"/>
    <w:rsid w:val="009F51AD"/>
    <w:rsid w:val="009F5401"/>
    <w:rsid w:val="009F5643"/>
    <w:rsid w:val="009F5758"/>
    <w:rsid w:val="009F57E8"/>
    <w:rsid w:val="009F586A"/>
    <w:rsid w:val="009F594A"/>
    <w:rsid w:val="009F5980"/>
    <w:rsid w:val="009F5A31"/>
    <w:rsid w:val="009F5B46"/>
    <w:rsid w:val="009F5E03"/>
    <w:rsid w:val="009F6255"/>
    <w:rsid w:val="009F63A3"/>
    <w:rsid w:val="009F6405"/>
    <w:rsid w:val="009F64B4"/>
    <w:rsid w:val="009F64DB"/>
    <w:rsid w:val="009F6539"/>
    <w:rsid w:val="009F6894"/>
    <w:rsid w:val="009F6B06"/>
    <w:rsid w:val="009F6F68"/>
    <w:rsid w:val="009F74E5"/>
    <w:rsid w:val="009F7580"/>
    <w:rsid w:val="009F763C"/>
    <w:rsid w:val="009F765E"/>
    <w:rsid w:val="009F7985"/>
    <w:rsid w:val="009F7B86"/>
    <w:rsid w:val="009F7C1A"/>
    <w:rsid w:val="009F7EB7"/>
    <w:rsid w:val="009F7EC2"/>
    <w:rsid w:val="009F7FEC"/>
    <w:rsid w:val="00A0016B"/>
    <w:rsid w:val="00A00240"/>
    <w:rsid w:val="00A0026E"/>
    <w:rsid w:val="00A0048D"/>
    <w:rsid w:val="00A00559"/>
    <w:rsid w:val="00A007CC"/>
    <w:rsid w:val="00A00ACC"/>
    <w:rsid w:val="00A00B01"/>
    <w:rsid w:val="00A00E85"/>
    <w:rsid w:val="00A010E3"/>
    <w:rsid w:val="00A01202"/>
    <w:rsid w:val="00A012E3"/>
    <w:rsid w:val="00A0135B"/>
    <w:rsid w:val="00A01386"/>
    <w:rsid w:val="00A01403"/>
    <w:rsid w:val="00A01417"/>
    <w:rsid w:val="00A0149E"/>
    <w:rsid w:val="00A015D5"/>
    <w:rsid w:val="00A01864"/>
    <w:rsid w:val="00A018D3"/>
    <w:rsid w:val="00A01959"/>
    <w:rsid w:val="00A01A8B"/>
    <w:rsid w:val="00A01AFB"/>
    <w:rsid w:val="00A01B40"/>
    <w:rsid w:val="00A01C24"/>
    <w:rsid w:val="00A01D10"/>
    <w:rsid w:val="00A01DA8"/>
    <w:rsid w:val="00A01EE9"/>
    <w:rsid w:val="00A0211A"/>
    <w:rsid w:val="00A02203"/>
    <w:rsid w:val="00A023E3"/>
    <w:rsid w:val="00A02489"/>
    <w:rsid w:val="00A026DC"/>
    <w:rsid w:val="00A0273B"/>
    <w:rsid w:val="00A027A4"/>
    <w:rsid w:val="00A028AD"/>
    <w:rsid w:val="00A02A1E"/>
    <w:rsid w:val="00A030F1"/>
    <w:rsid w:val="00A0312C"/>
    <w:rsid w:val="00A031AF"/>
    <w:rsid w:val="00A03332"/>
    <w:rsid w:val="00A033AC"/>
    <w:rsid w:val="00A033BB"/>
    <w:rsid w:val="00A03444"/>
    <w:rsid w:val="00A0347C"/>
    <w:rsid w:val="00A0348F"/>
    <w:rsid w:val="00A035B0"/>
    <w:rsid w:val="00A03797"/>
    <w:rsid w:val="00A038CF"/>
    <w:rsid w:val="00A0392D"/>
    <w:rsid w:val="00A03ABA"/>
    <w:rsid w:val="00A03ADB"/>
    <w:rsid w:val="00A03B23"/>
    <w:rsid w:val="00A03B72"/>
    <w:rsid w:val="00A03E4E"/>
    <w:rsid w:val="00A0428E"/>
    <w:rsid w:val="00A0439D"/>
    <w:rsid w:val="00A0441D"/>
    <w:rsid w:val="00A045A1"/>
    <w:rsid w:val="00A04AC5"/>
    <w:rsid w:val="00A04B4D"/>
    <w:rsid w:val="00A04C09"/>
    <w:rsid w:val="00A050F0"/>
    <w:rsid w:val="00A05462"/>
    <w:rsid w:val="00A054CB"/>
    <w:rsid w:val="00A05548"/>
    <w:rsid w:val="00A05578"/>
    <w:rsid w:val="00A057CD"/>
    <w:rsid w:val="00A0587F"/>
    <w:rsid w:val="00A05C67"/>
    <w:rsid w:val="00A05E4C"/>
    <w:rsid w:val="00A05EBD"/>
    <w:rsid w:val="00A05F5D"/>
    <w:rsid w:val="00A0608F"/>
    <w:rsid w:val="00A06180"/>
    <w:rsid w:val="00A06212"/>
    <w:rsid w:val="00A06280"/>
    <w:rsid w:val="00A0629F"/>
    <w:rsid w:val="00A063EE"/>
    <w:rsid w:val="00A065BC"/>
    <w:rsid w:val="00A065F8"/>
    <w:rsid w:val="00A067B4"/>
    <w:rsid w:val="00A067F9"/>
    <w:rsid w:val="00A06827"/>
    <w:rsid w:val="00A0686A"/>
    <w:rsid w:val="00A06893"/>
    <w:rsid w:val="00A0699A"/>
    <w:rsid w:val="00A06A61"/>
    <w:rsid w:val="00A06F0D"/>
    <w:rsid w:val="00A07048"/>
    <w:rsid w:val="00A07050"/>
    <w:rsid w:val="00A07105"/>
    <w:rsid w:val="00A0711A"/>
    <w:rsid w:val="00A07352"/>
    <w:rsid w:val="00A073E5"/>
    <w:rsid w:val="00A074B9"/>
    <w:rsid w:val="00A0757C"/>
    <w:rsid w:val="00A07666"/>
    <w:rsid w:val="00A07A1B"/>
    <w:rsid w:val="00A07A2B"/>
    <w:rsid w:val="00A07B34"/>
    <w:rsid w:val="00A07B81"/>
    <w:rsid w:val="00A07BFE"/>
    <w:rsid w:val="00A07E90"/>
    <w:rsid w:val="00A07F83"/>
    <w:rsid w:val="00A10073"/>
    <w:rsid w:val="00A100F7"/>
    <w:rsid w:val="00A101BF"/>
    <w:rsid w:val="00A101DE"/>
    <w:rsid w:val="00A10236"/>
    <w:rsid w:val="00A10505"/>
    <w:rsid w:val="00A1055C"/>
    <w:rsid w:val="00A10E01"/>
    <w:rsid w:val="00A10FFD"/>
    <w:rsid w:val="00A11177"/>
    <w:rsid w:val="00A111E3"/>
    <w:rsid w:val="00A111EB"/>
    <w:rsid w:val="00A117F0"/>
    <w:rsid w:val="00A1183D"/>
    <w:rsid w:val="00A118A3"/>
    <w:rsid w:val="00A11B83"/>
    <w:rsid w:val="00A11D15"/>
    <w:rsid w:val="00A11ED3"/>
    <w:rsid w:val="00A11ED8"/>
    <w:rsid w:val="00A123AC"/>
    <w:rsid w:val="00A1274C"/>
    <w:rsid w:val="00A129ED"/>
    <w:rsid w:val="00A12B81"/>
    <w:rsid w:val="00A12D71"/>
    <w:rsid w:val="00A1306C"/>
    <w:rsid w:val="00A131DF"/>
    <w:rsid w:val="00A13345"/>
    <w:rsid w:val="00A13353"/>
    <w:rsid w:val="00A1335D"/>
    <w:rsid w:val="00A1339C"/>
    <w:rsid w:val="00A134D1"/>
    <w:rsid w:val="00A1376A"/>
    <w:rsid w:val="00A1376F"/>
    <w:rsid w:val="00A1392F"/>
    <w:rsid w:val="00A13CF9"/>
    <w:rsid w:val="00A13E94"/>
    <w:rsid w:val="00A13FE8"/>
    <w:rsid w:val="00A14018"/>
    <w:rsid w:val="00A140DA"/>
    <w:rsid w:val="00A1447A"/>
    <w:rsid w:val="00A1452E"/>
    <w:rsid w:val="00A14943"/>
    <w:rsid w:val="00A14D4D"/>
    <w:rsid w:val="00A15078"/>
    <w:rsid w:val="00A150CC"/>
    <w:rsid w:val="00A151F9"/>
    <w:rsid w:val="00A1554B"/>
    <w:rsid w:val="00A156F6"/>
    <w:rsid w:val="00A15978"/>
    <w:rsid w:val="00A15994"/>
    <w:rsid w:val="00A159BE"/>
    <w:rsid w:val="00A15A0A"/>
    <w:rsid w:val="00A15AA4"/>
    <w:rsid w:val="00A15D07"/>
    <w:rsid w:val="00A15E1F"/>
    <w:rsid w:val="00A160AE"/>
    <w:rsid w:val="00A161A4"/>
    <w:rsid w:val="00A1635A"/>
    <w:rsid w:val="00A164C0"/>
    <w:rsid w:val="00A165B5"/>
    <w:rsid w:val="00A168A2"/>
    <w:rsid w:val="00A16A19"/>
    <w:rsid w:val="00A16E61"/>
    <w:rsid w:val="00A16EF9"/>
    <w:rsid w:val="00A16F13"/>
    <w:rsid w:val="00A171D8"/>
    <w:rsid w:val="00A172E8"/>
    <w:rsid w:val="00A17395"/>
    <w:rsid w:val="00A17765"/>
    <w:rsid w:val="00A17775"/>
    <w:rsid w:val="00A177D4"/>
    <w:rsid w:val="00A17957"/>
    <w:rsid w:val="00A17BBF"/>
    <w:rsid w:val="00A17E68"/>
    <w:rsid w:val="00A17E73"/>
    <w:rsid w:val="00A17F45"/>
    <w:rsid w:val="00A20109"/>
    <w:rsid w:val="00A20260"/>
    <w:rsid w:val="00A2035A"/>
    <w:rsid w:val="00A2036D"/>
    <w:rsid w:val="00A20451"/>
    <w:rsid w:val="00A205FA"/>
    <w:rsid w:val="00A206CB"/>
    <w:rsid w:val="00A2070D"/>
    <w:rsid w:val="00A2074C"/>
    <w:rsid w:val="00A207B0"/>
    <w:rsid w:val="00A2081B"/>
    <w:rsid w:val="00A20991"/>
    <w:rsid w:val="00A20C35"/>
    <w:rsid w:val="00A20C75"/>
    <w:rsid w:val="00A20E05"/>
    <w:rsid w:val="00A20FC7"/>
    <w:rsid w:val="00A21688"/>
    <w:rsid w:val="00A2173A"/>
    <w:rsid w:val="00A2187C"/>
    <w:rsid w:val="00A21C91"/>
    <w:rsid w:val="00A21E23"/>
    <w:rsid w:val="00A21E2C"/>
    <w:rsid w:val="00A220F4"/>
    <w:rsid w:val="00A22351"/>
    <w:rsid w:val="00A223B7"/>
    <w:rsid w:val="00A22456"/>
    <w:rsid w:val="00A22A85"/>
    <w:rsid w:val="00A22C63"/>
    <w:rsid w:val="00A22D1D"/>
    <w:rsid w:val="00A22DDF"/>
    <w:rsid w:val="00A22E46"/>
    <w:rsid w:val="00A2343D"/>
    <w:rsid w:val="00A234A4"/>
    <w:rsid w:val="00A234BC"/>
    <w:rsid w:val="00A2360F"/>
    <w:rsid w:val="00A23637"/>
    <w:rsid w:val="00A2376B"/>
    <w:rsid w:val="00A23867"/>
    <w:rsid w:val="00A23CFF"/>
    <w:rsid w:val="00A23D14"/>
    <w:rsid w:val="00A23DCC"/>
    <w:rsid w:val="00A23E6B"/>
    <w:rsid w:val="00A23ED5"/>
    <w:rsid w:val="00A23EF8"/>
    <w:rsid w:val="00A24126"/>
    <w:rsid w:val="00A242DE"/>
    <w:rsid w:val="00A24306"/>
    <w:rsid w:val="00A24313"/>
    <w:rsid w:val="00A24539"/>
    <w:rsid w:val="00A24546"/>
    <w:rsid w:val="00A2454E"/>
    <w:rsid w:val="00A247B5"/>
    <w:rsid w:val="00A249B9"/>
    <w:rsid w:val="00A24A33"/>
    <w:rsid w:val="00A24AB9"/>
    <w:rsid w:val="00A24BA7"/>
    <w:rsid w:val="00A24C46"/>
    <w:rsid w:val="00A24C70"/>
    <w:rsid w:val="00A24D96"/>
    <w:rsid w:val="00A24E35"/>
    <w:rsid w:val="00A2520D"/>
    <w:rsid w:val="00A252BF"/>
    <w:rsid w:val="00A25725"/>
    <w:rsid w:val="00A2577A"/>
    <w:rsid w:val="00A259F5"/>
    <w:rsid w:val="00A25A2F"/>
    <w:rsid w:val="00A25ACA"/>
    <w:rsid w:val="00A25B01"/>
    <w:rsid w:val="00A25D1C"/>
    <w:rsid w:val="00A25E75"/>
    <w:rsid w:val="00A260F0"/>
    <w:rsid w:val="00A261A2"/>
    <w:rsid w:val="00A261A7"/>
    <w:rsid w:val="00A261D6"/>
    <w:rsid w:val="00A263D6"/>
    <w:rsid w:val="00A2675E"/>
    <w:rsid w:val="00A268E4"/>
    <w:rsid w:val="00A26A09"/>
    <w:rsid w:val="00A26D8D"/>
    <w:rsid w:val="00A26F6F"/>
    <w:rsid w:val="00A26F93"/>
    <w:rsid w:val="00A27051"/>
    <w:rsid w:val="00A270B3"/>
    <w:rsid w:val="00A2720D"/>
    <w:rsid w:val="00A27294"/>
    <w:rsid w:val="00A27859"/>
    <w:rsid w:val="00A278A9"/>
    <w:rsid w:val="00A27A44"/>
    <w:rsid w:val="00A27C30"/>
    <w:rsid w:val="00A27DCC"/>
    <w:rsid w:val="00A304B2"/>
    <w:rsid w:val="00A306B9"/>
    <w:rsid w:val="00A307E2"/>
    <w:rsid w:val="00A30A46"/>
    <w:rsid w:val="00A30B22"/>
    <w:rsid w:val="00A30D9A"/>
    <w:rsid w:val="00A30EF7"/>
    <w:rsid w:val="00A30FE4"/>
    <w:rsid w:val="00A3132A"/>
    <w:rsid w:val="00A313CB"/>
    <w:rsid w:val="00A313F5"/>
    <w:rsid w:val="00A3152C"/>
    <w:rsid w:val="00A31663"/>
    <w:rsid w:val="00A31751"/>
    <w:rsid w:val="00A317C3"/>
    <w:rsid w:val="00A3182F"/>
    <w:rsid w:val="00A31833"/>
    <w:rsid w:val="00A31C84"/>
    <w:rsid w:val="00A31EF9"/>
    <w:rsid w:val="00A31FF2"/>
    <w:rsid w:val="00A3213F"/>
    <w:rsid w:val="00A32258"/>
    <w:rsid w:val="00A3235B"/>
    <w:rsid w:val="00A324B8"/>
    <w:rsid w:val="00A325CB"/>
    <w:rsid w:val="00A326D7"/>
    <w:rsid w:val="00A3278F"/>
    <w:rsid w:val="00A32882"/>
    <w:rsid w:val="00A32885"/>
    <w:rsid w:val="00A3288F"/>
    <w:rsid w:val="00A32C37"/>
    <w:rsid w:val="00A32EFC"/>
    <w:rsid w:val="00A332E9"/>
    <w:rsid w:val="00A33333"/>
    <w:rsid w:val="00A33336"/>
    <w:rsid w:val="00A3355F"/>
    <w:rsid w:val="00A33791"/>
    <w:rsid w:val="00A33832"/>
    <w:rsid w:val="00A3383C"/>
    <w:rsid w:val="00A3384C"/>
    <w:rsid w:val="00A338E0"/>
    <w:rsid w:val="00A33A4D"/>
    <w:rsid w:val="00A33B4B"/>
    <w:rsid w:val="00A33C80"/>
    <w:rsid w:val="00A33CCF"/>
    <w:rsid w:val="00A33FEC"/>
    <w:rsid w:val="00A34027"/>
    <w:rsid w:val="00A34191"/>
    <w:rsid w:val="00A34381"/>
    <w:rsid w:val="00A34557"/>
    <w:rsid w:val="00A34AA5"/>
    <w:rsid w:val="00A34E7A"/>
    <w:rsid w:val="00A35508"/>
    <w:rsid w:val="00A35536"/>
    <w:rsid w:val="00A35596"/>
    <w:rsid w:val="00A355EB"/>
    <w:rsid w:val="00A35716"/>
    <w:rsid w:val="00A35BA2"/>
    <w:rsid w:val="00A35D1B"/>
    <w:rsid w:val="00A360BC"/>
    <w:rsid w:val="00A36349"/>
    <w:rsid w:val="00A3639C"/>
    <w:rsid w:val="00A365AC"/>
    <w:rsid w:val="00A365B2"/>
    <w:rsid w:val="00A36622"/>
    <w:rsid w:val="00A3675C"/>
    <w:rsid w:val="00A36892"/>
    <w:rsid w:val="00A368F3"/>
    <w:rsid w:val="00A36954"/>
    <w:rsid w:val="00A36AE7"/>
    <w:rsid w:val="00A36AFF"/>
    <w:rsid w:val="00A36D7B"/>
    <w:rsid w:val="00A36DA4"/>
    <w:rsid w:val="00A37205"/>
    <w:rsid w:val="00A372CA"/>
    <w:rsid w:val="00A374D9"/>
    <w:rsid w:val="00A37554"/>
    <w:rsid w:val="00A37586"/>
    <w:rsid w:val="00A37845"/>
    <w:rsid w:val="00A379CE"/>
    <w:rsid w:val="00A37A96"/>
    <w:rsid w:val="00A37BB5"/>
    <w:rsid w:val="00A37C2C"/>
    <w:rsid w:val="00A37EF3"/>
    <w:rsid w:val="00A400C6"/>
    <w:rsid w:val="00A40240"/>
    <w:rsid w:val="00A40279"/>
    <w:rsid w:val="00A40531"/>
    <w:rsid w:val="00A4058C"/>
    <w:rsid w:val="00A40613"/>
    <w:rsid w:val="00A4079A"/>
    <w:rsid w:val="00A4085E"/>
    <w:rsid w:val="00A40B2C"/>
    <w:rsid w:val="00A40B94"/>
    <w:rsid w:val="00A40BDC"/>
    <w:rsid w:val="00A40C66"/>
    <w:rsid w:val="00A40DA4"/>
    <w:rsid w:val="00A40DBA"/>
    <w:rsid w:val="00A40E1A"/>
    <w:rsid w:val="00A40FF4"/>
    <w:rsid w:val="00A4138F"/>
    <w:rsid w:val="00A41602"/>
    <w:rsid w:val="00A41633"/>
    <w:rsid w:val="00A4169C"/>
    <w:rsid w:val="00A416CA"/>
    <w:rsid w:val="00A4170A"/>
    <w:rsid w:val="00A418DD"/>
    <w:rsid w:val="00A419B5"/>
    <w:rsid w:val="00A419E8"/>
    <w:rsid w:val="00A41A36"/>
    <w:rsid w:val="00A41BF7"/>
    <w:rsid w:val="00A41D79"/>
    <w:rsid w:val="00A41E88"/>
    <w:rsid w:val="00A42193"/>
    <w:rsid w:val="00A421D2"/>
    <w:rsid w:val="00A4246A"/>
    <w:rsid w:val="00A42666"/>
    <w:rsid w:val="00A42900"/>
    <w:rsid w:val="00A42A4F"/>
    <w:rsid w:val="00A42A79"/>
    <w:rsid w:val="00A42BDE"/>
    <w:rsid w:val="00A42DE8"/>
    <w:rsid w:val="00A42F14"/>
    <w:rsid w:val="00A43007"/>
    <w:rsid w:val="00A43151"/>
    <w:rsid w:val="00A43407"/>
    <w:rsid w:val="00A43679"/>
    <w:rsid w:val="00A437F4"/>
    <w:rsid w:val="00A439C4"/>
    <w:rsid w:val="00A43B3E"/>
    <w:rsid w:val="00A43B48"/>
    <w:rsid w:val="00A43B49"/>
    <w:rsid w:val="00A43BB0"/>
    <w:rsid w:val="00A43C01"/>
    <w:rsid w:val="00A43F77"/>
    <w:rsid w:val="00A44165"/>
    <w:rsid w:val="00A44537"/>
    <w:rsid w:val="00A446BA"/>
    <w:rsid w:val="00A44802"/>
    <w:rsid w:val="00A4481A"/>
    <w:rsid w:val="00A44984"/>
    <w:rsid w:val="00A44B90"/>
    <w:rsid w:val="00A44BAB"/>
    <w:rsid w:val="00A44CE1"/>
    <w:rsid w:val="00A45202"/>
    <w:rsid w:val="00A45204"/>
    <w:rsid w:val="00A45827"/>
    <w:rsid w:val="00A45935"/>
    <w:rsid w:val="00A4593F"/>
    <w:rsid w:val="00A45B4C"/>
    <w:rsid w:val="00A45BB6"/>
    <w:rsid w:val="00A45BC0"/>
    <w:rsid w:val="00A45E25"/>
    <w:rsid w:val="00A4621A"/>
    <w:rsid w:val="00A46604"/>
    <w:rsid w:val="00A46748"/>
    <w:rsid w:val="00A46860"/>
    <w:rsid w:val="00A46CB5"/>
    <w:rsid w:val="00A46D7D"/>
    <w:rsid w:val="00A4700D"/>
    <w:rsid w:val="00A47249"/>
    <w:rsid w:val="00A47255"/>
    <w:rsid w:val="00A473AF"/>
    <w:rsid w:val="00A47A37"/>
    <w:rsid w:val="00A47AD1"/>
    <w:rsid w:val="00A47ADA"/>
    <w:rsid w:val="00A47D37"/>
    <w:rsid w:val="00A47F6B"/>
    <w:rsid w:val="00A50095"/>
    <w:rsid w:val="00A500D1"/>
    <w:rsid w:val="00A5018D"/>
    <w:rsid w:val="00A5040A"/>
    <w:rsid w:val="00A50890"/>
    <w:rsid w:val="00A50914"/>
    <w:rsid w:val="00A509AD"/>
    <w:rsid w:val="00A509FF"/>
    <w:rsid w:val="00A50A1F"/>
    <w:rsid w:val="00A50B76"/>
    <w:rsid w:val="00A50BB2"/>
    <w:rsid w:val="00A51290"/>
    <w:rsid w:val="00A515C5"/>
    <w:rsid w:val="00A5167B"/>
    <w:rsid w:val="00A51694"/>
    <w:rsid w:val="00A517DD"/>
    <w:rsid w:val="00A517F9"/>
    <w:rsid w:val="00A51C72"/>
    <w:rsid w:val="00A51C7E"/>
    <w:rsid w:val="00A51D72"/>
    <w:rsid w:val="00A51DD0"/>
    <w:rsid w:val="00A51DE0"/>
    <w:rsid w:val="00A51EC7"/>
    <w:rsid w:val="00A52152"/>
    <w:rsid w:val="00A521C5"/>
    <w:rsid w:val="00A52257"/>
    <w:rsid w:val="00A522BF"/>
    <w:rsid w:val="00A52423"/>
    <w:rsid w:val="00A525AD"/>
    <w:rsid w:val="00A5269A"/>
    <w:rsid w:val="00A52774"/>
    <w:rsid w:val="00A527CC"/>
    <w:rsid w:val="00A52B6E"/>
    <w:rsid w:val="00A52DB2"/>
    <w:rsid w:val="00A52E3B"/>
    <w:rsid w:val="00A52FC6"/>
    <w:rsid w:val="00A530EB"/>
    <w:rsid w:val="00A534DB"/>
    <w:rsid w:val="00A538D3"/>
    <w:rsid w:val="00A53BE1"/>
    <w:rsid w:val="00A53FAD"/>
    <w:rsid w:val="00A541B3"/>
    <w:rsid w:val="00A5432C"/>
    <w:rsid w:val="00A5476A"/>
    <w:rsid w:val="00A5492F"/>
    <w:rsid w:val="00A549EC"/>
    <w:rsid w:val="00A54CBC"/>
    <w:rsid w:val="00A5507A"/>
    <w:rsid w:val="00A5532A"/>
    <w:rsid w:val="00A555F7"/>
    <w:rsid w:val="00A5565D"/>
    <w:rsid w:val="00A55979"/>
    <w:rsid w:val="00A55993"/>
    <w:rsid w:val="00A55A04"/>
    <w:rsid w:val="00A55A4D"/>
    <w:rsid w:val="00A55C56"/>
    <w:rsid w:val="00A55CB4"/>
    <w:rsid w:val="00A55F8D"/>
    <w:rsid w:val="00A561D6"/>
    <w:rsid w:val="00A566A9"/>
    <w:rsid w:val="00A566D2"/>
    <w:rsid w:val="00A568F7"/>
    <w:rsid w:val="00A57006"/>
    <w:rsid w:val="00A57241"/>
    <w:rsid w:val="00A572ED"/>
    <w:rsid w:val="00A57389"/>
    <w:rsid w:val="00A576A3"/>
    <w:rsid w:val="00A576FF"/>
    <w:rsid w:val="00A57713"/>
    <w:rsid w:val="00A57956"/>
    <w:rsid w:val="00A5799F"/>
    <w:rsid w:val="00A579BB"/>
    <w:rsid w:val="00A579D4"/>
    <w:rsid w:val="00A57AD8"/>
    <w:rsid w:val="00A57ADD"/>
    <w:rsid w:val="00A57C47"/>
    <w:rsid w:val="00A57C5E"/>
    <w:rsid w:val="00A57D3A"/>
    <w:rsid w:val="00A57F53"/>
    <w:rsid w:val="00A60055"/>
    <w:rsid w:val="00A6005B"/>
    <w:rsid w:val="00A600FE"/>
    <w:rsid w:val="00A60281"/>
    <w:rsid w:val="00A603A8"/>
    <w:rsid w:val="00A608B8"/>
    <w:rsid w:val="00A60B32"/>
    <w:rsid w:val="00A60B96"/>
    <w:rsid w:val="00A60D08"/>
    <w:rsid w:val="00A60E30"/>
    <w:rsid w:val="00A60EA2"/>
    <w:rsid w:val="00A6120D"/>
    <w:rsid w:val="00A61647"/>
    <w:rsid w:val="00A617B2"/>
    <w:rsid w:val="00A6181E"/>
    <w:rsid w:val="00A618D5"/>
    <w:rsid w:val="00A61BCD"/>
    <w:rsid w:val="00A61D76"/>
    <w:rsid w:val="00A6220E"/>
    <w:rsid w:val="00A6230B"/>
    <w:rsid w:val="00A62315"/>
    <w:rsid w:val="00A62415"/>
    <w:rsid w:val="00A6245F"/>
    <w:rsid w:val="00A62497"/>
    <w:rsid w:val="00A62517"/>
    <w:rsid w:val="00A627AC"/>
    <w:rsid w:val="00A62882"/>
    <w:rsid w:val="00A629A8"/>
    <w:rsid w:val="00A62AE4"/>
    <w:rsid w:val="00A62B4D"/>
    <w:rsid w:val="00A62B58"/>
    <w:rsid w:val="00A62C2F"/>
    <w:rsid w:val="00A62E74"/>
    <w:rsid w:val="00A62FB0"/>
    <w:rsid w:val="00A62FF2"/>
    <w:rsid w:val="00A6317A"/>
    <w:rsid w:val="00A6321A"/>
    <w:rsid w:val="00A6325C"/>
    <w:rsid w:val="00A633C2"/>
    <w:rsid w:val="00A6341A"/>
    <w:rsid w:val="00A63489"/>
    <w:rsid w:val="00A636E4"/>
    <w:rsid w:val="00A6389C"/>
    <w:rsid w:val="00A63BBD"/>
    <w:rsid w:val="00A63C69"/>
    <w:rsid w:val="00A63F3D"/>
    <w:rsid w:val="00A63FB8"/>
    <w:rsid w:val="00A64148"/>
    <w:rsid w:val="00A642D1"/>
    <w:rsid w:val="00A6445C"/>
    <w:rsid w:val="00A646DD"/>
    <w:rsid w:val="00A647D7"/>
    <w:rsid w:val="00A648EC"/>
    <w:rsid w:val="00A6494B"/>
    <w:rsid w:val="00A6497A"/>
    <w:rsid w:val="00A64CE2"/>
    <w:rsid w:val="00A64D19"/>
    <w:rsid w:val="00A64FB0"/>
    <w:rsid w:val="00A64FCA"/>
    <w:rsid w:val="00A6530A"/>
    <w:rsid w:val="00A65356"/>
    <w:rsid w:val="00A653B6"/>
    <w:rsid w:val="00A6563E"/>
    <w:rsid w:val="00A6571C"/>
    <w:rsid w:val="00A658FD"/>
    <w:rsid w:val="00A659D0"/>
    <w:rsid w:val="00A659E1"/>
    <w:rsid w:val="00A65D91"/>
    <w:rsid w:val="00A65E0F"/>
    <w:rsid w:val="00A65E47"/>
    <w:rsid w:val="00A65EC3"/>
    <w:rsid w:val="00A66044"/>
    <w:rsid w:val="00A6604E"/>
    <w:rsid w:val="00A6609D"/>
    <w:rsid w:val="00A6613B"/>
    <w:rsid w:val="00A66392"/>
    <w:rsid w:val="00A66555"/>
    <w:rsid w:val="00A669C8"/>
    <w:rsid w:val="00A66BD7"/>
    <w:rsid w:val="00A66E40"/>
    <w:rsid w:val="00A66F83"/>
    <w:rsid w:val="00A671C4"/>
    <w:rsid w:val="00A6744C"/>
    <w:rsid w:val="00A67721"/>
    <w:rsid w:val="00A679AA"/>
    <w:rsid w:val="00A67AB2"/>
    <w:rsid w:val="00A67C6A"/>
    <w:rsid w:val="00A67C9E"/>
    <w:rsid w:val="00A67DC0"/>
    <w:rsid w:val="00A67F33"/>
    <w:rsid w:val="00A7041D"/>
    <w:rsid w:val="00A7047F"/>
    <w:rsid w:val="00A706FD"/>
    <w:rsid w:val="00A707CD"/>
    <w:rsid w:val="00A70A22"/>
    <w:rsid w:val="00A70BE5"/>
    <w:rsid w:val="00A70C7F"/>
    <w:rsid w:val="00A70CD7"/>
    <w:rsid w:val="00A70D1A"/>
    <w:rsid w:val="00A70ECA"/>
    <w:rsid w:val="00A70FC3"/>
    <w:rsid w:val="00A712DE"/>
    <w:rsid w:val="00A71455"/>
    <w:rsid w:val="00A71609"/>
    <w:rsid w:val="00A716D2"/>
    <w:rsid w:val="00A718C5"/>
    <w:rsid w:val="00A71958"/>
    <w:rsid w:val="00A71966"/>
    <w:rsid w:val="00A7197C"/>
    <w:rsid w:val="00A71B09"/>
    <w:rsid w:val="00A721C5"/>
    <w:rsid w:val="00A721D2"/>
    <w:rsid w:val="00A72275"/>
    <w:rsid w:val="00A722B8"/>
    <w:rsid w:val="00A7253E"/>
    <w:rsid w:val="00A72672"/>
    <w:rsid w:val="00A726E1"/>
    <w:rsid w:val="00A7279F"/>
    <w:rsid w:val="00A727BB"/>
    <w:rsid w:val="00A727D0"/>
    <w:rsid w:val="00A72819"/>
    <w:rsid w:val="00A7281A"/>
    <w:rsid w:val="00A72B8A"/>
    <w:rsid w:val="00A72CBB"/>
    <w:rsid w:val="00A72D5F"/>
    <w:rsid w:val="00A72E1E"/>
    <w:rsid w:val="00A72F5C"/>
    <w:rsid w:val="00A72FC0"/>
    <w:rsid w:val="00A73322"/>
    <w:rsid w:val="00A7337D"/>
    <w:rsid w:val="00A733BC"/>
    <w:rsid w:val="00A73488"/>
    <w:rsid w:val="00A73910"/>
    <w:rsid w:val="00A741AF"/>
    <w:rsid w:val="00A74255"/>
    <w:rsid w:val="00A746C7"/>
    <w:rsid w:val="00A7485A"/>
    <w:rsid w:val="00A749CD"/>
    <w:rsid w:val="00A74AAA"/>
    <w:rsid w:val="00A74AE1"/>
    <w:rsid w:val="00A74BA9"/>
    <w:rsid w:val="00A74C6A"/>
    <w:rsid w:val="00A74D6C"/>
    <w:rsid w:val="00A74F48"/>
    <w:rsid w:val="00A75488"/>
    <w:rsid w:val="00A7549B"/>
    <w:rsid w:val="00A754E5"/>
    <w:rsid w:val="00A756B0"/>
    <w:rsid w:val="00A75747"/>
    <w:rsid w:val="00A75B82"/>
    <w:rsid w:val="00A761C9"/>
    <w:rsid w:val="00A76326"/>
    <w:rsid w:val="00A763FF"/>
    <w:rsid w:val="00A768EC"/>
    <w:rsid w:val="00A76983"/>
    <w:rsid w:val="00A76B0A"/>
    <w:rsid w:val="00A76B9D"/>
    <w:rsid w:val="00A76C92"/>
    <w:rsid w:val="00A76D2E"/>
    <w:rsid w:val="00A76E24"/>
    <w:rsid w:val="00A76F37"/>
    <w:rsid w:val="00A7700C"/>
    <w:rsid w:val="00A770EA"/>
    <w:rsid w:val="00A773AE"/>
    <w:rsid w:val="00A77401"/>
    <w:rsid w:val="00A77416"/>
    <w:rsid w:val="00A774FA"/>
    <w:rsid w:val="00A776CF"/>
    <w:rsid w:val="00A776D0"/>
    <w:rsid w:val="00A77ABA"/>
    <w:rsid w:val="00A80398"/>
    <w:rsid w:val="00A804C0"/>
    <w:rsid w:val="00A8060C"/>
    <w:rsid w:val="00A8079D"/>
    <w:rsid w:val="00A807B2"/>
    <w:rsid w:val="00A80A41"/>
    <w:rsid w:val="00A80C5E"/>
    <w:rsid w:val="00A80CC4"/>
    <w:rsid w:val="00A80E10"/>
    <w:rsid w:val="00A80E26"/>
    <w:rsid w:val="00A8103F"/>
    <w:rsid w:val="00A819E9"/>
    <w:rsid w:val="00A81AA5"/>
    <w:rsid w:val="00A81BF4"/>
    <w:rsid w:val="00A81CF9"/>
    <w:rsid w:val="00A821ED"/>
    <w:rsid w:val="00A82247"/>
    <w:rsid w:val="00A82346"/>
    <w:rsid w:val="00A823F7"/>
    <w:rsid w:val="00A823FF"/>
    <w:rsid w:val="00A8249F"/>
    <w:rsid w:val="00A8269B"/>
    <w:rsid w:val="00A827FF"/>
    <w:rsid w:val="00A8285A"/>
    <w:rsid w:val="00A82D46"/>
    <w:rsid w:val="00A83189"/>
    <w:rsid w:val="00A832FC"/>
    <w:rsid w:val="00A8367B"/>
    <w:rsid w:val="00A836A4"/>
    <w:rsid w:val="00A83768"/>
    <w:rsid w:val="00A83950"/>
    <w:rsid w:val="00A83BFA"/>
    <w:rsid w:val="00A83EF8"/>
    <w:rsid w:val="00A83FB4"/>
    <w:rsid w:val="00A84043"/>
    <w:rsid w:val="00A840A3"/>
    <w:rsid w:val="00A84112"/>
    <w:rsid w:val="00A8421B"/>
    <w:rsid w:val="00A84238"/>
    <w:rsid w:val="00A84399"/>
    <w:rsid w:val="00A844C0"/>
    <w:rsid w:val="00A84920"/>
    <w:rsid w:val="00A84A49"/>
    <w:rsid w:val="00A84BF7"/>
    <w:rsid w:val="00A84C25"/>
    <w:rsid w:val="00A84C35"/>
    <w:rsid w:val="00A84C89"/>
    <w:rsid w:val="00A84D23"/>
    <w:rsid w:val="00A850EB"/>
    <w:rsid w:val="00A8511F"/>
    <w:rsid w:val="00A85340"/>
    <w:rsid w:val="00A85445"/>
    <w:rsid w:val="00A8568C"/>
    <w:rsid w:val="00A856A5"/>
    <w:rsid w:val="00A8590A"/>
    <w:rsid w:val="00A859FC"/>
    <w:rsid w:val="00A85A73"/>
    <w:rsid w:val="00A85A86"/>
    <w:rsid w:val="00A85AA4"/>
    <w:rsid w:val="00A85AAA"/>
    <w:rsid w:val="00A85D0D"/>
    <w:rsid w:val="00A85E64"/>
    <w:rsid w:val="00A85ED7"/>
    <w:rsid w:val="00A8605F"/>
    <w:rsid w:val="00A865D6"/>
    <w:rsid w:val="00A86C21"/>
    <w:rsid w:val="00A86C86"/>
    <w:rsid w:val="00A86D9F"/>
    <w:rsid w:val="00A86EAF"/>
    <w:rsid w:val="00A87574"/>
    <w:rsid w:val="00A87588"/>
    <w:rsid w:val="00A87620"/>
    <w:rsid w:val="00A87866"/>
    <w:rsid w:val="00A8792E"/>
    <w:rsid w:val="00A8793B"/>
    <w:rsid w:val="00A87DC1"/>
    <w:rsid w:val="00A87E30"/>
    <w:rsid w:val="00A87FAE"/>
    <w:rsid w:val="00A900CC"/>
    <w:rsid w:val="00A90103"/>
    <w:rsid w:val="00A90171"/>
    <w:rsid w:val="00A90193"/>
    <w:rsid w:val="00A9027A"/>
    <w:rsid w:val="00A90304"/>
    <w:rsid w:val="00A90467"/>
    <w:rsid w:val="00A9095F"/>
    <w:rsid w:val="00A90A0A"/>
    <w:rsid w:val="00A90BEB"/>
    <w:rsid w:val="00A90DF3"/>
    <w:rsid w:val="00A91198"/>
    <w:rsid w:val="00A913A3"/>
    <w:rsid w:val="00A913C9"/>
    <w:rsid w:val="00A91543"/>
    <w:rsid w:val="00A91620"/>
    <w:rsid w:val="00A916B1"/>
    <w:rsid w:val="00A9177D"/>
    <w:rsid w:val="00A91787"/>
    <w:rsid w:val="00A917F5"/>
    <w:rsid w:val="00A91AB5"/>
    <w:rsid w:val="00A91AF1"/>
    <w:rsid w:val="00A9203D"/>
    <w:rsid w:val="00A920E0"/>
    <w:rsid w:val="00A926B5"/>
    <w:rsid w:val="00A92954"/>
    <w:rsid w:val="00A92A47"/>
    <w:rsid w:val="00A92CD1"/>
    <w:rsid w:val="00A92D4F"/>
    <w:rsid w:val="00A92F89"/>
    <w:rsid w:val="00A9316B"/>
    <w:rsid w:val="00A93267"/>
    <w:rsid w:val="00A93323"/>
    <w:rsid w:val="00A933CE"/>
    <w:rsid w:val="00A933D7"/>
    <w:rsid w:val="00A93ACD"/>
    <w:rsid w:val="00A93E51"/>
    <w:rsid w:val="00A941E3"/>
    <w:rsid w:val="00A942A5"/>
    <w:rsid w:val="00A9441B"/>
    <w:rsid w:val="00A945DE"/>
    <w:rsid w:val="00A94835"/>
    <w:rsid w:val="00A94BF7"/>
    <w:rsid w:val="00A94FF0"/>
    <w:rsid w:val="00A954AF"/>
    <w:rsid w:val="00A95553"/>
    <w:rsid w:val="00A955D6"/>
    <w:rsid w:val="00A95694"/>
    <w:rsid w:val="00A956DA"/>
    <w:rsid w:val="00A95AA5"/>
    <w:rsid w:val="00A95AD3"/>
    <w:rsid w:val="00A95E43"/>
    <w:rsid w:val="00A95FBC"/>
    <w:rsid w:val="00A961BB"/>
    <w:rsid w:val="00A96310"/>
    <w:rsid w:val="00A9649F"/>
    <w:rsid w:val="00A96589"/>
    <w:rsid w:val="00A965E0"/>
    <w:rsid w:val="00A96758"/>
    <w:rsid w:val="00A967FE"/>
    <w:rsid w:val="00A96806"/>
    <w:rsid w:val="00A96C0E"/>
    <w:rsid w:val="00A96D4E"/>
    <w:rsid w:val="00A96D81"/>
    <w:rsid w:val="00A96E3D"/>
    <w:rsid w:val="00A96F70"/>
    <w:rsid w:val="00A96F8B"/>
    <w:rsid w:val="00A96FAF"/>
    <w:rsid w:val="00A96FEF"/>
    <w:rsid w:val="00A970F2"/>
    <w:rsid w:val="00A97183"/>
    <w:rsid w:val="00A972FD"/>
    <w:rsid w:val="00A97337"/>
    <w:rsid w:val="00A9741E"/>
    <w:rsid w:val="00A977BB"/>
    <w:rsid w:val="00A979AE"/>
    <w:rsid w:val="00A979DB"/>
    <w:rsid w:val="00A97DB4"/>
    <w:rsid w:val="00A97E96"/>
    <w:rsid w:val="00A97EDE"/>
    <w:rsid w:val="00AA00F3"/>
    <w:rsid w:val="00AA01F9"/>
    <w:rsid w:val="00AA03AF"/>
    <w:rsid w:val="00AA0524"/>
    <w:rsid w:val="00AA057E"/>
    <w:rsid w:val="00AA0739"/>
    <w:rsid w:val="00AA07A3"/>
    <w:rsid w:val="00AA07BC"/>
    <w:rsid w:val="00AA0802"/>
    <w:rsid w:val="00AA0C8D"/>
    <w:rsid w:val="00AA0E23"/>
    <w:rsid w:val="00AA0E30"/>
    <w:rsid w:val="00AA0E6E"/>
    <w:rsid w:val="00AA0F12"/>
    <w:rsid w:val="00AA127B"/>
    <w:rsid w:val="00AA127E"/>
    <w:rsid w:val="00AA1596"/>
    <w:rsid w:val="00AA1623"/>
    <w:rsid w:val="00AA18CF"/>
    <w:rsid w:val="00AA1A9F"/>
    <w:rsid w:val="00AA1B23"/>
    <w:rsid w:val="00AA20CE"/>
    <w:rsid w:val="00AA21DE"/>
    <w:rsid w:val="00AA21EF"/>
    <w:rsid w:val="00AA2257"/>
    <w:rsid w:val="00AA240A"/>
    <w:rsid w:val="00AA2B52"/>
    <w:rsid w:val="00AA2BBC"/>
    <w:rsid w:val="00AA2C62"/>
    <w:rsid w:val="00AA2F52"/>
    <w:rsid w:val="00AA2FC7"/>
    <w:rsid w:val="00AA2FF7"/>
    <w:rsid w:val="00AA3095"/>
    <w:rsid w:val="00AA310D"/>
    <w:rsid w:val="00AA315E"/>
    <w:rsid w:val="00AA34E3"/>
    <w:rsid w:val="00AA356A"/>
    <w:rsid w:val="00AA3E0D"/>
    <w:rsid w:val="00AA3EAF"/>
    <w:rsid w:val="00AA3EB3"/>
    <w:rsid w:val="00AA3EC3"/>
    <w:rsid w:val="00AA4115"/>
    <w:rsid w:val="00AA442E"/>
    <w:rsid w:val="00AA4774"/>
    <w:rsid w:val="00AA4905"/>
    <w:rsid w:val="00AA4ACB"/>
    <w:rsid w:val="00AA4B23"/>
    <w:rsid w:val="00AA4B89"/>
    <w:rsid w:val="00AA4BA3"/>
    <w:rsid w:val="00AA4C4E"/>
    <w:rsid w:val="00AA4F25"/>
    <w:rsid w:val="00AA4F81"/>
    <w:rsid w:val="00AA5414"/>
    <w:rsid w:val="00AA543B"/>
    <w:rsid w:val="00AA5571"/>
    <w:rsid w:val="00AA5594"/>
    <w:rsid w:val="00AA559F"/>
    <w:rsid w:val="00AA5625"/>
    <w:rsid w:val="00AA562F"/>
    <w:rsid w:val="00AA564F"/>
    <w:rsid w:val="00AA5666"/>
    <w:rsid w:val="00AA566D"/>
    <w:rsid w:val="00AA57D3"/>
    <w:rsid w:val="00AA5841"/>
    <w:rsid w:val="00AA5883"/>
    <w:rsid w:val="00AA592C"/>
    <w:rsid w:val="00AA5A22"/>
    <w:rsid w:val="00AA5A58"/>
    <w:rsid w:val="00AA5B74"/>
    <w:rsid w:val="00AA5C28"/>
    <w:rsid w:val="00AA5D83"/>
    <w:rsid w:val="00AA5D93"/>
    <w:rsid w:val="00AA5DE3"/>
    <w:rsid w:val="00AA611E"/>
    <w:rsid w:val="00AA6200"/>
    <w:rsid w:val="00AA66CE"/>
    <w:rsid w:val="00AA67C0"/>
    <w:rsid w:val="00AA6A66"/>
    <w:rsid w:val="00AA6B2A"/>
    <w:rsid w:val="00AA6CFE"/>
    <w:rsid w:val="00AA6E74"/>
    <w:rsid w:val="00AA6FFC"/>
    <w:rsid w:val="00AA715B"/>
    <w:rsid w:val="00AA7315"/>
    <w:rsid w:val="00AA73A3"/>
    <w:rsid w:val="00AA7566"/>
    <w:rsid w:val="00AA7622"/>
    <w:rsid w:val="00AA763D"/>
    <w:rsid w:val="00AA7897"/>
    <w:rsid w:val="00AA7B62"/>
    <w:rsid w:val="00AA7C8C"/>
    <w:rsid w:val="00AA7DE7"/>
    <w:rsid w:val="00AA7F62"/>
    <w:rsid w:val="00AA7FE8"/>
    <w:rsid w:val="00AB00F9"/>
    <w:rsid w:val="00AB0318"/>
    <w:rsid w:val="00AB04D7"/>
    <w:rsid w:val="00AB0573"/>
    <w:rsid w:val="00AB0743"/>
    <w:rsid w:val="00AB089B"/>
    <w:rsid w:val="00AB08B0"/>
    <w:rsid w:val="00AB0965"/>
    <w:rsid w:val="00AB0D71"/>
    <w:rsid w:val="00AB0E0D"/>
    <w:rsid w:val="00AB0E79"/>
    <w:rsid w:val="00AB0EF4"/>
    <w:rsid w:val="00AB11D8"/>
    <w:rsid w:val="00AB1321"/>
    <w:rsid w:val="00AB142C"/>
    <w:rsid w:val="00AB151A"/>
    <w:rsid w:val="00AB1692"/>
    <w:rsid w:val="00AB16EA"/>
    <w:rsid w:val="00AB1828"/>
    <w:rsid w:val="00AB183C"/>
    <w:rsid w:val="00AB18E3"/>
    <w:rsid w:val="00AB1903"/>
    <w:rsid w:val="00AB1AFB"/>
    <w:rsid w:val="00AB1B41"/>
    <w:rsid w:val="00AB1BBD"/>
    <w:rsid w:val="00AB1ECD"/>
    <w:rsid w:val="00AB1FD4"/>
    <w:rsid w:val="00AB225D"/>
    <w:rsid w:val="00AB26B0"/>
    <w:rsid w:val="00AB26DC"/>
    <w:rsid w:val="00AB27E1"/>
    <w:rsid w:val="00AB2B1A"/>
    <w:rsid w:val="00AB2B71"/>
    <w:rsid w:val="00AB2EEB"/>
    <w:rsid w:val="00AB315B"/>
    <w:rsid w:val="00AB32A9"/>
    <w:rsid w:val="00AB3744"/>
    <w:rsid w:val="00AB3803"/>
    <w:rsid w:val="00AB3B37"/>
    <w:rsid w:val="00AB3B76"/>
    <w:rsid w:val="00AB3C20"/>
    <w:rsid w:val="00AB3C72"/>
    <w:rsid w:val="00AB3DD5"/>
    <w:rsid w:val="00AB3DD8"/>
    <w:rsid w:val="00AB3F45"/>
    <w:rsid w:val="00AB3F4B"/>
    <w:rsid w:val="00AB3FBA"/>
    <w:rsid w:val="00AB40AF"/>
    <w:rsid w:val="00AB4110"/>
    <w:rsid w:val="00AB4119"/>
    <w:rsid w:val="00AB4126"/>
    <w:rsid w:val="00AB461B"/>
    <w:rsid w:val="00AB464C"/>
    <w:rsid w:val="00AB46C9"/>
    <w:rsid w:val="00AB4709"/>
    <w:rsid w:val="00AB4A82"/>
    <w:rsid w:val="00AB4A9C"/>
    <w:rsid w:val="00AB4C8D"/>
    <w:rsid w:val="00AB4D11"/>
    <w:rsid w:val="00AB4DD1"/>
    <w:rsid w:val="00AB4E44"/>
    <w:rsid w:val="00AB4F77"/>
    <w:rsid w:val="00AB4F93"/>
    <w:rsid w:val="00AB50B1"/>
    <w:rsid w:val="00AB5147"/>
    <w:rsid w:val="00AB5481"/>
    <w:rsid w:val="00AB557A"/>
    <w:rsid w:val="00AB560D"/>
    <w:rsid w:val="00AB5987"/>
    <w:rsid w:val="00AB5DB6"/>
    <w:rsid w:val="00AB5E1B"/>
    <w:rsid w:val="00AB5F8D"/>
    <w:rsid w:val="00AB6048"/>
    <w:rsid w:val="00AB61AA"/>
    <w:rsid w:val="00AB65ED"/>
    <w:rsid w:val="00AB68FC"/>
    <w:rsid w:val="00AB7176"/>
    <w:rsid w:val="00AB718D"/>
    <w:rsid w:val="00AB71D3"/>
    <w:rsid w:val="00AB7254"/>
    <w:rsid w:val="00AB72F0"/>
    <w:rsid w:val="00AB7572"/>
    <w:rsid w:val="00AB774D"/>
    <w:rsid w:val="00AB78DE"/>
    <w:rsid w:val="00AB7C22"/>
    <w:rsid w:val="00AB7DA7"/>
    <w:rsid w:val="00AB7E10"/>
    <w:rsid w:val="00AC0086"/>
    <w:rsid w:val="00AC02AA"/>
    <w:rsid w:val="00AC03AA"/>
    <w:rsid w:val="00AC03C9"/>
    <w:rsid w:val="00AC07C7"/>
    <w:rsid w:val="00AC07D6"/>
    <w:rsid w:val="00AC08D3"/>
    <w:rsid w:val="00AC0B45"/>
    <w:rsid w:val="00AC0C88"/>
    <w:rsid w:val="00AC0D34"/>
    <w:rsid w:val="00AC0D96"/>
    <w:rsid w:val="00AC0FFB"/>
    <w:rsid w:val="00AC1057"/>
    <w:rsid w:val="00AC1107"/>
    <w:rsid w:val="00AC110F"/>
    <w:rsid w:val="00AC1168"/>
    <w:rsid w:val="00AC11D4"/>
    <w:rsid w:val="00AC11ED"/>
    <w:rsid w:val="00AC12E6"/>
    <w:rsid w:val="00AC1333"/>
    <w:rsid w:val="00AC168C"/>
    <w:rsid w:val="00AC16F6"/>
    <w:rsid w:val="00AC18A0"/>
    <w:rsid w:val="00AC19C9"/>
    <w:rsid w:val="00AC1AE8"/>
    <w:rsid w:val="00AC1C5C"/>
    <w:rsid w:val="00AC1D94"/>
    <w:rsid w:val="00AC1EF1"/>
    <w:rsid w:val="00AC2081"/>
    <w:rsid w:val="00AC209B"/>
    <w:rsid w:val="00AC2B15"/>
    <w:rsid w:val="00AC2D9F"/>
    <w:rsid w:val="00AC2E7F"/>
    <w:rsid w:val="00AC2FB7"/>
    <w:rsid w:val="00AC302C"/>
    <w:rsid w:val="00AC31FC"/>
    <w:rsid w:val="00AC3357"/>
    <w:rsid w:val="00AC3455"/>
    <w:rsid w:val="00AC3694"/>
    <w:rsid w:val="00AC3765"/>
    <w:rsid w:val="00AC385E"/>
    <w:rsid w:val="00AC3917"/>
    <w:rsid w:val="00AC3962"/>
    <w:rsid w:val="00AC3A10"/>
    <w:rsid w:val="00AC3ACA"/>
    <w:rsid w:val="00AC3DF7"/>
    <w:rsid w:val="00AC3E18"/>
    <w:rsid w:val="00AC4714"/>
    <w:rsid w:val="00AC4802"/>
    <w:rsid w:val="00AC4931"/>
    <w:rsid w:val="00AC499C"/>
    <w:rsid w:val="00AC4ACC"/>
    <w:rsid w:val="00AC4BF7"/>
    <w:rsid w:val="00AC4E14"/>
    <w:rsid w:val="00AC4FDB"/>
    <w:rsid w:val="00AC519B"/>
    <w:rsid w:val="00AC56A8"/>
    <w:rsid w:val="00AC592A"/>
    <w:rsid w:val="00AC5AF4"/>
    <w:rsid w:val="00AC5CDF"/>
    <w:rsid w:val="00AC5E2D"/>
    <w:rsid w:val="00AC5F4B"/>
    <w:rsid w:val="00AC5FD5"/>
    <w:rsid w:val="00AC61BB"/>
    <w:rsid w:val="00AC6451"/>
    <w:rsid w:val="00AC64B7"/>
    <w:rsid w:val="00AC6AA7"/>
    <w:rsid w:val="00AC6D72"/>
    <w:rsid w:val="00AC6D90"/>
    <w:rsid w:val="00AC6EC7"/>
    <w:rsid w:val="00AC7144"/>
    <w:rsid w:val="00AC72B7"/>
    <w:rsid w:val="00AC73BD"/>
    <w:rsid w:val="00AC73D1"/>
    <w:rsid w:val="00AC774B"/>
    <w:rsid w:val="00AC7760"/>
    <w:rsid w:val="00AC79A1"/>
    <w:rsid w:val="00AD0244"/>
    <w:rsid w:val="00AD028E"/>
    <w:rsid w:val="00AD02A8"/>
    <w:rsid w:val="00AD039D"/>
    <w:rsid w:val="00AD047D"/>
    <w:rsid w:val="00AD06B6"/>
    <w:rsid w:val="00AD0887"/>
    <w:rsid w:val="00AD08C9"/>
    <w:rsid w:val="00AD0CC0"/>
    <w:rsid w:val="00AD0DF0"/>
    <w:rsid w:val="00AD0E35"/>
    <w:rsid w:val="00AD0F21"/>
    <w:rsid w:val="00AD1447"/>
    <w:rsid w:val="00AD153F"/>
    <w:rsid w:val="00AD17F6"/>
    <w:rsid w:val="00AD1937"/>
    <w:rsid w:val="00AD199C"/>
    <w:rsid w:val="00AD1BF5"/>
    <w:rsid w:val="00AD1F9F"/>
    <w:rsid w:val="00AD2A6B"/>
    <w:rsid w:val="00AD2B0F"/>
    <w:rsid w:val="00AD2C30"/>
    <w:rsid w:val="00AD2C82"/>
    <w:rsid w:val="00AD2CFF"/>
    <w:rsid w:val="00AD2EDB"/>
    <w:rsid w:val="00AD3159"/>
    <w:rsid w:val="00AD35C8"/>
    <w:rsid w:val="00AD3AEE"/>
    <w:rsid w:val="00AD3B2C"/>
    <w:rsid w:val="00AD3D98"/>
    <w:rsid w:val="00AD4142"/>
    <w:rsid w:val="00AD4551"/>
    <w:rsid w:val="00AD498F"/>
    <w:rsid w:val="00AD4A33"/>
    <w:rsid w:val="00AD4AAA"/>
    <w:rsid w:val="00AD4B29"/>
    <w:rsid w:val="00AD4B84"/>
    <w:rsid w:val="00AD4BAE"/>
    <w:rsid w:val="00AD4E92"/>
    <w:rsid w:val="00AD5066"/>
    <w:rsid w:val="00AD519F"/>
    <w:rsid w:val="00AD5815"/>
    <w:rsid w:val="00AD5B40"/>
    <w:rsid w:val="00AD5CED"/>
    <w:rsid w:val="00AD5F36"/>
    <w:rsid w:val="00AD60CF"/>
    <w:rsid w:val="00AD61BD"/>
    <w:rsid w:val="00AD6329"/>
    <w:rsid w:val="00AD6420"/>
    <w:rsid w:val="00AD6510"/>
    <w:rsid w:val="00AD65CC"/>
    <w:rsid w:val="00AD6684"/>
    <w:rsid w:val="00AD6775"/>
    <w:rsid w:val="00AD6AFC"/>
    <w:rsid w:val="00AD6BA7"/>
    <w:rsid w:val="00AD6EA6"/>
    <w:rsid w:val="00AD6FEF"/>
    <w:rsid w:val="00AD740F"/>
    <w:rsid w:val="00AD742F"/>
    <w:rsid w:val="00AD746E"/>
    <w:rsid w:val="00AD76EF"/>
    <w:rsid w:val="00AD7A90"/>
    <w:rsid w:val="00AD7AAC"/>
    <w:rsid w:val="00AD7BA5"/>
    <w:rsid w:val="00AD7C4F"/>
    <w:rsid w:val="00AD7D45"/>
    <w:rsid w:val="00AD7DA5"/>
    <w:rsid w:val="00AD7E1F"/>
    <w:rsid w:val="00AE0029"/>
    <w:rsid w:val="00AE096A"/>
    <w:rsid w:val="00AE09CC"/>
    <w:rsid w:val="00AE09DA"/>
    <w:rsid w:val="00AE0C59"/>
    <w:rsid w:val="00AE0E58"/>
    <w:rsid w:val="00AE0F26"/>
    <w:rsid w:val="00AE0F3C"/>
    <w:rsid w:val="00AE0FC7"/>
    <w:rsid w:val="00AE1026"/>
    <w:rsid w:val="00AE13B6"/>
    <w:rsid w:val="00AE13CA"/>
    <w:rsid w:val="00AE140A"/>
    <w:rsid w:val="00AE18E0"/>
    <w:rsid w:val="00AE1A23"/>
    <w:rsid w:val="00AE1B21"/>
    <w:rsid w:val="00AE1B8A"/>
    <w:rsid w:val="00AE1C96"/>
    <w:rsid w:val="00AE1CFC"/>
    <w:rsid w:val="00AE1D67"/>
    <w:rsid w:val="00AE1E82"/>
    <w:rsid w:val="00AE1E87"/>
    <w:rsid w:val="00AE1F62"/>
    <w:rsid w:val="00AE21C4"/>
    <w:rsid w:val="00AE2233"/>
    <w:rsid w:val="00AE2241"/>
    <w:rsid w:val="00AE2445"/>
    <w:rsid w:val="00AE24D6"/>
    <w:rsid w:val="00AE25BF"/>
    <w:rsid w:val="00AE2633"/>
    <w:rsid w:val="00AE28B3"/>
    <w:rsid w:val="00AE28FA"/>
    <w:rsid w:val="00AE29A4"/>
    <w:rsid w:val="00AE2A76"/>
    <w:rsid w:val="00AE2C4A"/>
    <w:rsid w:val="00AE2DC8"/>
    <w:rsid w:val="00AE2F49"/>
    <w:rsid w:val="00AE2FC2"/>
    <w:rsid w:val="00AE30B7"/>
    <w:rsid w:val="00AE3375"/>
    <w:rsid w:val="00AE3786"/>
    <w:rsid w:val="00AE393E"/>
    <w:rsid w:val="00AE3942"/>
    <w:rsid w:val="00AE3F64"/>
    <w:rsid w:val="00AE3FBC"/>
    <w:rsid w:val="00AE4007"/>
    <w:rsid w:val="00AE4012"/>
    <w:rsid w:val="00AE4105"/>
    <w:rsid w:val="00AE4180"/>
    <w:rsid w:val="00AE424B"/>
    <w:rsid w:val="00AE4315"/>
    <w:rsid w:val="00AE4316"/>
    <w:rsid w:val="00AE4336"/>
    <w:rsid w:val="00AE46A9"/>
    <w:rsid w:val="00AE472B"/>
    <w:rsid w:val="00AE4730"/>
    <w:rsid w:val="00AE4805"/>
    <w:rsid w:val="00AE49F6"/>
    <w:rsid w:val="00AE4C93"/>
    <w:rsid w:val="00AE4D5C"/>
    <w:rsid w:val="00AE4D74"/>
    <w:rsid w:val="00AE4F82"/>
    <w:rsid w:val="00AE5192"/>
    <w:rsid w:val="00AE567D"/>
    <w:rsid w:val="00AE56D8"/>
    <w:rsid w:val="00AE59BD"/>
    <w:rsid w:val="00AE5A71"/>
    <w:rsid w:val="00AE5C30"/>
    <w:rsid w:val="00AE5E0C"/>
    <w:rsid w:val="00AE6052"/>
    <w:rsid w:val="00AE61F6"/>
    <w:rsid w:val="00AE6377"/>
    <w:rsid w:val="00AE63F1"/>
    <w:rsid w:val="00AE673E"/>
    <w:rsid w:val="00AE682F"/>
    <w:rsid w:val="00AE6C40"/>
    <w:rsid w:val="00AE6DBE"/>
    <w:rsid w:val="00AE7020"/>
    <w:rsid w:val="00AE70DB"/>
    <w:rsid w:val="00AE710A"/>
    <w:rsid w:val="00AE7522"/>
    <w:rsid w:val="00AE783C"/>
    <w:rsid w:val="00AE78A7"/>
    <w:rsid w:val="00AE78BE"/>
    <w:rsid w:val="00AE78DE"/>
    <w:rsid w:val="00AE7933"/>
    <w:rsid w:val="00AE79E6"/>
    <w:rsid w:val="00AE7F9C"/>
    <w:rsid w:val="00AE7FCB"/>
    <w:rsid w:val="00AF001E"/>
    <w:rsid w:val="00AF00BC"/>
    <w:rsid w:val="00AF010B"/>
    <w:rsid w:val="00AF019C"/>
    <w:rsid w:val="00AF04BF"/>
    <w:rsid w:val="00AF05D4"/>
    <w:rsid w:val="00AF061E"/>
    <w:rsid w:val="00AF065A"/>
    <w:rsid w:val="00AF06E8"/>
    <w:rsid w:val="00AF0AA1"/>
    <w:rsid w:val="00AF0AC2"/>
    <w:rsid w:val="00AF0B1B"/>
    <w:rsid w:val="00AF0BC1"/>
    <w:rsid w:val="00AF0C5F"/>
    <w:rsid w:val="00AF0D04"/>
    <w:rsid w:val="00AF0FFB"/>
    <w:rsid w:val="00AF14AB"/>
    <w:rsid w:val="00AF1607"/>
    <w:rsid w:val="00AF1690"/>
    <w:rsid w:val="00AF1B7A"/>
    <w:rsid w:val="00AF1C7F"/>
    <w:rsid w:val="00AF1CF4"/>
    <w:rsid w:val="00AF1D2C"/>
    <w:rsid w:val="00AF1FE2"/>
    <w:rsid w:val="00AF2065"/>
    <w:rsid w:val="00AF20F4"/>
    <w:rsid w:val="00AF21DA"/>
    <w:rsid w:val="00AF2588"/>
    <w:rsid w:val="00AF26D9"/>
    <w:rsid w:val="00AF27A2"/>
    <w:rsid w:val="00AF2B63"/>
    <w:rsid w:val="00AF2F57"/>
    <w:rsid w:val="00AF3139"/>
    <w:rsid w:val="00AF33BF"/>
    <w:rsid w:val="00AF342F"/>
    <w:rsid w:val="00AF3584"/>
    <w:rsid w:val="00AF3598"/>
    <w:rsid w:val="00AF39FF"/>
    <w:rsid w:val="00AF3A73"/>
    <w:rsid w:val="00AF3C99"/>
    <w:rsid w:val="00AF3E93"/>
    <w:rsid w:val="00AF41F5"/>
    <w:rsid w:val="00AF4698"/>
    <w:rsid w:val="00AF4A34"/>
    <w:rsid w:val="00AF4B36"/>
    <w:rsid w:val="00AF4B9E"/>
    <w:rsid w:val="00AF4C25"/>
    <w:rsid w:val="00AF4C9E"/>
    <w:rsid w:val="00AF4CD5"/>
    <w:rsid w:val="00AF4F8D"/>
    <w:rsid w:val="00AF5001"/>
    <w:rsid w:val="00AF5417"/>
    <w:rsid w:val="00AF54D2"/>
    <w:rsid w:val="00AF551D"/>
    <w:rsid w:val="00AF5649"/>
    <w:rsid w:val="00AF568F"/>
    <w:rsid w:val="00AF592F"/>
    <w:rsid w:val="00AF5B42"/>
    <w:rsid w:val="00AF5B5C"/>
    <w:rsid w:val="00AF6281"/>
    <w:rsid w:val="00AF6418"/>
    <w:rsid w:val="00AF652A"/>
    <w:rsid w:val="00AF673A"/>
    <w:rsid w:val="00AF6846"/>
    <w:rsid w:val="00AF6DCE"/>
    <w:rsid w:val="00AF7116"/>
    <w:rsid w:val="00AF72FF"/>
    <w:rsid w:val="00AF7320"/>
    <w:rsid w:val="00AF74CB"/>
    <w:rsid w:val="00AF761F"/>
    <w:rsid w:val="00AF7787"/>
    <w:rsid w:val="00AF780E"/>
    <w:rsid w:val="00AF79E0"/>
    <w:rsid w:val="00AF7BB5"/>
    <w:rsid w:val="00AF7BDE"/>
    <w:rsid w:val="00AF7DD4"/>
    <w:rsid w:val="00AF7DF4"/>
    <w:rsid w:val="00AF7FEF"/>
    <w:rsid w:val="00B0006C"/>
    <w:rsid w:val="00B000FA"/>
    <w:rsid w:val="00B00198"/>
    <w:rsid w:val="00B00260"/>
    <w:rsid w:val="00B003A9"/>
    <w:rsid w:val="00B004BA"/>
    <w:rsid w:val="00B0052A"/>
    <w:rsid w:val="00B00561"/>
    <w:rsid w:val="00B00919"/>
    <w:rsid w:val="00B00967"/>
    <w:rsid w:val="00B00AC3"/>
    <w:rsid w:val="00B00B65"/>
    <w:rsid w:val="00B00C61"/>
    <w:rsid w:val="00B00FB9"/>
    <w:rsid w:val="00B0108E"/>
    <w:rsid w:val="00B014B9"/>
    <w:rsid w:val="00B015E2"/>
    <w:rsid w:val="00B01650"/>
    <w:rsid w:val="00B016CC"/>
    <w:rsid w:val="00B01E47"/>
    <w:rsid w:val="00B020E4"/>
    <w:rsid w:val="00B0213B"/>
    <w:rsid w:val="00B02159"/>
    <w:rsid w:val="00B0229C"/>
    <w:rsid w:val="00B02419"/>
    <w:rsid w:val="00B0251D"/>
    <w:rsid w:val="00B02542"/>
    <w:rsid w:val="00B02790"/>
    <w:rsid w:val="00B0296B"/>
    <w:rsid w:val="00B02A0A"/>
    <w:rsid w:val="00B02A39"/>
    <w:rsid w:val="00B02AE6"/>
    <w:rsid w:val="00B02D3D"/>
    <w:rsid w:val="00B02DE4"/>
    <w:rsid w:val="00B02E38"/>
    <w:rsid w:val="00B02E52"/>
    <w:rsid w:val="00B02F34"/>
    <w:rsid w:val="00B02F3B"/>
    <w:rsid w:val="00B0308F"/>
    <w:rsid w:val="00B030C4"/>
    <w:rsid w:val="00B03138"/>
    <w:rsid w:val="00B031A3"/>
    <w:rsid w:val="00B031E6"/>
    <w:rsid w:val="00B03215"/>
    <w:rsid w:val="00B0347F"/>
    <w:rsid w:val="00B0367F"/>
    <w:rsid w:val="00B03753"/>
    <w:rsid w:val="00B03B2F"/>
    <w:rsid w:val="00B03CB2"/>
    <w:rsid w:val="00B03DFF"/>
    <w:rsid w:val="00B03EA4"/>
    <w:rsid w:val="00B03FEB"/>
    <w:rsid w:val="00B04230"/>
    <w:rsid w:val="00B042DC"/>
    <w:rsid w:val="00B0434F"/>
    <w:rsid w:val="00B04656"/>
    <w:rsid w:val="00B048AE"/>
    <w:rsid w:val="00B048F9"/>
    <w:rsid w:val="00B04A44"/>
    <w:rsid w:val="00B04ACD"/>
    <w:rsid w:val="00B04AF1"/>
    <w:rsid w:val="00B04B22"/>
    <w:rsid w:val="00B04B30"/>
    <w:rsid w:val="00B04C32"/>
    <w:rsid w:val="00B04F13"/>
    <w:rsid w:val="00B04F30"/>
    <w:rsid w:val="00B04F9D"/>
    <w:rsid w:val="00B05019"/>
    <w:rsid w:val="00B0527C"/>
    <w:rsid w:val="00B0534F"/>
    <w:rsid w:val="00B0556F"/>
    <w:rsid w:val="00B055B1"/>
    <w:rsid w:val="00B055D7"/>
    <w:rsid w:val="00B055D9"/>
    <w:rsid w:val="00B0564D"/>
    <w:rsid w:val="00B056C9"/>
    <w:rsid w:val="00B0577B"/>
    <w:rsid w:val="00B05951"/>
    <w:rsid w:val="00B05AC7"/>
    <w:rsid w:val="00B05B5F"/>
    <w:rsid w:val="00B05DFF"/>
    <w:rsid w:val="00B06083"/>
    <w:rsid w:val="00B062EF"/>
    <w:rsid w:val="00B0660D"/>
    <w:rsid w:val="00B06614"/>
    <w:rsid w:val="00B06697"/>
    <w:rsid w:val="00B0669D"/>
    <w:rsid w:val="00B066FA"/>
    <w:rsid w:val="00B06781"/>
    <w:rsid w:val="00B0698C"/>
    <w:rsid w:val="00B06AE2"/>
    <w:rsid w:val="00B06BE9"/>
    <w:rsid w:val="00B06BFB"/>
    <w:rsid w:val="00B06C4D"/>
    <w:rsid w:val="00B06CAD"/>
    <w:rsid w:val="00B06D3D"/>
    <w:rsid w:val="00B06E97"/>
    <w:rsid w:val="00B07106"/>
    <w:rsid w:val="00B07181"/>
    <w:rsid w:val="00B07483"/>
    <w:rsid w:val="00B07721"/>
    <w:rsid w:val="00B079BE"/>
    <w:rsid w:val="00B07A30"/>
    <w:rsid w:val="00B07B30"/>
    <w:rsid w:val="00B10326"/>
    <w:rsid w:val="00B10626"/>
    <w:rsid w:val="00B10CB2"/>
    <w:rsid w:val="00B10FF5"/>
    <w:rsid w:val="00B1102B"/>
    <w:rsid w:val="00B11145"/>
    <w:rsid w:val="00B1119E"/>
    <w:rsid w:val="00B1137C"/>
    <w:rsid w:val="00B113E3"/>
    <w:rsid w:val="00B11511"/>
    <w:rsid w:val="00B1183F"/>
    <w:rsid w:val="00B11896"/>
    <w:rsid w:val="00B119C2"/>
    <w:rsid w:val="00B11ABC"/>
    <w:rsid w:val="00B11B0C"/>
    <w:rsid w:val="00B11B3C"/>
    <w:rsid w:val="00B11EBA"/>
    <w:rsid w:val="00B11EBB"/>
    <w:rsid w:val="00B11F18"/>
    <w:rsid w:val="00B1230C"/>
    <w:rsid w:val="00B124A6"/>
    <w:rsid w:val="00B1278B"/>
    <w:rsid w:val="00B127A5"/>
    <w:rsid w:val="00B127E2"/>
    <w:rsid w:val="00B12984"/>
    <w:rsid w:val="00B12AB5"/>
    <w:rsid w:val="00B12C1A"/>
    <w:rsid w:val="00B12C6C"/>
    <w:rsid w:val="00B12E75"/>
    <w:rsid w:val="00B13131"/>
    <w:rsid w:val="00B13372"/>
    <w:rsid w:val="00B135FA"/>
    <w:rsid w:val="00B13678"/>
    <w:rsid w:val="00B136AE"/>
    <w:rsid w:val="00B13AEB"/>
    <w:rsid w:val="00B13E9B"/>
    <w:rsid w:val="00B14156"/>
    <w:rsid w:val="00B1436B"/>
    <w:rsid w:val="00B1442E"/>
    <w:rsid w:val="00B145D7"/>
    <w:rsid w:val="00B146B3"/>
    <w:rsid w:val="00B1473E"/>
    <w:rsid w:val="00B147EB"/>
    <w:rsid w:val="00B14866"/>
    <w:rsid w:val="00B14C7D"/>
    <w:rsid w:val="00B14E39"/>
    <w:rsid w:val="00B14FB8"/>
    <w:rsid w:val="00B15355"/>
    <w:rsid w:val="00B1546D"/>
    <w:rsid w:val="00B154CF"/>
    <w:rsid w:val="00B1551F"/>
    <w:rsid w:val="00B159A6"/>
    <w:rsid w:val="00B15AF1"/>
    <w:rsid w:val="00B15B12"/>
    <w:rsid w:val="00B15B5F"/>
    <w:rsid w:val="00B15DC3"/>
    <w:rsid w:val="00B15FF0"/>
    <w:rsid w:val="00B16001"/>
    <w:rsid w:val="00B16126"/>
    <w:rsid w:val="00B16130"/>
    <w:rsid w:val="00B16180"/>
    <w:rsid w:val="00B164F8"/>
    <w:rsid w:val="00B16660"/>
    <w:rsid w:val="00B16ABE"/>
    <w:rsid w:val="00B16BC3"/>
    <w:rsid w:val="00B16BD8"/>
    <w:rsid w:val="00B16D11"/>
    <w:rsid w:val="00B17272"/>
    <w:rsid w:val="00B17553"/>
    <w:rsid w:val="00B175B1"/>
    <w:rsid w:val="00B176C3"/>
    <w:rsid w:val="00B1776E"/>
    <w:rsid w:val="00B1793C"/>
    <w:rsid w:val="00B17BBF"/>
    <w:rsid w:val="00B17C16"/>
    <w:rsid w:val="00B17D2C"/>
    <w:rsid w:val="00B20025"/>
    <w:rsid w:val="00B200BA"/>
    <w:rsid w:val="00B20209"/>
    <w:rsid w:val="00B20258"/>
    <w:rsid w:val="00B203D3"/>
    <w:rsid w:val="00B2051E"/>
    <w:rsid w:val="00B20721"/>
    <w:rsid w:val="00B20742"/>
    <w:rsid w:val="00B20938"/>
    <w:rsid w:val="00B20C3A"/>
    <w:rsid w:val="00B20E03"/>
    <w:rsid w:val="00B20E5B"/>
    <w:rsid w:val="00B21040"/>
    <w:rsid w:val="00B2113D"/>
    <w:rsid w:val="00B213E5"/>
    <w:rsid w:val="00B21544"/>
    <w:rsid w:val="00B21885"/>
    <w:rsid w:val="00B21A63"/>
    <w:rsid w:val="00B21AA1"/>
    <w:rsid w:val="00B21C84"/>
    <w:rsid w:val="00B21C96"/>
    <w:rsid w:val="00B21D0E"/>
    <w:rsid w:val="00B21D46"/>
    <w:rsid w:val="00B2212C"/>
    <w:rsid w:val="00B22555"/>
    <w:rsid w:val="00B2257A"/>
    <w:rsid w:val="00B226CC"/>
    <w:rsid w:val="00B2276B"/>
    <w:rsid w:val="00B22841"/>
    <w:rsid w:val="00B22A10"/>
    <w:rsid w:val="00B22C92"/>
    <w:rsid w:val="00B22CC3"/>
    <w:rsid w:val="00B22DFA"/>
    <w:rsid w:val="00B22EF3"/>
    <w:rsid w:val="00B230CD"/>
    <w:rsid w:val="00B231F9"/>
    <w:rsid w:val="00B2331D"/>
    <w:rsid w:val="00B23324"/>
    <w:rsid w:val="00B23431"/>
    <w:rsid w:val="00B234C6"/>
    <w:rsid w:val="00B23805"/>
    <w:rsid w:val="00B23806"/>
    <w:rsid w:val="00B23815"/>
    <w:rsid w:val="00B23BF3"/>
    <w:rsid w:val="00B23C9F"/>
    <w:rsid w:val="00B23CD2"/>
    <w:rsid w:val="00B23DD5"/>
    <w:rsid w:val="00B23EBE"/>
    <w:rsid w:val="00B23F07"/>
    <w:rsid w:val="00B24159"/>
    <w:rsid w:val="00B242EE"/>
    <w:rsid w:val="00B244E3"/>
    <w:rsid w:val="00B247E5"/>
    <w:rsid w:val="00B249BA"/>
    <w:rsid w:val="00B24A94"/>
    <w:rsid w:val="00B24C9F"/>
    <w:rsid w:val="00B24E02"/>
    <w:rsid w:val="00B24F53"/>
    <w:rsid w:val="00B25256"/>
    <w:rsid w:val="00B25387"/>
    <w:rsid w:val="00B253A1"/>
    <w:rsid w:val="00B25695"/>
    <w:rsid w:val="00B256A4"/>
    <w:rsid w:val="00B2571B"/>
    <w:rsid w:val="00B2596F"/>
    <w:rsid w:val="00B2599B"/>
    <w:rsid w:val="00B25F38"/>
    <w:rsid w:val="00B261C8"/>
    <w:rsid w:val="00B262A5"/>
    <w:rsid w:val="00B262AB"/>
    <w:rsid w:val="00B2638B"/>
    <w:rsid w:val="00B2644A"/>
    <w:rsid w:val="00B2654F"/>
    <w:rsid w:val="00B26589"/>
    <w:rsid w:val="00B26797"/>
    <w:rsid w:val="00B267D5"/>
    <w:rsid w:val="00B26988"/>
    <w:rsid w:val="00B2715F"/>
    <w:rsid w:val="00B2717C"/>
    <w:rsid w:val="00B27602"/>
    <w:rsid w:val="00B27624"/>
    <w:rsid w:val="00B276D5"/>
    <w:rsid w:val="00B27778"/>
    <w:rsid w:val="00B27AB7"/>
    <w:rsid w:val="00B30102"/>
    <w:rsid w:val="00B30110"/>
    <w:rsid w:val="00B30293"/>
    <w:rsid w:val="00B30316"/>
    <w:rsid w:val="00B3047E"/>
    <w:rsid w:val="00B3056C"/>
    <w:rsid w:val="00B3057D"/>
    <w:rsid w:val="00B30808"/>
    <w:rsid w:val="00B3080B"/>
    <w:rsid w:val="00B3081B"/>
    <w:rsid w:val="00B30A4F"/>
    <w:rsid w:val="00B30C2F"/>
    <w:rsid w:val="00B30C3B"/>
    <w:rsid w:val="00B30E7B"/>
    <w:rsid w:val="00B30EA4"/>
    <w:rsid w:val="00B3104D"/>
    <w:rsid w:val="00B31423"/>
    <w:rsid w:val="00B314F1"/>
    <w:rsid w:val="00B3158F"/>
    <w:rsid w:val="00B3179B"/>
    <w:rsid w:val="00B31B8E"/>
    <w:rsid w:val="00B31BA0"/>
    <w:rsid w:val="00B31CA3"/>
    <w:rsid w:val="00B31DC8"/>
    <w:rsid w:val="00B31EB3"/>
    <w:rsid w:val="00B32340"/>
    <w:rsid w:val="00B3249C"/>
    <w:rsid w:val="00B325C8"/>
    <w:rsid w:val="00B32765"/>
    <w:rsid w:val="00B32923"/>
    <w:rsid w:val="00B3292D"/>
    <w:rsid w:val="00B3299B"/>
    <w:rsid w:val="00B32A20"/>
    <w:rsid w:val="00B32D3E"/>
    <w:rsid w:val="00B32E37"/>
    <w:rsid w:val="00B32FEB"/>
    <w:rsid w:val="00B33125"/>
    <w:rsid w:val="00B33425"/>
    <w:rsid w:val="00B33463"/>
    <w:rsid w:val="00B334B9"/>
    <w:rsid w:val="00B33956"/>
    <w:rsid w:val="00B33AC6"/>
    <w:rsid w:val="00B33C8A"/>
    <w:rsid w:val="00B33CB7"/>
    <w:rsid w:val="00B33DFF"/>
    <w:rsid w:val="00B342A6"/>
    <w:rsid w:val="00B342D2"/>
    <w:rsid w:val="00B3433C"/>
    <w:rsid w:val="00B348F3"/>
    <w:rsid w:val="00B3492D"/>
    <w:rsid w:val="00B34DAD"/>
    <w:rsid w:val="00B350B3"/>
    <w:rsid w:val="00B351F9"/>
    <w:rsid w:val="00B352A2"/>
    <w:rsid w:val="00B352B0"/>
    <w:rsid w:val="00B352FA"/>
    <w:rsid w:val="00B35876"/>
    <w:rsid w:val="00B35ABB"/>
    <w:rsid w:val="00B35AF1"/>
    <w:rsid w:val="00B35B5C"/>
    <w:rsid w:val="00B35CA4"/>
    <w:rsid w:val="00B35E60"/>
    <w:rsid w:val="00B35ECE"/>
    <w:rsid w:val="00B35F9C"/>
    <w:rsid w:val="00B362E5"/>
    <w:rsid w:val="00B3640E"/>
    <w:rsid w:val="00B36490"/>
    <w:rsid w:val="00B364B2"/>
    <w:rsid w:val="00B36B5C"/>
    <w:rsid w:val="00B36B63"/>
    <w:rsid w:val="00B36BB0"/>
    <w:rsid w:val="00B36D31"/>
    <w:rsid w:val="00B37044"/>
    <w:rsid w:val="00B37303"/>
    <w:rsid w:val="00B37412"/>
    <w:rsid w:val="00B375A8"/>
    <w:rsid w:val="00B37637"/>
    <w:rsid w:val="00B3784C"/>
    <w:rsid w:val="00B37B5B"/>
    <w:rsid w:val="00B37B78"/>
    <w:rsid w:val="00B401A5"/>
    <w:rsid w:val="00B40222"/>
    <w:rsid w:val="00B404A2"/>
    <w:rsid w:val="00B40553"/>
    <w:rsid w:val="00B407A0"/>
    <w:rsid w:val="00B40A77"/>
    <w:rsid w:val="00B40ABB"/>
    <w:rsid w:val="00B40B90"/>
    <w:rsid w:val="00B40C67"/>
    <w:rsid w:val="00B40CB3"/>
    <w:rsid w:val="00B40E44"/>
    <w:rsid w:val="00B40F2B"/>
    <w:rsid w:val="00B40F61"/>
    <w:rsid w:val="00B40FB6"/>
    <w:rsid w:val="00B41393"/>
    <w:rsid w:val="00B41503"/>
    <w:rsid w:val="00B4163F"/>
    <w:rsid w:val="00B416E0"/>
    <w:rsid w:val="00B41A6D"/>
    <w:rsid w:val="00B41C66"/>
    <w:rsid w:val="00B41FC9"/>
    <w:rsid w:val="00B42048"/>
    <w:rsid w:val="00B422FE"/>
    <w:rsid w:val="00B425B1"/>
    <w:rsid w:val="00B42728"/>
    <w:rsid w:val="00B428D5"/>
    <w:rsid w:val="00B42994"/>
    <w:rsid w:val="00B42A6C"/>
    <w:rsid w:val="00B42C29"/>
    <w:rsid w:val="00B42F75"/>
    <w:rsid w:val="00B430B9"/>
    <w:rsid w:val="00B43146"/>
    <w:rsid w:val="00B43195"/>
    <w:rsid w:val="00B431A5"/>
    <w:rsid w:val="00B43329"/>
    <w:rsid w:val="00B43440"/>
    <w:rsid w:val="00B4370B"/>
    <w:rsid w:val="00B43915"/>
    <w:rsid w:val="00B43ADF"/>
    <w:rsid w:val="00B43B59"/>
    <w:rsid w:val="00B43C25"/>
    <w:rsid w:val="00B43DDC"/>
    <w:rsid w:val="00B43ED6"/>
    <w:rsid w:val="00B43F6C"/>
    <w:rsid w:val="00B4430F"/>
    <w:rsid w:val="00B4448B"/>
    <w:rsid w:val="00B446EF"/>
    <w:rsid w:val="00B4486B"/>
    <w:rsid w:val="00B449D8"/>
    <w:rsid w:val="00B44B51"/>
    <w:rsid w:val="00B44B90"/>
    <w:rsid w:val="00B44E42"/>
    <w:rsid w:val="00B45007"/>
    <w:rsid w:val="00B45051"/>
    <w:rsid w:val="00B455B3"/>
    <w:rsid w:val="00B45B7B"/>
    <w:rsid w:val="00B4612D"/>
    <w:rsid w:val="00B4621D"/>
    <w:rsid w:val="00B462C8"/>
    <w:rsid w:val="00B464C3"/>
    <w:rsid w:val="00B46768"/>
    <w:rsid w:val="00B46894"/>
    <w:rsid w:val="00B46969"/>
    <w:rsid w:val="00B469C9"/>
    <w:rsid w:val="00B46B5E"/>
    <w:rsid w:val="00B46E6A"/>
    <w:rsid w:val="00B46F39"/>
    <w:rsid w:val="00B473AB"/>
    <w:rsid w:val="00B4741E"/>
    <w:rsid w:val="00B476FD"/>
    <w:rsid w:val="00B4770F"/>
    <w:rsid w:val="00B479A2"/>
    <w:rsid w:val="00B47A1D"/>
    <w:rsid w:val="00B47B17"/>
    <w:rsid w:val="00B47B3E"/>
    <w:rsid w:val="00B47C97"/>
    <w:rsid w:val="00B47D89"/>
    <w:rsid w:val="00B47F23"/>
    <w:rsid w:val="00B47F72"/>
    <w:rsid w:val="00B5044E"/>
    <w:rsid w:val="00B50495"/>
    <w:rsid w:val="00B505E5"/>
    <w:rsid w:val="00B50668"/>
    <w:rsid w:val="00B50786"/>
    <w:rsid w:val="00B508A5"/>
    <w:rsid w:val="00B508EE"/>
    <w:rsid w:val="00B509E6"/>
    <w:rsid w:val="00B51203"/>
    <w:rsid w:val="00B513E1"/>
    <w:rsid w:val="00B5155A"/>
    <w:rsid w:val="00B5180D"/>
    <w:rsid w:val="00B51827"/>
    <w:rsid w:val="00B51C04"/>
    <w:rsid w:val="00B51DDC"/>
    <w:rsid w:val="00B5220E"/>
    <w:rsid w:val="00B527FE"/>
    <w:rsid w:val="00B52EAD"/>
    <w:rsid w:val="00B53111"/>
    <w:rsid w:val="00B53116"/>
    <w:rsid w:val="00B531AD"/>
    <w:rsid w:val="00B53246"/>
    <w:rsid w:val="00B5325E"/>
    <w:rsid w:val="00B53363"/>
    <w:rsid w:val="00B53598"/>
    <w:rsid w:val="00B535B5"/>
    <w:rsid w:val="00B53A71"/>
    <w:rsid w:val="00B53C0C"/>
    <w:rsid w:val="00B53C39"/>
    <w:rsid w:val="00B53C76"/>
    <w:rsid w:val="00B53ECB"/>
    <w:rsid w:val="00B53F4B"/>
    <w:rsid w:val="00B540B5"/>
    <w:rsid w:val="00B541FD"/>
    <w:rsid w:val="00B543D4"/>
    <w:rsid w:val="00B544F7"/>
    <w:rsid w:val="00B545D4"/>
    <w:rsid w:val="00B546DC"/>
    <w:rsid w:val="00B5479F"/>
    <w:rsid w:val="00B54824"/>
    <w:rsid w:val="00B5496F"/>
    <w:rsid w:val="00B54A0B"/>
    <w:rsid w:val="00B54DB3"/>
    <w:rsid w:val="00B54E41"/>
    <w:rsid w:val="00B54FAB"/>
    <w:rsid w:val="00B550A9"/>
    <w:rsid w:val="00B5512E"/>
    <w:rsid w:val="00B55184"/>
    <w:rsid w:val="00B5523A"/>
    <w:rsid w:val="00B55257"/>
    <w:rsid w:val="00B5526C"/>
    <w:rsid w:val="00B55307"/>
    <w:rsid w:val="00B5541D"/>
    <w:rsid w:val="00B5556E"/>
    <w:rsid w:val="00B555AB"/>
    <w:rsid w:val="00B5560C"/>
    <w:rsid w:val="00B55719"/>
    <w:rsid w:val="00B55908"/>
    <w:rsid w:val="00B559AF"/>
    <w:rsid w:val="00B55B53"/>
    <w:rsid w:val="00B55D64"/>
    <w:rsid w:val="00B55DAC"/>
    <w:rsid w:val="00B55E32"/>
    <w:rsid w:val="00B55F38"/>
    <w:rsid w:val="00B5608F"/>
    <w:rsid w:val="00B56175"/>
    <w:rsid w:val="00B5643D"/>
    <w:rsid w:val="00B565B7"/>
    <w:rsid w:val="00B5668A"/>
    <w:rsid w:val="00B566B6"/>
    <w:rsid w:val="00B56731"/>
    <w:rsid w:val="00B56A36"/>
    <w:rsid w:val="00B56C13"/>
    <w:rsid w:val="00B5707B"/>
    <w:rsid w:val="00B5740F"/>
    <w:rsid w:val="00B57439"/>
    <w:rsid w:val="00B57721"/>
    <w:rsid w:val="00B57796"/>
    <w:rsid w:val="00B577C2"/>
    <w:rsid w:val="00B5780B"/>
    <w:rsid w:val="00B57969"/>
    <w:rsid w:val="00B57A9F"/>
    <w:rsid w:val="00B57B91"/>
    <w:rsid w:val="00B57B9F"/>
    <w:rsid w:val="00B57DC8"/>
    <w:rsid w:val="00B600E7"/>
    <w:rsid w:val="00B6018D"/>
    <w:rsid w:val="00B602EE"/>
    <w:rsid w:val="00B6040D"/>
    <w:rsid w:val="00B605C0"/>
    <w:rsid w:val="00B605F3"/>
    <w:rsid w:val="00B60743"/>
    <w:rsid w:val="00B60830"/>
    <w:rsid w:val="00B60CA5"/>
    <w:rsid w:val="00B60D71"/>
    <w:rsid w:val="00B611C8"/>
    <w:rsid w:val="00B61673"/>
    <w:rsid w:val="00B617CD"/>
    <w:rsid w:val="00B617F6"/>
    <w:rsid w:val="00B61833"/>
    <w:rsid w:val="00B61CED"/>
    <w:rsid w:val="00B61D2F"/>
    <w:rsid w:val="00B61DB8"/>
    <w:rsid w:val="00B61E27"/>
    <w:rsid w:val="00B61E6F"/>
    <w:rsid w:val="00B61FBB"/>
    <w:rsid w:val="00B62322"/>
    <w:rsid w:val="00B6242A"/>
    <w:rsid w:val="00B625DA"/>
    <w:rsid w:val="00B62685"/>
    <w:rsid w:val="00B62697"/>
    <w:rsid w:val="00B62717"/>
    <w:rsid w:val="00B6299A"/>
    <w:rsid w:val="00B62C39"/>
    <w:rsid w:val="00B63032"/>
    <w:rsid w:val="00B630BF"/>
    <w:rsid w:val="00B632D4"/>
    <w:rsid w:val="00B6355E"/>
    <w:rsid w:val="00B636B3"/>
    <w:rsid w:val="00B6385A"/>
    <w:rsid w:val="00B6388B"/>
    <w:rsid w:val="00B63A90"/>
    <w:rsid w:val="00B63B0C"/>
    <w:rsid w:val="00B63D99"/>
    <w:rsid w:val="00B63FF8"/>
    <w:rsid w:val="00B6411F"/>
    <w:rsid w:val="00B641EE"/>
    <w:rsid w:val="00B64264"/>
    <w:rsid w:val="00B646BC"/>
    <w:rsid w:val="00B648EE"/>
    <w:rsid w:val="00B6499D"/>
    <w:rsid w:val="00B64A3D"/>
    <w:rsid w:val="00B64B35"/>
    <w:rsid w:val="00B64DC0"/>
    <w:rsid w:val="00B64E31"/>
    <w:rsid w:val="00B650B9"/>
    <w:rsid w:val="00B65195"/>
    <w:rsid w:val="00B653E2"/>
    <w:rsid w:val="00B6540D"/>
    <w:rsid w:val="00B6593B"/>
    <w:rsid w:val="00B65A25"/>
    <w:rsid w:val="00B65F83"/>
    <w:rsid w:val="00B66259"/>
    <w:rsid w:val="00B6628C"/>
    <w:rsid w:val="00B6638B"/>
    <w:rsid w:val="00B663DC"/>
    <w:rsid w:val="00B664A6"/>
    <w:rsid w:val="00B664F7"/>
    <w:rsid w:val="00B6670D"/>
    <w:rsid w:val="00B6673E"/>
    <w:rsid w:val="00B6678C"/>
    <w:rsid w:val="00B667FC"/>
    <w:rsid w:val="00B66A05"/>
    <w:rsid w:val="00B66A08"/>
    <w:rsid w:val="00B66B7A"/>
    <w:rsid w:val="00B66F45"/>
    <w:rsid w:val="00B67010"/>
    <w:rsid w:val="00B672F1"/>
    <w:rsid w:val="00B675A5"/>
    <w:rsid w:val="00B675DD"/>
    <w:rsid w:val="00B676CC"/>
    <w:rsid w:val="00B6795B"/>
    <w:rsid w:val="00B67A7F"/>
    <w:rsid w:val="00B67AB4"/>
    <w:rsid w:val="00B67C8E"/>
    <w:rsid w:val="00B67D27"/>
    <w:rsid w:val="00B67D58"/>
    <w:rsid w:val="00B67D75"/>
    <w:rsid w:val="00B67E1A"/>
    <w:rsid w:val="00B702EF"/>
    <w:rsid w:val="00B70603"/>
    <w:rsid w:val="00B70A96"/>
    <w:rsid w:val="00B70D65"/>
    <w:rsid w:val="00B70DAB"/>
    <w:rsid w:val="00B70E73"/>
    <w:rsid w:val="00B71045"/>
    <w:rsid w:val="00B7116B"/>
    <w:rsid w:val="00B711B1"/>
    <w:rsid w:val="00B713E6"/>
    <w:rsid w:val="00B716D8"/>
    <w:rsid w:val="00B716DC"/>
    <w:rsid w:val="00B71900"/>
    <w:rsid w:val="00B719DE"/>
    <w:rsid w:val="00B71E2C"/>
    <w:rsid w:val="00B71E80"/>
    <w:rsid w:val="00B71F25"/>
    <w:rsid w:val="00B7230F"/>
    <w:rsid w:val="00B72390"/>
    <w:rsid w:val="00B72706"/>
    <w:rsid w:val="00B7281F"/>
    <w:rsid w:val="00B72B1D"/>
    <w:rsid w:val="00B72BF1"/>
    <w:rsid w:val="00B72E63"/>
    <w:rsid w:val="00B72E91"/>
    <w:rsid w:val="00B72F06"/>
    <w:rsid w:val="00B72F81"/>
    <w:rsid w:val="00B72F9D"/>
    <w:rsid w:val="00B72FBB"/>
    <w:rsid w:val="00B73043"/>
    <w:rsid w:val="00B73209"/>
    <w:rsid w:val="00B73A5F"/>
    <w:rsid w:val="00B73A7E"/>
    <w:rsid w:val="00B73B8D"/>
    <w:rsid w:val="00B73C29"/>
    <w:rsid w:val="00B73D42"/>
    <w:rsid w:val="00B74063"/>
    <w:rsid w:val="00B741B1"/>
    <w:rsid w:val="00B74313"/>
    <w:rsid w:val="00B743DB"/>
    <w:rsid w:val="00B744B0"/>
    <w:rsid w:val="00B74794"/>
    <w:rsid w:val="00B747B5"/>
    <w:rsid w:val="00B748BD"/>
    <w:rsid w:val="00B74900"/>
    <w:rsid w:val="00B749C1"/>
    <w:rsid w:val="00B749FB"/>
    <w:rsid w:val="00B74A10"/>
    <w:rsid w:val="00B74BE7"/>
    <w:rsid w:val="00B74C0E"/>
    <w:rsid w:val="00B74D09"/>
    <w:rsid w:val="00B74D2A"/>
    <w:rsid w:val="00B74E12"/>
    <w:rsid w:val="00B74E73"/>
    <w:rsid w:val="00B74FA4"/>
    <w:rsid w:val="00B75203"/>
    <w:rsid w:val="00B75248"/>
    <w:rsid w:val="00B752F3"/>
    <w:rsid w:val="00B7543E"/>
    <w:rsid w:val="00B754FF"/>
    <w:rsid w:val="00B7559A"/>
    <w:rsid w:val="00B7593A"/>
    <w:rsid w:val="00B759D0"/>
    <w:rsid w:val="00B75A6F"/>
    <w:rsid w:val="00B75A85"/>
    <w:rsid w:val="00B75C8F"/>
    <w:rsid w:val="00B760D4"/>
    <w:rsid w:val="00B765A5"/>
    <w:rsid w:val="00B7661C"/>
    <w:rsid w:val="00B7679D"/>
    <w:rsid w:val="00B76948"/>
    <w:rsid w:val="00B76AF5"/>
    <w:rsid w:val="00B76B50"/>
    <w:rsid w:val="00B76C44"/>
    <w:rsid w:val="00B76E4D"/>
    <w:rsid w:val="00B76E96"/>
    <w:rsid w:val="00B76F49"/>
    <w:rsid w:val="00B770D8"/>
    <w:rsid w:val="00B77107"/>
    <w:rsid w:val="00B77157"/>
    <w:rsid w:val="00B77BB6"/>
    <w:rsid w:val="00B77CB6"/>
    <w:rsid w:val="00B77D36"/>
    <w:rsid w:val="00B77F45"/>
    <w:rsid w:val="00B77FE9"/>
    <w:rsid w:val="00B8007D"/>
    <w:rsid w:val="00B8008A"/>
    <w:rsid w:val="00B800F8"/>
    <w:rsid w:val="00B80109"/>
    <w:rsid w:val="00B8026A"/>
    <w:rsid w:val="00B8052E"/>
    <w:rsid w:val="00B805E0"/>
    <w:rsid w:val="00B80629"/>
    <w:rsid w:val="00B80670"/>
    <w:rsid w:val="00B807C3"/>
    <w:rsid w:val="00B808F0"/>
    <w:rsid w:val="00B8092A"/>
    <w:rsid w:val="00B80A18"/>
    <w:rsid w:val="00B80B2A"/>
    <w:rsid w:val="00B80BD5"/>
    <w:rsid w:val="00B80F10"/>
    <w:rsid w:val="00B80F73"/>
    <w:rsid w:val="00B80FD9"/>
    <w:rsid w:val="00B810F8"/>
    <w:rsid w:val="00B8110B"/>
    <w:rsid w:val="00B81138"/>
    <w:rsid w:val="00B8132D"/>
    <w:rsid w:val="00B8148E"/>
    <w:rsid w:val="00B814DD"/>
    <w:rsid w:val="00B81679"/>
    <w:rsid w:val="00B818AC"/>
    <w:rsid w:val="00B81ACE"/>
    <w:rsid w:val="00B81C88"/>
    <w:rsid w:val="00B81D66"/>
    <w:rsid w:val="00B81FC6"/>
    <w:rsid w:val="00B822BF"/>
    <w:rsid w:val="00B82905"/>
    <w:rsid w:val="00B82937"/>
    <w:rsid w:val="00B82B04"/>
    <w:rsid w:val="00B82DF0"/>
    <w:rsid w:val="00B8307D"/>
    <w:rsid w:val="00B8308A"/>
    <w:rsid w:val="00B83630"/>
    <w:rsid w:val="00B83710"/>
    <w:rsid w:val="00B83720"/>
    <w:rsid w:val="00B83796"/>
    <w:rsid w:val="00B841F5"/>
    <w:rsid w:val="00B8420B"/>
    <w:rsid w:val="00B8426F"/>
    <w:rsid w:val="00B84411"/>
    <w:rsid w:val="00B84481"/>
    <w:rsid w:val="00B844B6"/>
    <w:rsid w:val="00B84584"/>
    <w:rsid w:val="00B845D5"/>
    <w:rsid w:val="00B846C6"/>
    <w:rsid w:val="00B8483B"/>
    <w:rsid w:val="00B849AC"/>
    <w:rsid w:val="00B84B9B"/>
    <w:rsid w:val="00B84C90"/>
    <w:rsid w:val="00B84DED"/>
    <w:rsid w:val="00B84FD5"/>
    <w:rsid w:val="00B85006"/>
    <w:rsid w:val="00B85101"/>
    <w:rsid w:val="00B85719"/>
    <w:rsid w:val="00B8573E"/>
    <w:rsid w:val="00B85A19"/>
    <w:rsid w:val="00B85D3E"/>
    <w:rsid w:val="00B85E35"/>
    <w:rsid w:val="00B85E9D"/>
    <w:rsid w:val="00B860B7"/>
    <w:rsid w:val="00B8623E"/>
    <w:rsid w:val="00B86302"/>
    <w:rsid w:val="00B8694B"/>
    <w:rsid w:val="00B8699B"/>
    <w:rsid w:val="00B86B2A"/>
    <w:rsid w:val="00B86D44"/>
    <w:rsid w:val="00B86E85"/>
    <w:rsid w:val="00B873D1"/>
    <w:rsid w:val="00B875B2"/>
    <w:rsid w:val="00B8763B"/>
    <w:rsid w:val="00B87A2B"/>
    <w:rsid w:val="00B87BDA"/>
    <w:rsid w:val="00B87CB9"/>
    <w:rsid w:val="00B87EBD"/>
    <w:rsid w:val="00B87F86"/>
    <w:rsid w:val="00B9009C"/>
    <w:rsid w:val="00B90414"/>
    <w:rsid w:val="00B904DF"/>
    <w:rsid w:val="00B9094E"/>
    <w:rsid w:val="00B90A1C"/>
    <w:rsid w:val="00B90A34"/>
    <w:rsid w:val="00B90C5F"/>
    <w:rsid w:val="00B90D9E"/>
    <w:rsid w:val="00B90DCC"/>
    <w:rsid w:val="00B90FD0"/>
    <w:rsid w:val="00B9110F"/>
    <w:rsid w:val="00B911A5"/>
    <w:rsid w:val="00B911E5"/>
    <w:rsid w:val="00B9127C"/>
    <w:rsid w:val="00B912CF"/>
    <w:rsid w:val="00B913D7"/>
    <w:rsid w:val="00B91584"/>
    <w:rsid w:val="00B917DD"/>
    <w:rsid w:val="00B91884"/>
    <w:rsid w:val="00B91B8A"/>
    <w:rsid w:val="00B91B97"/>
    <w:rsid w:val="00B91EE9"/>
    <w:rsid w:val="00B91F2D"/>
    <w:rsid w:val="00B92205"/>
    <w:rsid w:val="00B92418"/>
    <w:rsid w:val="00B92536"/>
    <w:rsid w:val="00B92754"/>
    <w:rsid w:val="00B9289C"/>
    <w:rsid w:val="00B92FB0"/>
    <w:rsid w:val="00B931F7"/>
    <w:rsid w:val="00B932E0"/>
    <w:rsid w:val="00B936F8"/>
    <w:rsid w:val="00B9372C"/>
    <w:rsid w:val="00B937F0"/>
    <w:rsid w:val="00B93861"/>
    <w:rsid w:val="00B93A12"/>
    <w:rsid w:val="00B93B77"/>
    <w:rsid w:val="00B93CA6"/>
    <w:rsid w:val="00B93E00"/>
    <w:rsid w:val="00B93E1E"/>
    <w:rsid w:val="00B93F36"/>
    <w:rsid w:val="00B942EC"/>
    <w:rsid w:val="00B9475E"/>
    <w:rsid w:val="00B94804"/>
    <w:rsid w:val="00B94832"/>
    <w:rsid w:val="00B94910"/>
    <w:rsid w:val="00B94AF6"/>
    <w:rsid w:val="00B94D5C"/>
    <w:rsid w:val="00B94DA6"/>
    <w:rsid w:val="00B950A7"/>
    <w:rsid w:val="00B9531A"/>
    <w:rsid w:val="00B953AD"/>
    <w:rsid w:val="00B95428"/>
    <w:rsid w:val="00B954BF"/>
    <w:rsid w:val="00B954E8"/>
    <w:rsid w:val="00B955FF"/>
    <w:rsid w:val="00B956C6"/>
    <w:rsid w:val="00B95720"/>
    <w:rsid w:val="00B9591C"/>
    <w:rsid w:val="00B95D41"/>
    <w:rsid w:val="00B95E59"/>
    <w:rsid w:val="00B9611B"/>
    <w:rsid w:val="00B96271"/>
    <w:rsid w:val="00B962CB"/>
    <w:rsid w:val="00B964B3"/>
    <w:rsid w:val="00B964D7"/>
    <w:rsid w:val="00B96560"/>
    <w:rsid w:val="00B9673B"/>
    <w:rsid w:val="00B96805"/>
    <w:rsid w:val="00B96857"/>
    <w:rsid w:val="00B96894"/>
    <w:rsid w:val="00B96923"/>
    <w:rsid w:val="00B96CAC"/>
    <w:rsid w:val="00B96F22"/>
    <w:rsid w:val="00B96F2B"/>
    <w:rsid w:val="00B96FA8"/>
    <w:rsid w:val="00B97282"/>
    <w:rsid w:val="00B97328"/>
    <w:rsid w:val="00B975A3"/>
    <w:rsid w:val="00B975A5"/>
    <w:rsid w:val="00B9763C"/>
    <w:rsid w:val="00B978F7"/>
    <w:rsid w:val="00B97A6B"/>
    <w:rsid w:val="00B97BD8"/>
    <w:rsid w:val="00B97CF6"/>
    <w:rsid w:val="00B97D6E"/>
    <w:rsid w:val="00BA02EB"/>
    <w:rsid w:val="00BA03B1"/>
    <w:rsid w:val="00BA05BD"/>
    <w:rsid w:val="00BA05E4"/>
    <w:rsid w:val="00BA0613"/>
    <w:rsid w:val="00BA074E"/>
    <w:rsid w:val="00BA0755"/>
    <w:rsid w:val="00BA0838"/>
    <w:rsid w:val="00BA0904"/>
    <w:rsid w:val="00BA0C0A"/>
    <w:rsid w:val="00BA0DD6"/>
    <w:rsid w:val="00BA0E3A"/>
    <w:rsid w:val="00BA1035"/>
    <w:rsid w:val="00BA1171"/>
    <w:rsid w:val="00BA128F"/>
    <w:rsid w:val="00BA1305"/>
    <w:rsid w:val="00BA1422"/>
    <w:rsid w:val="00BA14D3"/>
    <w:rsid w:val="00BA16C6"/>
    <w:rsid w:val="00BA1893"/>
    <w:rsid w:val="00BA1DB7"/>
    <w:rsid w:val="00BA1F79"/>
    <w:rsid w:val="00BA2142"/>
    <w:rsid w:val="00BA21FF"/>
    <w:rsid w:val="00BA22E1"/>
    <w:rsid w:val="00BA27AD"/>
    <w:rsid w:val="00BA2B52"/>
    <w:rsid w:val="00BA2E4C"/>
    <w:rsid w:val="00BA2EE4"/>
    <w:rsid w:val="00BA368C"/>
    <w:rsid w:val="00BA3770"/>
    <w:rsid w:val="00BA3BD8"/>
    <w:rsid w:val="00BA3C1E"/>
    <w:rsid w:val="00BA3C89"/>
    <w:rsid w:val="00BA3F5F"/>
    <w:rsid w:val="00BA41F3"/>
    <w:rsid w:val="00BA42D5"/>
    <w:rsid w:val="00BA4321"/>
    <w:rsid w:val="00BA44E5"/>
    <w:rsid w:val="00BA44EB"/>
    <w:rsid w:val="00BA4535"/>
    <w:rsid w:val="00BA4785"/>
    <w:rsid w:val="00BA4813"/>
    <w:rsid w:val="00BA48BD"/>
    <w:rsid w:val="00BA492B"/>
    <w:rsid w:val="00BA4A12"/>
    <w:rsid w:val="00BA4AFE"/>
    <w:rsid w:val="00BA4E93"/>
    <w:rsid w:val="00BA4F31"/>
    <w:rsid w:val="00BA4F4C"/>
    <w:rsid w:val="00BA4F69"/>
    <w:rsid w:val="00BA500A"/>
    <w:rsid w:val="00BA545D"/>
    <w:rsid w:val="00BA5554"/>
    <w:rsid w:val="00BA5961"/>
    <w:rsid w:val="00BA5AD5"/>
    <w:rsid w:val="00BA5C0A"/>
    <w:rsid w:val="00BA6120"/>
    <w:rsid w:val="00BA61DE"/>
    <w:rsid w:val="00BA650E"/>
    <w:rsid w:val="00BA6914"/>
    <w:rsid w:val="00BA6CDF"/>
    <w:rsid w:val="00BA6D39"/>
    <w:rsid w:val="00BA6D41"/>
    <w:rsid w:val="00BA6F0B"/>
    <w:rsid w:val="00BA71D7"/>
    <w:rsid w:val="00BA7576"/>
    <w:rsid w:val="00BA7665"/>
    <w:rsid w:val="00BA7A7E"/>
    <w:rsid w:val="00BA7D73"/>
    <w:rsid w:val="00BA7E76"/>
    <w:rsid w:val="00BA7EF9"/>
    <w:rsid w:val="00BA7F19"/>
    <w:rsid w:val="00BB0243"/>
    <w:rsid w:val="00BB0486"/>
    <w:rsid w:val="00BB052A"/>
    <w:rsid w:val="00BB05AB"/>
    <w:rsid w:val="00BB06A5"/>
    <w:rsid w:val="00BB06E6"/>
    <w:rsid w:val="00BB072B"/>
    <w:rsid w:val="00BB074F"/>
    <w:rsid w:val="00BB0893"/>
    <w:rsid w:val="00BB0909"/>
    <w:rsid w:val="00BB091A"/>
    <w:rsid w:val="00BB0B57"/>
    <w:rsid w:val="00BB0BCD"/>
    <w:rsid w:val="00BB0C19"/>
    <w:rsid w:val="00BB0D64"/>
    <w:rsid w:val="00BB0F88"/>
    <w:rsid w:val="00BB0FE9"/>
    <w:rsid w:val="00BB1114"/>
    <w:rsid w:val="00BB11DC"/>
    <w:rsid w:val="00BB1285"/>
    <w:rsid w:val="00BB128E"/>
    <w:rsid w:val="00BB1513"/>
    <w:rsid w:val="00BB1557"/>
    <w:rsid w:val="00BB15EB"/>
    <w:rsid w:val="00BB1883"/>
    <w:rsid w:val="00BB1924"/>
    <w:rsid w:val="00BB1977"/>
    <w:rsid w:val="00BB19A5"/>
    <w:rsid w:val="00BB1A6E"/>
    <w:rsid w:val="00BB1A96"/>
    <w:rsid w:val="00BB1AFC"/>
    <w:rsid w:val="00BB1BF7"/>
    <w:rsid w:val="00BB1D86"/>
    <w:rsid w:val="00BB1DE4"/>
    <w:rsid w:val="00BB292D"/>
    <w:rsid w:val="00BB2971"/>
    <w:rsid w:val="00BB2BFD"/>
    <w:rsid w:val="00BB2C1B"/>
    <w:rsid w:val="00BB2C3D"/>
    <w:rsid w:val="00BB2D5F"/>
    <w:rsid w:val="00BB2FB4"/>
    <w:rsid w:val="00BB3264"/>
    <w:rsid w:val="00BB3292"/>
    <w:rsid w:val="00BB358B"/>
    <w:rsid w:val="00BB3985"/>
    <w:rsid w:val="00BB3A98"/>
    <w:rsid w:val="00BB3B6B"/>
    <w:rsid w:val="00BB3B75"/>
    <w:rsid w:val="00BB3D17"/>
    <w:rsid w:val="00BB3E6C"/>
    <w:rsid w:val="00BB3E6D"/>
    <w:rsid w:val="00BB3F3C"/>
    <w:rsid w:val="00BB40F1"/>
    <w:rsid w:val="00BB419E"/>
    <w:rsid w:val="00BB426D"/>
    <w:rsid w:val="00BB448B"/>
    <w:rsid w:val="00BB49D4"/>
    <w:rsid w:val="00BB4A37"/>
    <w:rsid w:val="00BB4A7A"/>
    <w:rsid w:val="00BB4AB4"/>
    <w:rsid w:val="00BB4ABB"/>
    <w:rsid w:val="00BB4B34"/>
    <w:rsid w:val="00BB4D6B"/>
    <w:rsid w:val="00BB4DF7"/>
    <w:rsid w:val="00BB50D5"/>
    <w:rsid w:val="00BB5250"/>
    <w:rsid w:val="00BB53B2"/>
    <w:rsid w:val="00BB53DC"/>
    <w:rsid w:val="00BB56FF"/>
    <w:rsid w:val="00BB5B29"/>
    <w:rsid w:val="00BB5EC5"/>
    <w:rsid w:val="00BB603E"/>
    <w:rsid w:val="00BB626B"/>
    <w:rsid w:val="00BB66C8"/>
    <w:rsid w:val="00BB6A7E"/>
    <w:rsid w:val="00BB6AB6"/>
    <w:rsid w:val="00BB6BE3"/>
    <w:rsid w:val="00BB6C18"/>
    <w:rsid w:val="00BB6C4B"/>
    <w:rsid w:val="00BB6C7C"/>
    <w:rsid w:val="00BB6CA1"/>
    <w:rsid w:val="00BB6CB3"/>
    <w:rsid w:val="00BB6D3C"/>
    <w:rsid w:val="00BB6E4C"/>
    <w:rsid w:val="00BB7206"/>
    <w:rsid w:val="00BB725F"/>
    <w:rsid w:val="00BB732E"/>
    <w:rsid w:val="00BB77C4"/>
    <w:rsid w:val="00BB78F1"/>
    <w:rsid w:val="00BC0047"/>
    <w:rsid w:val="00BC009B"/>
    <w:rsid w:val="00BC0144"/>
    <w:rsid w:val="00BC02D4"/>
    <w:rsid w:val="00BC03C9"/>
    <w:rsid w:val="00BC03F1"/>
    <w:rsid w:val="00BC053F"/>
    <w:rsid w:val="00BC0661"/>
    <w:rsid w:val="00BC098E"/>
    <w:rsid w:val="00BC0A51"/>
    <w:rsid w:val="00BC0C1A"/>
    <w:rsid w:val="00BC0DBA"/>
    <w:rsid w:val="00BC0DE9"/>
    <w:rsid w:val="00BC0E02"/>
    <w:rsid w:val="00BC0F0D"/>
    <w:rsid w:val="00BC0F3B"/>
    <w:rsid w:val="00BC0F95"/>
    <w:rsid w:val="00BC1006"/>
    <w:rsid w:val="00BC1173"/>
    <w:rsid w:val="00BC11DD"/>
    <w:rsid w:val="00BC1368"/>
    <w:rsid w:val="00BC1482"/>
    <w:rsid w:val="00BC156D"/>
    <w:rsid w:val="00BC159A"/>
    <w:rsid w:val="00BC17BC"/>
    <w:rsid w:val="00BC19FD"/>
    <w:rsid w:val="00BC1C37"/>
    <w:rsid w:val="00BC1CA0"/>
    <w:rsid w:val="00BC1D4F"/>
    <w:rsid w:val="00BC2185"/>
    <w:rsid w:val="00BC21FA"/>
    <w:rsid w:val="00BC2290"/>
    <w:rsid w:val="00BC240C"/>
    <w:rsid w:val="00BC24C8"/>
    <w:rsid w:val="00BC253B"/>
    <w:rsid w:val="00BC266F"/>
    <w:rsid w:val="00BC27E1"/>
    <w:rsid w:val="00BC2941"/>
    <w:rsid w:val="00BC296D"/>
    <w:rsid w:val="00BC2B6B"/>
    <w:rsid w:val="00BC3217"/>
    <w:rsid w:val="00BC327C"/>
    <w:rsid w:val="00BC3444"/>
    <w:rsid w:val="00BC3459"/>
    <w:rsid w:val="00BC3470"/>
    <w:rsid w:val="00BC3814"/>
    <w:rsid w:val="00BC3A9D"/>
    <w:rsid w:val="00BC3BFD"/>
    <w:rsid w:val="00BC3D96"/>
    <w:rsid w:val="00BC418C"/>
    <w:rsid w:val="00BC4788"/>
    <w:rsid w:val="00BC4791"/>
    <w:rsid w:val="00BC4962"/>
    <w:rsid w:val="00BC4ECB"/>
    <w:rsid w:val="00BC4EEE"/>
    <w:rsid w:val="00BC4F20"/>
    <w:rsid w:val="00BC4F29"/>
    <w:rsid w:val="00BC4F2E"/>
    <w:rsid w:val="00BC500F"/>
    <w:rsid w:val="00BC514B"/>
    <w:rsid w:val="00BC524E"/>
    <w:rsid w:val="00BC5521"/>
    <w:rsid w:val="00BC5571"/>
    <w:rsid w:val="00BC55B9"/>
    <w:rsid w:val="00BC5698"/>
    <w:rsid w:val="00BC576D"/>
    <w:rsid w:val="00BC58B3"/>
    <w:rsid w:val="00BC5CFE"/>
    <w:rsid w:val="00BC5DAA"/>
    <w:rsid w:val="00BC5E1A"/>
    <w:rsid w:val="00BC5EBA"/>
    <w:rsid w:val="00BC60CA"/>
    <w:rsid w:val="00BC625C"/>
    <w:rsid w:val="00BC6288"/>
    <w:rsid w:val="00BC62A2"/>
    <w:rsid w:val="00BC62DC"/>
    <w:rsid w:val="00BC631A"/>
    <w:rsid w:val="00BC644D"/>
    <w:rsid w:val="00BC6506"/>
    <w:rsid w:val="00BC68C6"/>
    <w:rsid w:val="00BC6A0E"/>
    <w:rsid w:val="00BC6A65"/>
    <w:rsid w:val="00BC6BD6"/>
    <w:rsid w:val="00BC6C41"/>
    <w:rsid w:val="00BC6D33"/>
    <w:rsid w:val="00BC6F32"/>
    <w:rsid w:val="00BC7170"/>
    <w:rsid w:val="00BC7272"/>
    <w:rsid w:val="00BC74B4"/>
    <w:rsid w:val="00BC7647"/>
    <w:rsid w:val="00BC765B"/>
    <w:rsid w:val="00BC778B"/>
    <w:rsid w:val="00BC7920"/>
    <w:rsid w:val="00BC7C77"/>
    <w:rsid w:val="00BC7F9F"/>
    <w:rsid w:val="00BC7FC3"/>
    <w:rsid w:val="00BC7FEE"/>
    <w:rsid w:val="00BD002E"/>
    <w:rsid w:val="00BD02B8"/>
    <w:rsid w:val="00BD0346"/>
    <w:rsid w:val="00BD07D9"/>
    <w:rsid w:val="00BD0848"/>
    <w:rsid w:val="00BD09DD"/>
    <w:rsid w:val="00BD0F2C"/>
    <w:rsid w:val="00BD0F98"/>
    <w:rsid w:val="00BD1098"/>
    <w:rsid w:val="00BD111B"/>
    <w:rsid w:val="00BD11D0"/>
    <w:rsid w:val="00BD1495"/>
    <w:rsid w:val="00BD161F"/>
    <w:rsid w:val="00BD1B77"/>
    <w:rsid w:val="00BD1D42"/>
    <w:rsid w:val="00BD1F38"/>
    <w:rsid w:val="00BD2296"/>
    <w:rsid w:val="00BD24BE"/>
    <w:rsid w:val="00BD2674"/>
    <w:rsid w:val="00BD26B1"/>
    <w:rsid w:val="00BD2A28"/>
    <w:rsid w:val="00BD2CA9"/>
    <w:rsid w:val="00BD2CD8"/>
    <w:rsid w:val="00BD310F"/>
    <w:rsid w:val="00BD3284"/>
    <w:rsid w:val="00BD335E"/>
    <w:rsid w:val="00BD33F6"/>
    <w:rsid w:val="00BD3557"/>
    <w:rsid w:val="00BD35FF"/>
    <w:rsid w:val="00BD3618"/>
    <w:rsid w:val="00BD3860"/>
    <w:rsid w:val="00BD3939"/>
    <w:rsid w:val="00BD39B7"/>
    <w:rsid w:val="00BD3A09"/>
    <w:rsid w:val="00BD3EE2"/>
    <w:rsid w:val="00BD3F68"/>
    <w:rsid w:val="00BD43D4"/>
    <w:rsid w:val="00BD4423"/>
    <w:rsid w:val="00BD4433"/>
    <w:rsid w:val="00BD4AB5"/>
    <w:rsid w:val="00BD4B72"/>
    <w:rsid w:val="00BD4F7D"/>
    <w:rsid w:val="00BD4FE7"/>
    <w:rsid w:val="00BD503A"/>
    <w:rsid w:val="00BD5392"/>
    <w:rsid w:val="00BD53EF"/>
    <w:rsid w:val="00BD54D5"/>
    <w:rsid w:val="00BD5959"/>
    <w:rsid w:val="00BD596E"/>
    <w:rsid w:val="00BD5C3B"/>
    <w:rsid w:val="00BD5EE7"/>
    <w:rsid w:val="00BD618A"/>
    <w:rsid w:val="00BD6358"/>
    <w:rsid w:val="00BD64D6"/>
    <w:rsid w:val="00BD6516"/>
    <w:rsid w:val="00BD6AD8"/>
    <w:rsid w:val="00BD6BA2"/>
    <w:rsid w:val="00BD6C39"/>
    <w:rsid w:val="00BD6C3E"/>
    <w:rsid w:val="00BD6D17"/>
    <w:rsid w:val="00BD6ECA"/>
    <w:rsid w:val="00BD724F"/>
    <w:rsid w:val="00BD72F4"/>
    <w:rsid w:val="00BD73F4"/>
    <w:rsid w:val="00BD77DE"/>
    <w:rsid w:val="00BD7A16"/>
    <w:rsid w:val="00BD7B7E"/>
    <w:rsid w:val="00BD7BD7"/>
    <w:rsid w:val="00BD7E6D"/>
    <w:rsid w:val="00BD7F66"/>
    <w:rsid w:val="00BE00AE"/>
    <w:rsid w:val="00BE00B6"/>
    <w:rsid w:val="00BE0343"/>
    <w:rsid w:val="00BE0459"/>
    <w:rsid w:val="00BE058C"/>
    <w:rsid w:val="00BE06A2"/>
    <w:rsid w:val="00BE0D01"/>
    <w:rsid w:val="00BE0D78"/>
    <w:rsid w:val="00BE0FB7"/>
    <w:rsid w:val="00BE0FE3"/>
    <w:rsid w:val="00BE102B"/>
    <w:rsid w:val="00BE12C5"/>
    <w:rsid w:val="00BE12D6"/>
    <w:rsid w:val="00BE1354"/>
    <w:rsid w:val="00BE140B"/>
    <w:rsid w:val="00BE14F1"/>
    <w:rsid w:val="00BE167B"/>
    <w:rsid w:val="00BE1729"/>
    <w:rsid w:val="00BE17F9"/>
    <w:rsid w:val="00BE1C0D"/>
    <w:rsid w:val="00BE21B5"/>
    <w:rsid w:val="00BE2217"/>
    <w:rsid w:val="00BE223E"/>
    <w:rsid w:val="00BE2839"/>
    <w:rsid w:val="00BE283C"/>
    <w:rsid w:val="00BE2872"/>
    <w:rsid w:val="00BE290E"/>
    <w:rsid w:val="00BE29A3"/>
    <w:rsid w:val="00BE29CF"/>
    <w:rsid w:val="00BE2A55"/>
    <w:rsid w:val="00BE2B2E"/>
    <w:rsid w:val="00BE2C51"/>
    <w:rsid w:val="00BE2CDF"/>
    <w:rsid w:val="00BE2E44"/>
    <w:rsid w:val="00BE2EEB"/>
    <w:rsid w:val="00BE3584"/>
    <w:rsid w:val="00BE3696"/>
    <w:rsid w:val="00BE3943"/>
    <w:rsid w:val="00BE39F7"/>
    <w:rsid w:val="00BE3A97"/>
    <w:rsid w:val="00BE3BA2"/>
    <w:rsid w:val="00BE3D19"/>
    <w:rsid w:val="00BE3E9A"/>
    <w:rsid w:val="00BE4129"/>
    <w:rsid w:val="00BE43D7"/>
    <w:rsid w:val="00BE44C1"/>
    <w:rsid w:val="00BE4689"/>
    <w:rsid w:val="00BE4887"/>
    <w:rsid w:val="00BE48D2"/>
    <w:rsid w:val="00BE49A7"/>
    <w:rsid w:val="00BE4E01"/>
    <w:rsid w:val="00BE4F23"/>
    <w:rsid w:val="00BE5001"/>
    <w:rsid w:val="00BE5503"/>
    <w:rsid w:val="00BE5568"/>
    <w:rsid w:val="00BE5571"/>
    <w:rsid w:val="00BE5593"/>
    <w:rsid w:val="00BE5638"/>
    <w:rsid w:val="00BE5915"/>
    <w:rsid w:val="00BE5A55"/>
    <w:rsid w:val="00BE5C20"/>
    <w:rsid w:val="00BE5D8F"/>
    <w:rsid w:val="00BE5E9D"/>
    <w:rsid w:val="00BE6164"/>
    <w:rsid w:val="00BE61DC"/>
    <w:rsid w:val="00BE64A2"/>
    <w:rsid w:val="00BE6602"/>
    <w:rsid w:val="00BE68C3"/>
    <w:rsid w:val="00BE697F"/>
    <w:rsid w:val="00BE69AE"/>
    <w:rsid w:val="00BE6D95"/>
    <w:rsid w:val="00BE6E41"/>
    <w:rsid w:val="00BE73CB"/>
    <w:rsid w:val="00BE77B1"/>
    <w:rsid w:val="00BE7821"/>
    <w:rsid w:val="00BE78B5"/>
    <w:rsid w:val="00BE7A54"/>
    <w:rsid w:val="00BE7B34"/>
    <w:rsid w:val="00BE7C62"/>
    <w:rsid w:val="00BE7DC3"/>
    <w:rsid w:val="00BE7E26"/>
    <w:rsid w:val="00BF01DD"/>
    <w:rsid w:val="00BF02F3"/>
    <w:rsid w:val="00BF030A"/>
    <w:rsid w:val="00BF03A4"/>
    <w:rsid w:val="00BF0560"/>
    <w:rsid w:val="00BF0738"/>
    <w:rsid w:val="00BF075B"/>
    <w:rsid w:val="00BF086E"/>
    <w:rsid w:val="00BF0EB7"/>
    <w:rsid w:val="00BF10C7"/>
    <w:rsid w:val="00BF1139"/>
    <w:rsid w:val="00BF1CA9"/>
    <w:rsid w:val="00BF24F7"/>
    <w:rsid w:val="00BF268B"/>
    <w:rsid w:val="00BF2A28"/>
    <w:rsid w:val="00BF2A66"/>
    <w:rsid w:val="00BF2AE6"/>
    <w:rsid w:val="00BF2C89"/>
    <w:rsid w:val="00BF3011"/>
    <w:rsid w:val="00BF303F"/>
    <w:rsid w:val="00BF3260"/>
    <w:rsid w:val="00BF3328"/>
    <w:rsid w:val="00BF341F"/>
    <w:rsid w:val="00BF35AF"/>
    <w:rsid w:val="00BF3655"/>
    <w:rsid w:val="00BF3842"/>
    <w:rsid w:val="00BF39E7"/>
    <w:rsid w:val="00BF3A59"/>
    <w:rsid w:val="00BF3ADC"/>
    <w:rsid w:val="00BF3AE5"/>
    <w:rsid w:val="00BF3BAE"/>
    <w:rsid w:val="00BF3C3F"/>
    <w:rsid w:val="00BF3CED"/>
    <w:rsid w:val="00BF3D53"/>
    <w:rsid w:val="00BF3E5A"/>
    <w:rsid w:val="00BF3EB2"/>
    <w:rsid w:val="00BF3F79"/>
    <w:rsid w:val="00BF3FA8"/>
    <w:rsid w:val="00BF4216"/>
    <w:rsid w:val="00BF4394"/>
    <w:rsid w:val="00BF4533"/>
    <w:rsid w:val="00BF4771"/>
    <w:rsid w:val="00BF48B3"/>
    <w:rsid w:val="00BF4B84"/>
    <w:rsid w:val="00BF5018"/>
    <w:rsid w:val="00BF51BF"/>
    <w:rsid w:val="00BF5357"/>
    <w:rsid w:val="00BF5362"/>
    <w:rsid w:val="00BF554A"/>
    <w:rsid w:val="00BF5B3E"/>
    <w:rsid w:val="00BF5BC8"/>
    <w:rsid w:val="00BF5DC6"/>
    <w:rsid w:val="00BF5DD8"/>
    <w:rsid w:val="00BF5E17"/>
    <w:rsid w:val="00BF5E20"/>
    <w:rsid w:val="00BF5FF8"/>
    <w:rsid w:val="00BF6148"/>
    <w:rsid w:val="00BF633A"/>
    <w:rsid w:val="00BF6352"/>
    <w:rsid w:val="00BF6395"/>
    <w:rsid w:val="00BF64AA"/>
    <w:rsid w:val="00BF66AE"/>
    <w:rsid w:val="00BF66F3"/>
    <w:rsid w:val="00BF67EE"/>
    <w:rsid w:val="00BF6DFF"/>
    <w:rsid w:val="00BF6F02"/>
    <w:rsid w:val="00BF6F49"/>
    <w:rsid w:val="00BF6F8B"/>
    <w:rsid w:val="00BF6FB6"/>
    <w:rsid w:val="00BF6FBB"/>
    <w:rsid w:val="00BF708B"/>
    <w:rsid w:val="00BF7352"/>
    <w:rsid w:val="00BF74A8"/>
    <w:rsid w:val="00BF75E8"/>
    <w:rsid w:val="00BF7637"/>
    <w:rsid w:val="00BF783E"/>
    <w:rsid w:val="00BF7966"/>
    <w:rsid w:val="00BF7AC2"/>
    <w:rsid w:val="00BF7FA3"/>
    <w:rsid w:val="00C00024"/>
    <w:rsid w:val="00C001D6"/>
    <w:rsid w:val="00C00261"/>
    <w:rsid w:val="00C0027B"/>
    <w:rsid w:val="00C002A0"/>
    <w:rsid w:val="00C00321"/>
    <w:rsid w:val="00C00593"/>
    <w:rsid w:val="00C0068B"/>
    <w:rsid w:val="00C00787"/>
    <w:rsid w:val="00C008F8"/>
    <w:rsid w:val="00C009AD"/>
    <w:rsid w:val="00C00AD1"/>
    <w:rsid w:val="00C00B5A"/>
    <w:rsid w:val="00C00D88"/>
    <w:rsid w:val="00C00E50"/>
    <w:rsid w:val="00C00FD8"/>
    <w:rsid w:val="00C01038"/>
    <w:rsid w:val="00C011AF"/>
    <w:rsid w:val="00C01383"/>
    <w:rsid w:val="00C0144A"/>
    <w:rsid w:val="00C014BA"/>
    <w:rsid w:val="00C01532"/>
    <w:rsid w:val="00C015E4"/>
    <w:rsid w:val="00C01761"/>
    <w:rsid w:val="00C01837"/>
    <w:rsid w:val="00C01845"/>
    <w:rsid w:val="00C01860"/>
    <w:rsid w:val="00C018FF"/>
    <w:rsid w:val="00C0193A"/>
    <w:rsid w:val="00C01958"/>
    <w:rsid w:val="00C01A8A"/>
    <w:rsid w:val="00C01AAE"/>
    <w:rsid w:val="00C01BE9"/>
    <w:rsid w:val="00C01CE7"/>
    <w:rsid w:val="00C01D03"/>
    <w:rsid w:val="00C01D9C"/>
    <w:rsid w:val="00C01E4D"/>
    <w:rsid w:val="00C01EF6"/>
    <w:rsid w:val="00C02012"/>
    <w:rsid w:val="00C02062"/>
    <w:rsid w:val="00C02073"/>
    <w:rsid w:val="00C022A9"/>
    <w:rsid w:val="00C02632"/>
    <w:rsid w:val="00C028E1"/>
    <w:rsid w:val="00C02CEE"/>
    <w:rsid w:val="00C02D11"/>
    <w:rsid w:val="00C02F64"/>
    <w:rsid w:val="00C02FC4"/>
    <w:rsid w:val="00C030F4"/>
    <w:rsid w:val="00C03170"/>
    <w:rsid w:val="00C031D0"/>
    <w:rsid w:val="00C031D9"/>
    <w:rsid w:val="00C03279"/>
    <w:rsid w:val="00C033AB"/>
    <w:rsid w:val="00C03421"/>
    <w:rsid w:val="00C0347E"/>
    <w:rsid w:val="00C038E0"/>
    <w:rsid w:val="00C03943"/>
    <w:rsid w:val="00C0394B"/>
    <w:rsid w:val="00C046EF"/>
    <w:rsid w:val="00C047D8"/>
    <w:rsid w:val="00C047F6"/>
    <w:rsid w:val="00C04ACD"/>
    <w:rsid w:val="00C04B9E"/>
    <w:rsid w:val="00C04DCF"/>
    <w:rsid w:val="00C04EA4"/>
    <w:rsid w:val="00C050B9"/>
    <w:rsid w:val="00C05193"/>
    <w:rsid w:val="00C05212"/>
    <w:rsid w:val="00C052D5"/>
    <w:rsid w:val="00C05333"/>
    <w:rsid w:val="00C053A1"/>
    <w:rsid w:val="00C05545"/>
    <w:rsid w:val="00C05586"/>
    <w:rsid w:val="00C0564C"/>
    <w:rsid w:val="00C05928"/>
    <w:rsid w:val="00C05CDA"/>
    <w:rsid w:val="00C05CE2"/>
    <w:rsid w:val="00C05CEE"/>
    <w:rsid w:val="00C05F5F"/>
    <w:rsid w:val="00C06177"/>
    <w:rsid w:val="00C061AF"/>
    <w:rsid w:val="00C062C7"/>
    <w:rsid w:val="00C06C03"/>
    <w:rsid w:val="00C06D5D"/>
    <w:rsid w:val="00C06DB6"/>
    <w:rsid w:val="00C07050"/>
    <w:rsid w:val="00C07359"/>
    <w:rsid w:val="00C07432"/>
    <w:rsid w:val="00C0757B"/>
    <w:rsid w:val="00C075EA"/>
    <w:rsid w:val="00C07623"/>
    <w:rsid w:val="00C07763"/>
    <w:rsid w:val="00C07963"/>
    <w:rsid w:val="00C07A00"/>
    <w:rsid w:val="00C07B58"/>
    <w:rsid w:val="00C07C3A"/>
    <w:rsid w:val="00C07F15"/>
    <w:rsid w:val="00C07F87"/>
    <w:rsid w:val="00C10071"/>
    <w:rsid w:val="00C10285"/>
    <w:rsid w:val="00C10331"/>
    <w:rsid w:val="00C1034E"/>
    <w:rsid w:val="00C103F9"/>
    <w:rsid w:val="00C104D7"/>
    <w:rsid w:val="00C106F4"/>
    <w:rsid w:val="00C10A0B"/>
    <w:rsid w:val="00C10B7A"/>
    <w:rsid w:val="00C10DB1"/>
    <w:rsid w:val="00C11137"/>
    <w:rsid w:val="00C11195"/>
    <w:rsid w:val="00C112FB"/>
    <w:rsid w:val="00C113F0"/>
    <w:rsid w:val="00C1181E"/>
    <w:rsid w:val="00C11866"/>
    <w:rsid w:val="00C11B36"/>
    <w:rsid w:val="00C11C80"/>
    <w:rsid w:val="00C11F9C"/>
    <w:rsid w:val="00C1211F"/>
    <w:rsid w:val="00C12136"/>
    <w:rsid w:val="00C1228A"/>
    <w:rsid w:val="00C12349"/>
    <w:rsid w:val="00C1269A"/>
    <w:rsid w:val="00C1297A"/>
    <w:rsid w:val="00C129A6"/>
    <w:rsid w:val="00C12A0E"/>
    <w:rsid w:val="00C12A8C"/>
    <w:rsid w:val="00C12BC6"/>
    <w:rsid w:val="00C12D3E"/>
    <w:rsid w:val="00C12FA6"/>
    <w:rsid w:val="00C130C0"/>
    <w:rsid w:val="00C1339B"/>
    <w:rsid w:val="00C133D8"/>
    <w:rsid w:val="00C13563"/>
    <w:rsid w:val="00C13702"/>
    <w:rsid w:val="00C1370C"/>
    <w:rsid w:val="00C1385C"/>
    <w:rsid w:val="00C13B11"/>
    <w:rsid w:val="00C13B47"/>
    <w:rsid w:val="00C13D5B"/>
    <w:rsid w:val="00C13F45"/>
    <w:rsid w:val="00C14450"/>
    <w:rsid w:val="00C1461E"/>
    <w:rsid w:val="00C14676"/>
    <w:rsid w:val="00C1477C"/>
    <w:rsid w:val="00C14809"/>
    <w:rsid w:val="00C14853"/>
    <w:rsid w:val="00C1485A"/>
    <w:rsid w:val="00C1496D"/>
    <w:rsid w:val="00C149A6"/>
    <w:rsid w:val="00C14BA8"/>
    <w:rsid w:val="00C14C82"/>
    <w:rsid w:val="00C14CE1"/>
    <w:rsid w:val="00C15024"/>
    <w:rsid w:val="00C152BB"/>
    <w:rsid w:val="00C153A3"/>
    <w:rsid w:val="00C1543A"/>
    <w:rsid w:val="00C15603"/>
    <w:rsid w:val="00C156D6"/>
    <w:rsid w:val="00C157C5"/>
    <w:rsid w:val="00C158DA"/>
    <w:rsid w:val="00C15BDC"/>
    <w:rsid w:val="00C15E8F"/>
    <w:rsid w:val="00C15EAA"/>
    <w:rsid w:val="00C16228"/>
    <w:rsid w:val="00C1629A"/>
    <w:rsid w:val="00C164FB"/>
    <w:rsid w:val="00C167F3"/>
    <w:rsid w:val="00C16D33"/>
    <w:rsid w:val="00C16D6F"/>
    <w:rsid w:val="00C172F3"/>
    <w:rsid w:val="00C1789A"/>
    <w:rsid w:val="00C17C48"/>
    <w:rsid w:val="00C2009B"/>
    <w:rsid w:val="00C200AE"/>
    <w:rsid w:val="00C20132"/>
    <w:rsid w:val="00C20169"/>
    <w:rsid w:val="00C20214"/>
    <w:rsid w:val="00C20572"/>
    <w:rsid w:val="00C207C2"/>
    <w:rsid w:val="00C209B5"/>
    <w:rsid w:val="00C20D9A"/>
    <w:rsid w:val="00C20DBA"/>
    <w:rsid w:val="00C20E1E"/>
    <w:rsid w:val="00C21072"/>
    <w:rsid w:val="00C210F0"/>
    <w:rsid w:val="00C2111D"/>
    <w:rsid w:val="00C21188"/>
    <w:rsid w:val="00C2144F"/>
    <w:rsid w:val="00C2147A"/>
    <w:rsid w:val="00C21591"/>
    <w:rsid w:val="00C21CD6"/>
    <w:rsid w:val="00C21D67"/>
    <w:rsid w:val="00C21F5C"/>
    <w:rsid w:val="00C22058"/>
    <w:rsid w:val="00C22254"/>
    <w:rsid w:val="00C2234E"/>
    <w:rsid w:val="00C224CC"/>
    <w:rsid w:val="00C22A2F"/>
    <w:rsid w:val="00C22BE1"/>
    <w:rsid w:val="00C22F98"/>
    <w:rsid w:val="00C23039"/>
    <w:rsid w:val="00C23096"/>
    <w:rsid w:val="00C23181"/>
    <w:rsid w:val="00C2344C"/>
    <w:rsid w:val="00C23487"/>
    <w:rsid w:val="00C234A9"/>
    <w:rsid w:val="00C2355F"/>
    <w:rsid w:val="00C236C6"/>
    <w:rsid w:val="00C23990"/>
    <w:rsid w:val="00C239B7"/>
    <w:rsid w:val="00C23C25"/>
    <w:rsid w:val="00C23ECC"/>
    <w:rsid w:val="00C24087"/>
    <w:rsid w:val="00C240FD"/>
    <w:rsid w:val="00C24331"/>
    <w:rsid w:val="00C24349"/>
    <w:rsid w:val="00C2434E"/>
    <w:rsid w:val="00C243D6"/>
    <w:rsid w:val="00C244CE"/>
    <w:rsid w:val="00C247AB"/>
    <w:rsid w:val="00C24C93"/>
    <w:rsid w:val="00C24D14"/>
    <w:rsid w:val="00C24E04"/>
    <w:rsid w:val="00C24FF3"/>
    <w:rsid w:val="00C25093"/>
    <w:rsid w:val="00C2512A"/>
    <w:rsid w:val="00C251AE"/>
    <w:rsid w:val="00C252CB"/>
    <w:rsid w:val="00C253CF"/>
    <w:rsid w:val="00C25479"/>
    <w:rsid w:val="00C25B35"/>
    <w:rsid w:val="00C25CA5"/>
    <w:rsid w:val="00C25DD4"/>
    <w:rsid w:val="00C25E35"/>
    <w:rsid w:val="00C25EC1"/>
    <w:rsid w:val="00C26022"/>
    <w:rsid w:val="00C26076"/>
    <w:rsid w:val="00C26154"/>
    <w:rsid w:val="00C2645F"/>
    <w:rsid w:val="00C2669F"/>
    <w:rsid w:val="00C26B1B"/>
    <w:rsid w:val="00C26C54"/>
    <w:rsid w:val="00C26E75"/>
    <w:rsid w:val="00C2701F"/>
    <w:rsid w:val="00C2710C"/>
    <w:rsid w:val="00C2731E"/>
    <w:rsid w:val="00C2738F"/>
    <w:rsid w:val="00C2750B"/>
    <w:rsid w:val="00C2769E"/>
    <w:rsid w:val="00C27877"/>
    <w:rsid w:val="00C27DB5"/>
    <w:rsid w:val="00C27DEC"/>
    <w:rsid w:val="00C27E75"/>
    <w:rsid w:val="00C302AE"/>
    <w:rsid w:val="00C302D8"/>
    <w:rsid w:val="00C305F2"/>
    <w:rsid w:val="00C30786"/>
    <w:rsid w:val="00C3089B"/>
    <w:rsid w:val="00C30966"/>
    <w:rsid w:val="00C309B4"/>
    <w:rsid w:val="00C30E4A"/>
    <w:rsid w:val="00C30EEF"/>
    <w:rsid w:val="00C31104"/>
    <w:rsid w:val="00C31267"/>
    <w:rsid w:val="00C312A2"/>
    <w:rsid w:val="00C312C2"/>
    <w:rsid w:val="00C31355"/>
    <w:rsid w:val="00C314A9"/>
    <w:rsid w:val="00C318F2"/>
    <w:rsid w:val="00C31CC0"/>
    <w:rsid w:val="00C32055"/>
    <w:rsid w:val="00C32550"/>
    <w:rsid w:val="00C32801"/>
    <w:rsid w:val="00C328A0"/>
    <w:rsid w:val="00C329D7"/>
    <w:rsid w:val="00C32CAC"/>
    <w:rsid w:val="00C32DF8"/>
    <w:rsid w:val="00C32E1C"/>
    <w:rsid w:val="00C3312B"/>
    <w:rsid w:val="00C33225"/>
    <w:rsid w:val="00C33382"/>
    <w:rsid w:val="00C333E2"/>
    <w:rsid w:val="00C334AD"/>
    <w:rsid w:val="00C334CC"/>
    <w:rsid w:val="00C3363D"/>
    <w:rsid w:val="00C33845"/>
    <w:rsid w:val="00C33A40"/>
    <w:rsid w:val="00C33A98"/>
    <w:rsid w:val="00C33DD4"/>
    <w:rsid w:val="00C33FA4"/>
    <w:rsid w:val="00C33FD1"/>
    <w:rsid w:val="00C340A2"/>
    <w:rsid w:val="00C342CA"/>
    <w:rsid w:val="00C3449E"/>
    <w:rsid w:val="00C34842"/>
    <w:rsid w:val="00C34871"/>
    <w:rsid w:val="00C34A4B"/>
    <w:rsid w:val="00C34C43"/>
    <w:rsid w:val="00C34ED7"/>
    <w:rsid w:val="00C3527F"/>
    <w:rsid w:val="00C35317"/>
    <w:rsid w:val="00C3572A"/>
    <w:rsid w:val="00C3573F"/>
    <w:rsid w:val="00C358C2"/>
    <w:rsid w:val="00C35934"/>
    <w:rsid w:val="00C35B72"/>
    <w:rsid w:val="00C35C12"/>
    <w:rsid w:val="00C35D9D"/>
    <w:rsid w:val="00C36184"/>
    <w:rsid w:val="00C36197"/>
    <w:rsid w:val="00C361B7"/>
    <w:rsid w:val="00C36355"/>
    <w:rsid w:val="00C36421"/>
    <w:rsid w:val="00C365C1"/>
    <w:rsid w:val="00C3665A"/>
    <w:rsid w:val="00C36671"/>
    <w:rsid w:val="00C3671B"/>
    <w:rsid w:val="00C3678C"/>
    <w:rsid w:val="00C368BD"/>
    <w:rsid w:val="00C3712A"/>
    <w:rsid w:val="00C3735C"/>
    <w:rsid w:val="00C37412"/>
    <w:rsid w:val="00C3745C"/>
    <w:rsid w:val="00C37522"/>
    <w:rsid w:val="00C37A69"/>
    <w:rsid w:val="00C37B74"/>
    <w:rsid w:val="00C37B9B"/>
    <w:rsid w:val="00C37ED5"/>
    <w:rsid w:val="00C4000D"/>
    <w:rsid w:val="00C40421"/>
    <w:rsid w:val="00C40672"/>
    <w:rsid w:val="00C406B0"/>
    <w:rsid w:val="00C408DB"/>
    <w:rsid w:val="00C40D54"/>
    <w:rsid w:val="00C40FF3"/>
    <w:rsid w:val="00C41289"/>
    <w:rsid w:val="00C4149F"/>
    <w:rsid w:val="00C41668"/>
    <w:rsid w:val="00C416A8"/>
    <w:rsid w:val="00C416E6"/>
    <w:rsid w:val="00C41AA9"/>
    <w:rsid w:val="00C41BEB"/>
    <w:rsid w:val="00C41FB5"/>
    <w:rsid w:val="00C41FB6"/>
    <w:rsid w:val="00C41FE9"/>
    <w:rsid w:val="00C42027"/>
    <w:rsid w:val="00C4217C"/>
    <w:rsid w:val="00C42190"/>
    <w:rsid w:val="00C421D6"/>
    <w:rsid w:val="00C421E6"/>
    <w:rsid w:val="00C422C0"/>
    <w:rsid w:val="00C426DD"/>
    <w:rsid w:val="00C42951"/>
    <w:rsid w:val="00C42AD5"/>
    <w:rsid w:val="00C42B51"/>
    <w:rsid w:val="00C42BA5"/>
    <w:rsid w:val="00C42D58"/>
    <w:rsid w:val="00C42EB2"/>
    <w:rsid w:val="00C42EE6"/>
    <w:rsid w:val="00C42F26"/>
    <w:rsid w:val="00C43202"/>
    <w:rsid w:val="00C43558"/>
    <w:rsid w:val="00C4366A"/>
    <w:rsid w:val="00C436F6"/>
    <w:rsid w:val="00C4381F"/>
    <w:rsid w:val="00C444EA"/>
    <w:rsid w:val="00C44638"/>
    <w:rsid w:val="00C44674"/>
    <w:rsid w:val="00C446D5"/>
    <w:rsid w:val="00C44905"/>
    <w:rsid w:val="00C44C32"/>
    <w:rsid w:val="00C45301"/>
    <w:rsid w:val="00C45436"/>
    <w:rsid w:val="00C455C1"/>
    <w:rsid w:val="00C4573F"/>
    <w:rsid w:val="00C45743"/>
    <w:rsid w:val="00C45AD8"/>
    <w:rsid w:val="00C45E39"/>
    <w:rsid w:val="00C4602A"/>
    <w:rsid w:val="00C46331"/>
    <w:rsid w:val="00C4640C"/>
    <w:rsid w:val="00C4643A"/>
    <w:rsid w:val="00C464CB"/>
    <w:rsid w:val="00C46937"/>
    <w:rsid w:val="00C46FC5"/>
    <w:rsid w:val="00C47135"/>
    <w:rsid w:val="00C4720E"/>
    <w:rsid w:val="00C47231"/>
    <w:rsid w:val="00C47344"/>
    <w:rsid w:val="00C4735A"/>
    <w:rsid w:val="00C47550"/>
    <w:rsid w:val="00C47610"/>
    <w:rsid w:val="00C476AF"/>
    <w:rsid w:val="00C47B56"/>
    <w:rsid w:val="00C47F40"/>
    <w:rsid w:val="00C47FDE"/>
    <w:rsid w:val="00C50391"/>
    <w:rsid w:val="00C50447"/>
    <w:rsid w:val="00C50A26"/>
    <w:rsid w:val="00C50AC0"/>
    <w:rsid w:val="00C50BDB"/>
    <w:rsid w:val="00C50D1B"/>
    <w:rsid w:val="00C50E13"/>
    <w:rsid w:val="00C51246"/>
    <w:rsid w:val="00C512A9"/>
    <w:rsid w:val="00C513D5"/>
    <w:rsid w:val="00C51652"/>
    <w:rsid w:val="00C517DC"/>
    <w:rsid w:val="00C5187B"/>
    <w:rsid w:val="00C518BB"/>
    <w:rsid w:val="00C51B57"/>
    <w:rsid w:val="00C51C83"/>
    <w:rsid w:val="00C51D09"/>
    <w:rsid w:val="00C52149"/>
    <w:rsid w:val="00C52396"/>
    <w:rsid w:val="00C524F2"/>
    <w:rsid w:val="00C52783"/>
    <w:rsid w:val="00C528B6"/>
    <w:rsid w:val="00C52993"/>
    <w:rsid w:val="00C52E95"/>
    <w:rsid w:val="00C53199"/>
    <w:rsid w:val="00C535FF"/>
    <w:rsid w:val="00C536F6"/>
    <w:rsid w:val="00C538B5"/>
    <w:rsid w:val="00C53919"/>
    <w:rsid w:val="00C5397D"/>
    <w:rsid w:val="00C53D96"/>
    <w:rsid w:val="00C540D4"/>
    <w:rsid w:val="00C542B9"/>
    <w:rsid w:val="00C543A2"/>
    <w:rsid w:val="00C543DC"/>
    <w:rsid w:val="00C54406"/>
    <w:rsid w:val="00C5453F"/>
    <w:rsid w:val="00C54574"/>
    <w:rsid w:val="00C545A3"/>
    <w:rsid w:val="00C546C4"/>
    <w:rsid w:val="00C54B13"/>
    <w:rsid w:val="00C54B5D"/>
    <w:rsid w:val="00C54C45"/>
    <w:rsid w:val="00C54DC0"/>
    <w:rsid w:val="00C54DF9"/>
    <w:rsid w:val="00C550F8"/>
    <w:rsid w:val="00C55172"/>
    <w:rsid w:val="00C551B9"/>
    <w:rsid w:val="00C551FF"/>
    <w:rsid w:val="00C5539D"/>
    <w:rsid w:val="00C55C48"/>
    <w:rsid w:val="00C55D0E"/>
    <w:rsid w:val="00C55E03"/>
    <w:rsid w:val="00C563EA"/>
    <w:rsid w:val="00C56765"/>
    <w:rsid w:val="00C56BF5"/>
    <w:rsid w:val="00C56CF6"/>
    <w:rsid w:val="00C56CFD"/>
    <w:rsid w:val="00C56E70"/>
    <w:rsid w:val="00C56F6B"/>
    <w:rsid w:val="00C56FF7"/>
    <w:rsid w:val="00C570DA"/>
    <w:rsid w:val="00C57644"/>
    <w:rsid w:val="00C57681"/>
    <w:rsid w:val="00C5772E"/>
    <w:rsid w:val="00C5778D"/>
    <w:rsid w:val="00C579AB"/>
    <w:rsid w:val="00C57D71"/>
    <w:rsid w:val="00C57ECC"/>
    <w:rsid w:val="00C57F94"/>
    <w:rsid w:val="00C57FB1"/>
    <w:rsid w:val="00C6000F"/>
    <w:rsid w:val="00C600C4"/>
    <w:rsid w:val="00C60102"/>
    <w:rsid w:val="00C60153"/>
    <w:rsid w:val="00C601AB"/>
    <w:rsid w:val="00C6055D"/>
    <w:rsid w:val="00C606B4"/>
    <w:rsid w:val="00C606DA"/>
    <w:rsid w:val="00C608E9"/>
    <w:rsid w:val="00C6090C"/>
    <w:rsid w:val="00C60AB7"/>
    <w:rsid w:val="00C60BC2"/>
    <w:rsid w:val="00C60D9B"/>
    <w:rsid w:val="00C60E5C"/>
    <w:rsid w:val="00C60E70"/>
    <w:rsid w:val="00C6101D"/>
    <w:rsid w:val="00C61363"/>
    <w:rsid w:val="00C614B8"/>
    <w:rsid w:val="00C615A3"/>
    <w:rsid w:val="00C615AD"/>
    <w:rsid w:val="00C61724"/>
    <w:rsid w:val="00C61759"/>
    <w:rsid w:val="00C618F5"/>
    <w:rsid w:val="00C619A2"/>
    <w:rsid w:val="00C61AC6"/>
    <w:rsid w:val="00C61D53"/>
    <w:rsid w:val="00C61E10"/>
    <w:rsid w:val="00C61F0E"/>
    <w:rsid w:val="00C62166"/>
    <w:rsid w:val="00C621BA"/>
    <w:rsid w:val="00C62295"/>
    <w:rsid w:val="00C622EE"/>
    <w:rsid w:val="00C62305"/>
    <w:rsid w:val="00C625DC"/>
    <w:rsid w:val="00C62BB3"/>
    <w:rsid w:val="00C62C38"/>
    <w:rsid w:val="00C62C5F"/>
    <w:rsid w:val="00C62CE5"/>
    <w:rsid w:val="00C62E66"/>
    <w:rsid w:val="00C62F0F"/>
    <w:rsid w:val="00C62F2F"/>
    <w:rsid w:val="00C62F8F"/>
    <w:rsid w:val="00C63138"/>
    <w:rsid w:val="00C631BD"/>
    <w:rsid w:val="00C63217"/>
    <w:rsid w:val="00C633D2"/>
    <w:rsid w:val="00C6362D"/>
    <w:rsid w:val="00C6391D"/>
    <w:rsid w:val="00C63A98"/>
    <w:rsid w:val="00C63B7E"/>
    <w:rsid w:val="00C63E72"/>
    <w:rsid w:val="00C63EF2"/>
    <w:rsid w:val="00C63EFD"/>
    <w:rsid w:val="00C63F00"/>
    <w:rsid w:val="00C64131"/>
    <w:rsid w:val="00C6420F"/>
    <w:rsid w:val="00C64238"/>
    <w:rsid w:val="00C642AE"/>
    <w:rsid w:val="00C6444F"/>
    <w:rsid w:val="00C646F0"/>
    <w:rsid w:val="00C648B9"/>
    <w:rsid w:val="00C64932"/>
    <w:rsid w:val="00C64C1B"/>
    <w:rsid w:val="00C64C97"/>
    <w:rsid w:val="00C64D30"/>
    <w:rsid w:val="00C65043"/>
    <w:rsid w:val="00C653D1"/>
    <w:rsid w:val="00C65505"/>
    <w:rsid w:val="00C655CC"/>
    <w:rsid w:val="00C65835"/>
    <w:rsid w:val="00C65872"/>
    <w:rsid w:val="00C658C1"/>
    <w:rsid w:val="00C65B9D"/>
    <w:rsid w:val="00C65D53"/>
    <w:rsid w:val="00C65F05"/>
    <w:rsid w:val="00C66024"/>
    <w:rsid w:val="00C6663A"/>
    <w:rsid w:val="00C669FC"/>
    <w:rsid w:val="00C66BFF"/>
    <w:rsid w:val="00C66DD9"/>
    <w:rsid w:val="00C670CC"/>
    <w:rsid w:val="00C6735C"/>
    <w:rsid w:val="00C67637"/>
    <w:rsid w:val="00C6767B"/>
    <w:rsid w:val="00C67842"/>
    <w:rsid w:val="00C6785B"/>
    <w:rsid w:val="00C679D8"/>
    <w:rsid w:val="00C67B5F"/>
    <w:rsid w:val="00C67B9C"/>
    <w:rsid w:val="00C67E3A"/>
    <w:rsid w:val="00C7008C"/>
    <w:rsid w:val="00C702C7"/>
    <w:rsid w:val="00C70306"/>
    <w:rsid w:val="00C7052D"/>
    <w:rsid w:val="00C705E6"/>
    <w:rsid w:val="00C70756"/>
    <w:rsid w:val="00C709E4"/>
    <w:rsid w:val="00C70A54"/>
    <w:rsid w:val="00C70B00"/>
    <w:rsid w:val="00C70C20"/>
    <w:rsid w:val="00C70C46"/>
    <w:rsid w:val="00C70CB4"/>
    <w:rsid w:val="00C70EAA"/>
    <w:rsid w:val="00C711C1"/>
    <w:rsid w:val="00C71403"/>
    <w:rsid w:val="00C7166A"/>
    <w:rsid w:val="00C718CA"/>
    <w:rsid w:val="00C71A7E"/>
    <w:rsid w:val="00C71B10"/>
    <w:rsid w:val="00C71B75"/>
    <w:rsid w:val="00C71C4A"/>
    <w:rsid w:val="00C71E8A"/>
    <w:rsid w:val="00C71F6C"/>
    <w:rsid w:val="00C71F7C"/>
    <w:rsid w:val="00C720C0"/>
    <w:rsid w:val="00C722E3"/>
    <w:rsid w:val="00C72401"/>
    <w:rsid w:val="00C7245C"/>
    <w:rsid w:val="00C7288B"/>
    <w:rsid w:val="00C72C66"/>
    <w:rsid w:val="00C72E89"/>
    <w:rsid w:val="00C72EB5"/>
    <w:rsid w:val="00C73075"/>
    <w:rsid w:val="00C7320B"/>
    <w:rsid w:val="00C73258"/>
    <w:rsid w:val="00C732DB"/>
    <w:rsid w:val="00C73634"/>
    <w:rsid w:val="00C737A5"/>
    <w:rsid w:val="00C73917"/>
    <w:rsid w:val="00C73C04"/>
    <w:rsid w:val="00C73D4B"/>
    <w:rsid w:val="00C73E2D"/>
    <w:rsid w:val="00C73FD4"/>
    <w:rsid w:val="00C7429C"/>
    <w:rsid w:val="00C7442C"/>
    <w:rsid w:val="00C746B8"/>
    <w:rsid w:val="00C746FB"/>
    <w:rsid w:val="00C7471C"/>
    <w:rsid w:val="00C74867"/>
    <w:rsid w:val="00C74DED"/>
    <w:rsid w:val="00C750D4"/>
    <w:rsid w:val="00C7520F"/>
    <w:rsid w:val="00C75962"/>
    <w:rsid w:val="00C75DCA"/>
    <w:rsid w:val="00C75DD4"/>
    <w:rsid w:val="00C76218"/>
    <w:rsid w:val="00C76248"/>
    <w:rsid w:val="00C7629A"/>
    <w:rsid w:val="00C762EA"/>
    <w:rsid w:val="00C762EB"/>
    <w:rsid w:val="00C7650E"/>
    <w:rsid w:val="00C76522"/>
    <w:rsid w:val="00C76868"/>
    <w:rsid w:val="00C76869"/>
    <w:rsid w:val="00C7694F"/>
    <w:rsid w:val="00C76B07"/>
    <w:rsid w:val="00C76B23"/>
    <w:rsid w:val="00C76FB4"/>
    <w:rsid w:val="00C7710A"/>
    <w:rsid w:val="00C771FA"/>
    <w:rsid w:val="00C77267"/>
    <w:rsid w:val="00C774EE"/>
    <w:rsid w:val="00C77549"/>
    <w:rsid w:val="00C776D1"/>
    <w:rsid w:val="00C777FE"/>
    <w:rsid w:val="00C77B24"/>
    <w:rsid w:val="00C77CD6"/>
    <w:rsid w:val="00C77D23"/>
    <w:rsid w:val="00C77DB1"/>
    <w:rsid w:val="00C77E1F"/>
    <w:rsid w:val="00C77EBB"/>
    <w:rsid w:val="00C80334"/>
    <w:rsid w:val="00C8037F"/>
    <w:rsid w:val="00C80396"/>
    <w:rsid w:val="00C804BD"/>
    <w:rsid w:val="00C80551"/>
    <w:rsid w:val="00C80598"/>
    <w:rsid w:val="00C8059E"/>
    <w:rsid w:val="00C80A82"/>
    <w:rsid w:val="00C80A9B"/>
    <w:rsid w:val="00C80BEE"/>
    <w:rsid w:val="00C80FDF"/>
    <w:rsid w:val="00C81013"/>
    <w:rsid w:val="00C81124"/>
    <w:rsid w:val="00C81293"/>
    <w:rsid w:val="00C813B8"/>
    <w:rsid w:val="00C8155B"/>
    <w:rsid w:val="00C816A0"/>
    <w:rsid w:val="00C816CF"/>
    <w:rsid w:val="00C8174D"/>
    <w:rsid w:val="00C81C24"/>
    <w:rsid w:val="00C81DF5"/>
    <w:rsid w:val="00C821C4"/>
    <w:rsid w:val="00C8231A"/>
    <w:rsid w:val="00C825E0"/>
    <w:rsid w:val="00C8272C"/>
    <w:rsid w:val="00C82969"/>
    <w:rsid w:val="00C82E5F"/>
    <w:rsid w:val="00C82EAB"/>
    <w:rsid w:val="00C82FC9"/>
    <w:rsid w:val="00C830AD"/>
    <w:rsid w:val="00C831F9"/>
    <w:rsid w:val="00C832C3"/>
    <w:rsid w:val="00C83720"/>
    <w:rsid w:val="00C837BC"/>
    <w:rsid w:val="00C83ABE"/>
    <w:rsid w:val="00C83EA5"/>
    <w:rsid w:val="00C83EC6"/>
    <w:rsid w:val="00C84460"/>
    <w:rsid w:val="00C844B5"/>
    <w:rsid w:val="00C84501"/>
    <w:rsid w:val="00C8451E"/>
    <w:rsid w:val="00C847D2"/>
    <w:rsid w:val="00C8497B"/>
    <w:rsid w:val="00C849BB"/>
    <w:rsid w:val="00C84B1F"/>
    <w:rsid w:val="00C84CC3"/>
    <w:rsid w:val="00C84F10"/>
    <w:rsid w:val="00C851A3"/>
    <w:rsid w:val="00C852DC"/>
    <w:rsid w:val="00C85756"/>
    <w:rsid w:val="00C85960"/>
    <w:rsid w:val="00C85B57"/>
    <w:rsid w:val="00C85C62"/>
    <w:rsid w:val="00C85D67"/>
    <w:rsid w:val="00C85F92"/>
    <w:rsid w:val="00C8654E"/>
    <w:rsid w:val="00C86672"/>
    <w:rsid w:val="00C866DB"/>
    <w:rsid w:val="00C86820"/>
    <w:rsid w:val="00C868F4"/>
    <w:rsid w:val="00C86922"/>
    <w:rsid w:val="00C86A96"/>
    <w:rsid w:val="00C86B06"/>
    <w:rsid w:val="00C86C29"/>
    <w:rsid w:val="00C86C99"/>
    <w:rsid w:val="00C86D65"/>
    <w:rsid w:val="00C86EBC"/>
    <w:rsid w:val="00C86FF4"/>
    <w:rsid w:val="00C87003"/>
    <w:rsid w:val="00C8703B"/>
    <w:rsid w:val="00C8788B"/>
    <w:rsid w:val="00C878A8"/>
    <w:rsid w:val="00C87AC7"/>
    <w:rsid w:val="00C87E2D"/>
    <w:rsid w:val="00C87E5E"/>
    <w:rsid w:val="00C90279"/>
    <w:rsid w:val="00C9037B"/>
    <w:rsid w:val="00C903B9"/>
    <w:rsid w:val="00C903DD"/>
    <w:rsid w:val="00C90593"/>
    <w:rsid w:val="00C90646"/>
    <w:rsid w:val="00C906C7"/>
    <w:rsid w:val="00C9076F"/>
    <w:rsid w:val="00C907B8"/>
    <w:rsid w:val="00C90843"/>
    <w:rsid w:val="00C909CE"/>
    <w:rsid w:val="00C909E9"/>
    <w:rsid w:val="00C90A7D"/>
    <w:rsid w:val="00C90BFC"/>
    <w:rsid w:val="00C90C2C"/>
    <w:rsid w:val="00C90E0B"/>
    <w:rsid w:val="00C90ECD"/>
    <w:rsid w:val="00C90F1C"/>
    <w:rsid w:val="00C91156"/>
    <w:rsid w:val="00C9125C"/>
    <w:rsid w:val="00C914F2"/>
    <w:rsid w:val="00C91930"/>
    <w:rsid w:val="00C9196D"/>
    <w:rsid w:val="00C919AE"/>
    <w:rsid w:val="00C91CA6"/>
    <w:rsid w:val="00C92079"/>
    <w:rsid w:val="00C92092"/>
    <w:rsid w:val="00C920CB"/>
    <w:rsid w:val="00C9219E"/>
    <w:rsid w:val="00C92267"/>
    <w:rsid w:val="00C9296F"/>
    <w:rsid w:val="00C92A2E"/>
    <w:rsid w:val="00C92A71"/>
    <w:rsid w:val="00C92ABE"/>
    <w:rsid w:val="00C92B91"/>
    <w:rsid w:val="00C92D7C"/>
    <w:rsid w:val="00C92DFA"/>
    <w:rsid w:val="00C9306B"/>
    <w:rsid w:val="00C93156"/>
    <w:rsid w:val="00C933FC"/>
    <w:rsid w:val="00C93549"/>
    <w:rsid w:val="00C935E3"/>
    <w:rsid w:val="00C935F3"/>
    <w:rsid w:val="00C935FC"/>
    <w:rsid w:val="00C93603"/>
    <w:rsid w:val="00C9363F"/>
    <w:rsid w:val="00C937CB"/>
    <w:rsid w:val="00C93B0B"/>
    <w:rsid w:val="00C93B13"/>
    <w:rsid w:val="00C93B72"/>
    <w:rsid w:val="00C93C9F"/>
    <w:rsid w:val="00C93EE4"/>
    <w:rsid w:val="00C93FCF"/>
    <w:rsid w:val="00C9421E"/>
    <w:rsid w:val="00C94225"/>
    <w:rsid w:val="00C94308"/>
    <w:rsid w:val="00C9449D"/>
    <w:rsid w:val="00C947D5"/>
    <w:rsid w:val="00C9490E"/>
    <w:rsid w:val="00C9497B"/>
    <w:rsid w:val="00C94AA3"/>
    <w:rsid w:val="00C94C85"/>
    <w:rsid w:val="00C94F48"/>
    <w:rsid w:val="00C95244"/>
    <w:rsid w:val="00C952FA"/>
    <w:rsid w:val="00C95346"/>
    <w:rsid w:val="00C955AD"/>
    <w:rsid w:val="00C957E9"/>
    <w:rsid w:val="00C9583A"/>
    <w:rsid w:val="00C95B51"/>
    <w:rsid w:val="00C95E50"/>
    <w:rsid w:val="00C95EFF"/>
    <w:rsid w:val="00C95F29"/>
    <w:rsid w:val="00C9632C"/>
    <w:rsid w:val="00C96381"/>
    <w:rsid w:val="00C963D9"/>
    <w:rsid w:val="00C964F4"/>
    <w:rsid w:val="00C969EC"/>
    <w:rsid w:val="00C96D7D"/>
    <w:rsid w:val="00C96FA8"/>
    <w:rsid w:val="00C96FB6"/>
    <w:rsid w:val="00C9718B"/>
    <w:rsid w:val="00C9778A"/>
    <w:rsid w:val="00C97B84"/>
    <w:rsid w:val="00C97C83"/>
    <w:rsid w:val="00C97CCB"/>
    <w:rsid w:val="00C97DDF"/>
    <w:rsid w:val="00C97EEE"/>
    <w:rsid w:val="00C97F28"/>
    <w:rsid w:val="00CA0147"/>
    <w:rsid w:val="00CA0253"/>
    <w:rsid w:val="00CA03C4"/>
    <w:rsid w:val="00CA0744"/>
    <w:rsid w:val="00CA0756"/>
    <w:rsid w:val="00CA0973"/>
    <w:rsid w:val="00CA09BA"/>
    <w:rsid w:val="00CA0C30"/>
    <w:rsid w:val="00CA1146"/>
    <w:rsid w:val="00CA1173"/>
    <w:rsid w:val="00CA1283"/>
    <w:rsid w:val="00CA1447"/>
    <w:rsid w:val="00CA1639"/>
    <w:rsid w:val="00CA1908"/>
    <w:rsid w:val="00CA1BD4"/>
    <w:rsid w:val="00CA1CAB"/>
    <w:rsid w:val="00CA1EFF"/>
    <w:rsid w:val="00CA2056"/>
    <w:rsid w:val="00CA2089"/>
    <w:rsid w:val="00CA2104"/>
    <w:rsid w:val="00CA2243"/>
    <w:rsid w:val="00CA24B6"/>
    <w:rsid w:val="00CA273D"/>
    <w:rsid w:val="00CA2756"/>
    <w:rsid w:val="00CA2C01"/>
    <w:rsid w:val="00CA2C90"/>
    <w:rsid w:val="00CA2EDC"/>
    <w:rsid w:val="00CA2EEA"/>
    <w:rsid w:val="00CA2F19"/>
    <w:rsid w:val="00CA308F"/>
    <w:rsid w:val="00CA3112"/>
    <w:rsid w:val="00CA3168"/>
    <w:rsid w:val="00CA316E"/>
    <w:rsid w:val="00CA3231"/>
    <w:rsid w:val="00CA33DD"/>
    <w:rsid w:val="00CA35C7"/>
    <w:rsid w:val="00CA372B"/>
    <w:rsid w:val="00CA39B3"/>
    <w:rsid w:val="00CA3AB0"/>
    <w:rsid w:val="00CA3D44"/>
    <w:rsid w:val="00CA3E2D"/>
    <w:rsid w:val="00CA3F85"/>
    <w:rsid w:val="00CA41FE"/>
    <w:rsid w:val="00CA425C"/>
    <w:rsid w:val="00CA44AA"/>
    <w:rsid w:val="00CA468F"/>
    <w:rsid w:val="00CA4AAF"/>
    <w:rsid w:val="00CA4C48"/>
    <w:rsid w:val="00CA4D2E"/>
    <w:rsid w:val="00CA4DDA"/>
    <w:rsid w:val="00CA4E46"/>
    <w:rsid w:val="00CA4E63"/>
    <w:rsid w:val="00CA4F62"/>
    <w:rsid w:val="00CA5529"/>
    <w:rsid w:val="00CA5854"/>
    <w:rsid w:val="00CA5892"/>
    <w:rsid w:val="00CA5A89"/>
    <w:rsid w:val="00CA5B05"/>
    <w:rsid w:val="00CA5B66"/>
    <w:rsid w:val="00CA6148"/>
    <w:rsid w:val="00CA6257"/>
    <w:rsid w:val="00CA63A7"/>
    <w:rsid w:val="00CA6640"/>
    <w:rsid w:val="00CA6660"/>
    <w:rsid w:val="00CA6A27"/>
    <w:rsid w:val="00CA6C32"/>
    <w:rsid w:val="00CA6D13"/>
    <w:rsid w:val="00CA6DC2"/>
    <w:rsid w:val="00CA6E3C"/>
    <w:rsid w:val="00CA73DE"/>
    <w:rsid w:val="00CA7425"/>
    <w:rsid w:val="00CA764B"/>
    <w:rsid w:val="00CA7653"/>
    <w:rsid w:val="00CA784D"/>
    <w:rsid w:val="00CA7A83"/>
    <w:rsid w:val="00CA7D05"/>
    <w:rsid w:val="00CB0035"/>
    <w:rsid w:val="00CB023E"/>
    <w:rsid w:val="00CB0284"/>
    <w:rsid w:val="00CB0315"/>
    <w:rsid w:val="00CB0822"/>
    <w:rsid w:val="00CB09CD"/>
    <w:rsid w:val="00CB0A6B"/>
    <w:rsid w:val="00CB0C00"/>
    <w:rsid w:val="00CB0DFC"/>
    <w:rsid w:val="00CB0EF0"/>
    <w:rsid w:val="00CB1095"/>
    <w:rsid w:val="00CB1153"/>
    <w:rsid w:val="00CB11C9"/>
    <w:rsid w:val="00CB12AA"/>
    <w:rsid w:val="00CB138C"/>
    <w:rsid w:val="00CB186E"/>
    <w:rsid w:val="00CB1C7F"/>
    <w:rsid w:val="00CB2109"/>
    <w:rsid w:val="00CB23B8"/>
    <w:rsid w:val="00CB23DF"/>
    <w:rsid w:val="00CB2442"/>
    <w:rsid w:val="00CB255C"/>
    <w:rsid w:val="00CB283A"/>
    <w:rsid w:val="00CB2860"/>
    <w:rsid w:val="00CB29E7"/>
    <w:rsid w:val="00CB2B5A"/>
    <w:rsid w:val="00CB2B7B"/>
    <w:rsid w:val="00CB2CB8"/>
    <w:rsid w:val="00CB2CD0"/>
    <w:rsid w:val="00CB2E5F"/>
    <w:rsid w:val="00CB3404"/>
    <w:rsid w:val="00CB34FE"/>
    <w:rsid w:val="00CB3591"/>
    <w:rsid w:val="00CB371E"/>
    <w:rsid w:val="00CB38CD"/>
    <w:rsid w:val="00CB3931"/>
    <w:rsid w:val="00CB39E7"/>
    <w:rsid w:val="00CB3AAF"/>
    <w:rsid w:val="00CB3AB6"/>
    <w:rsid w:val="00CB3EEB"/>
    <w:rsid w:val="00CB401E"/>
    <w:rsid w:val="00CB4406"/>
    <w:rsid w:val="00CB44DC"/>
    <w:rsid w:val="00CB4957"/>
    <w:rsid w:val="00CB4F07"/>
    <w:rsid w:val="00CB55C6"/>
    <w:rsid w:val="00CB564A"/>
    <w:rsid w:val="00CB57A2"/>
    <w:rsid w:val="00CB580C"/>
    <w:rsid w:val="00CB5BE0"/>
    <w:rsid w:val="00CB5DC3"/>
    <w:rsid w:val="00CB61DA"/>
    <w:rsid w:val="00CB63B4"/>
    <w:rsid w:val="00CB6473"/>
    <w:rsid w:val="00CB69B8"/>
    <w:rsid w:val="00CB6ABC"/>
    <w:rsid w:val="00CB6D0B"/>
    <w:rsid w:val="00CB6EB9"/>
    <w:rsid w:val="00CB7112"/>
    <w:rsid w:val="00CB76CB"/>
    <w:rsid w:val="00CB7945"/>
    <w:rsid w:val="00CB7C48"/>
    <w:rsid w:val="00CB7C6F"/>
    <w:rsid w:val="00CB7E25"/>
    <w:rsid w:val="00CC0087"/>
    <w:rsid w:val="00CC02B5"/>
    <w:rsid w:val="00CC06AB"/>
    <w:rsid w:val="00CC0717"/>
    <w:rsid w:val="00CC0797"/>
    <w:rsid w:val="00CC0845"/>
    <w:rsid w:val="00CC0905"/>
    <w:rsid w:val="00CC0955"/>
    <w:rsid w:val="00CC09BD"/>
    <w:rsid w:val="00CC09CD"/>
    <w:rsid w:val="00CC0B9D"/>
    <w:rsid w:val="00CC0EEF"/>
    <w:rsid w:val="00CC10A5"/>
    <w:rsid w:val="00CC1156"/>
    <w:rsid w:val="00CC1176"/>
    <w:rsid w:val="00CC11E5"/>
    <w:rsid w:val="00CC14D1"/>
    <w:rsid w:val="00CC155E"/>
    <w:rsid w:val="00CC17BD"/>
    <w:rsid w:val="00CC1942"/>
    <w:rsid w:val="00CC1A05"/>
    <w:rsid w:val="00CC1A59"/>
    <w:rsid w:val="00CC1A64"/>
    <w:rsid w:val="00CC1B2C"/>
    <w:rsid w:val="00CC1C99"/>
    <w:rsid w:val="00CC1CCE"/>
    <w:rsid w:val="00CC1D26"/>
    <w:rsid w:val="00CC1D41"/>
    <w:rsid w:val="00CC1D52"/>
    <w:rsid w:val="00CC1DE2"/>
    <w:rsid w:val="00CC224B"/>
    <w:rsid w:val="00CC226A"/>
    <w:rsid w:val="00CC22AD"/>
    <w:rsid w:val="00CC230A"/>
    <w:rsid w:val="00CC2402"/>
    <w:rsid w:val="00CC2581"/>
    <w:rsid w:val="00CC2628"/>
    <w:rsid w:val="00CC27EE"/>
    <w:rsid w:val="00CC283D"/>
    <w:rsid w:val="00CC29B8"/>
    <w:rsid w:val="00CC2A1A"/>
    <w:rsid w:val="00CC2B89"/>
    <w:rsid w:val="00CC2E99"/>
    <w:rsid w:val="00CC2F96"/>
    <w:rsid w:val="00CC3047"/>
    <w:rsid w:val="00CC30FB"/>
    <w:rsid w:val="00CC31C5"/>
    <w:rsid w:val="00CC323A"/>
    <w:rsid w:val="00CC35B7"/>
    <w:rsid w:val="00CC360B"/>
    <w:rsid w:val="00CC36CE"/>
    <w:rsid w:val="00CC36EA"/>
    <w:rsid w:val="00CC3A6A"/>
    <w:rsid w:val="00CC3CA8"/>
    <w:rsid w:val="00CC3D3A"/>
    <w:rsid w:val="00CC3D4E"/>
    <w:rsid w:val="00CC3F95"/>
    <w:rsid w:val="00CC40B8"/>
    <w:rsid w:val="00CC4143"/>
    <w:rsid w:val="00CC4179"/>
    <w:rsid w:val="00CC42F1"/>
    <w:rsid w:val="00CC453E"/>
    <w:rsid w:val="00CC4A0B"/>
    <w:rsid w:val="00CC4E61"/>
    <w:rsid w:val="00CC52E8"/>
    <w:rsid w:val="00CC53BB"/>
    <w:rsid w:val="00CC55CA"/>
    <w:rsid w:val="00CC56A5"/>
    <w:rsid w:val="00CC586A"/>
    <w:rsid w:val="00CC5AD5"/>
    <w:rsid w:val="00CC5D0D"/>
    <w:rsid w:val="00CC5E8F"/>
    <w:rsid w:val="00CC5FBA"/>
    <w:rsid w:val="00CC5FE5"/>
    <w:rsid w:val="00CC6080"/>
    <w:rsid w:val="00CC6269"/>
    <w:rsid w:val="00CC6568"/>
    <w:rsid w:val="00CC66B0"/>
    <w:rsid w:val="00CC6841"/>
    <w:rsid w:val="00CC6951"/>
    <w:rsid w:val="00CC6C0C"/>
    <w:rsid w:val="00CC6C23"/>
    <w:rsid w:val="00CC7001"/>
    <w:rsid w:val="00CC702D"/>
    <w:rsid w:val="00CC7232"/>
    <w:rsid w:val="00CC72C6"/>
    <w:rsid w:val="00CC73AE"/>
    <w:rsid w:val="00CC7525"/>
    <w:rsid w:val="00CC75C4"/>
    <w:rsid w:val="00CC75FD"/>
    <w:rsid w:val="00CC7669"/>
    <w:rsid w:val="00CC7672"/>
    <w:rsid w:val="00CC76D3"/>
    <w:rsid w:val="00CC7A7D"/>
    <w:rsid w:val="00CC7AF6"/>
    <w:rsid w:val="00CC7D71"/>
    <w:rsid w:val="00CC7F74"/>
    <w:rsid w:val="00CD0180"/>
    <w:rsid w:val="00CD02E1"/>
    <w:rsid w:val="00CD0475"/>
    <w:rsid w:val="00CD0679"/>
    <w:rsid w:val="00CD0C00"/>
    <w:rsid w:val="00CD0C25"/>
    <w:rsid w:val="00CD1169"/>
    <w:rsid w:val="00CD1277"/>
    <w:rsid w:val="00CD169C"/>
    <w:rsid w:val="00CD1B83"/>
    <w:rsid w:val="00CD1B92"/>
    <w:rsid w:val="00CD1D62"/>
    <w:rsid w:val="00CD1DC2"/>
    <w:rsid w:val="00CD1EAF"/>
    <w:rsid w:val="00CD1F3E"/>
    <w:rsid w:val="00CD23E7"/>
    <w:rsid w:val="00CD2504"/>
    <w:rsid w:val="00CD2706"/>
    <w:rsid w:val="00CD2776"/>
    <w:rsid w:val="00CD27F1"/>
    <w:rsid w:val="00CD28A7"/>
    <w:rsid w:val="00CD2AED"/>
    <w:rsid w:val="00CD2BA3"/>
    <w:rsid w:val="00CD2BD6"/>
    <w:rsid w:val="00CD2D00"/>
    <w:rsid w:val="00CD2D3F"/>
    <w:rsid w:val="00CD2E5C"/>
    <w:rsid w:val="00CD2E83"/>
    <w:rsid w:val="00CD2F99"/>
    <w:rsid w:val="00CD3063"/>
    <w:rsid w:val="00CD315D"/>
    <w:rsid w:val="00CD3274"/>
    <w:rsid w:val="00CD349B"/>
    <w:rsid w:val="00CD3788"/>
    <w:rsid w:val="00CD3804"/>
    <w:rsid w:val="00CD384B"/>
    <w:rsid w:val="00CD3955"/>
    <w:rsid w:val="00CD39D3"/>
    <w:rsid w:val="00CD3A8F"/>
    <w:rsid w:val="00CD3E79"/>
    <w:rsid w:val="00CD3E86"/>
    <w:rsid w:val="00CD41BA"/>
    <w:rsid w:val="00CD43E5"/>
    <w:rsid w:val="00CD44E9"/>
    <w:rsid w:val="00CD48C0"/>
    <w:rsid w:val="00CD48FE"/>
    <w:rsid w:val="00CD4BE2"/>
    <w:rsid w:val="00CD4F70"/>
    <w:rsid w:val="00CD5000"/>
    <w:rsid w:val="00CD5095"/>
    <w:rsid w:val="00CD511E"/>
    <w:rsid w:val="00CD528C"/>
    <w:rsid w:val="00CD563C"/>
    <w:rsid w:val="00CD56DE"/>
    <w:rsid w:val="00CD5758"/>
    <w:rsid w:val="00CD577B"/>
    <w:rsid w:val="00CD5830"/>
    <w:rsid w:val="00CD5A23"/>
    <w:rsid w:val="00CD5D1F"/>
    <w:rsid w:val="00CD5DAF"/>
    <w:rsid w:val="00CD5E6A"/>
    <w:rsid w:val="00CD5FEB"/>
    <w:rsid w:val="00CD6143"/>
    <w:rsid w:val="00CD6182"/>
    <w:rsid w:val="00CD6274"/>
    <w:rsid w:val="00CD6345"/>
    <w:rsid w:val="00CD6400"/>
    <w:rsid w:val="00CD64F1"/>
    <w:rsid w:val="00CD6CB3"/>
    <w:rsid w:val="00CD6F30"/>
    <w:rsid w:val="00CD70FF"/>
    <w:rsid w:val="00CD72E1"/>
    <w:rsid w:val="00CD739A"/>
    <w:rsid w:val="00CD757C"/>
    <w:rsid w:val="00CD7650"/>
    <w:rsid w:val="00CD7B09"/>
    <w:rsid w:val="00CD7B1A"/>
    <w:rsid w:val="00CD7E8A"/>
    <w:rsid w:val="00CD7FCD"/>
    <w:rsid w:val="00CD7FDF"/>
    <w:rsid w:val="00CD7FFC"/>
    <w:rsid w:val="00CE0002"/>
    <w:rsid w:val="00CE012D"/>
    <w:rsid w:val="00CE014D"/>
    <w:rsid w:val="00CE017A"/>
    <w:rsid w:val="00CE027D"/>
    <w:rsid w:val="00CE0358"/>
    <w:rsid w:val="00CE03C7"/>
    <w:rsid w:val="00CE0668"/>
    <w:rsid w:val="00CE0BAB"/>
    <w:rsid w:val="00CE0CA6"/>
    <w:rsid w:val="00CE0D55"/>
    <w:rsid w:val="00CE0D79"/>
    <w:rsid w:val="00CE1367"/>
    <w:rsid w:val="00CE1427"/>
    <w:rsid w:val="00CE1481"/>
    <w:rsid w:val="00CE1562"/>
    <w:rsid w:val="00CE1D9F"/>
    <w:rsid w:val="00CE1F41"/>
    <w:rsid w:val="00CE1F86"/>
    <w:rsid w:val="00CE2230"/>
    <w:rsid w:val="00CE22D2"/>
    <w:rsid w:val="00CE2855"/>
    <w:rsid w:val="00CE2A36"/>
    <w:rsid w:val="00CE2C40"/>
    <w:rsid w:val="00CE2CD9"/>
    <w:rsid w:val="00CE340C"/>
    <w:rsid w:val="00CE3480"/>
    <w:rsid w:val="00CE36DE"/>
    <w:rsid w:val="00CE3765"/>
    <w:rsid w:val="00CE38F6"/>
    <w:rsid w:val="00CE39FD"/>
    <w:rsid w:val="00CE3B17"/>
    <w:rsid w:val="00CE3BE6"/>
    <w:rsid w:val="00CE3D4E"/>
    <w:rsid w:val="00CE3F0F"/>
    <w:rsid w:val="00CE3F2E"/>
    <w:rsid w:val="00CE4120"/>
    <w:rsid w:val="00CE4173"/>
    <w:rsid w:val="00CE4278"/>
    <w:rsid w:val="00CE428F"/>
    <w:rsid w:val="00CE42AC"/>
    <w:rsid w:val="00CE44D4"/>
    <w:rsid w:val="00CE458E"/>
    <w:rsid w:val="00CE4653"/>
    <w:rsid w:val="00CE484E"/>
    <w:rsid w:val="00CE4912"/>
    <w:rsid w:val="00CE4990"/>
    <w:rsid w:val="00CE4A18"/>
    <w:rsid w:val="00CE4CCD"/>
    <w:rsid w:val="00CE4DE7"/>
    <w:rsid w:val="00CE500A"/>
    <w:rsid w:val="00CE50A4"/>
    <w:rsid w:val="00CE5113"/>
    <w:rsid w:val="00CE557E"/>
    <w:rsid w:val="00CE57C3"/>
    <w:rsid w:val="00CE57C5"/>
    <w:rsid w:val="00CE58AD"/>
    <w:rsid w:val="00CE5ADD"/>
    <w:rsid w:val="00CE5AE6"/>
    <w:rsid w:val="00CE5B50"/>
    <w:rsid w:val="00CE60B4"/>
    <w:rsid w:val="00CE63C1"/>
    <w:rsid w:val="00CE63DB"/>
    <w:rsid w:val="00CE67DA"/>
    <w:rsid w:val="00CE6A9A"/>
    <w:rsid w:val="00CE6C09"/>
    <w:rsid w:val="00CE6FB4"/>
    <w:rsid w:val="00CE7010"/>
    <w:rsid w:val="00CE70AC"/>
    <w:rsid w:val="00CE7252"/>
    <w:rsid w:val="00CE7517"/>
    <w:rsid w:val="00CE753D"/>
    <w:rsid w:val="00CE7664"/>
    <w:rsid w:val="00CE7A0C"/>
    <w:rsid w:val="00CE7A30"/>
    <w:rsid w:val="00CE7AA8"/>
    <w:rsid w:val="00CE7AD0"/>
    <w:rsid w:val="00CE7B77"/>
    <w:rsid w:val="00CE7D85"/>
    <w:rsid w:val="00CF00EE"/>
    <w:rsid w:val="00CF019F"/>
    <w:rsid w:val="00CF0429"/>
    <w:rsid w:val="00CF04AF"/>
    <w:rsid w:val="00CF07BC"/>
    <w:rsid w:val="00CF09C0"/>
    <w:rsid w:val="00CF0B8A"/>
    <w:rsid w:val="00CF0D89"/>
    <w:rsid w:val="00CF0DD0"/>
    <w:rsid w:val="00CF0EFA"/>
    <w:rsid w:val="00CF1131"/>
    <w:rsid w:val="00CF1233"/>
    <w:rsid w:val="00CF138F"/>
    <w:rsid w:val="00CF139D"/>
    <w:rsid w:val="00CF14DB"/>
    <w:rsid w:val="00CF1609"/>
    <w:rsid w:val="00CF1613"/>
    <w:rsid w:val="00CF16D2"/>
    <w:rsid w:val="00CF178C"/>
    <w:rsid w:val="00CF1872"/>
    <w:rsid w:val="00CF1AA0"/>
    <w:rsid w:val="00CF1B9F"/>
    <w:rsid w:val="00CF1D6C"/>
    <w:rsid w:val="00CF2040"/>
    <w:rsid w:val="00CF20A5"/>
    <w:rsid w:val="00CF20E0"/>
    <w:rsid w:val="00CF2229"/>
    <w:rsid w:val="00CF2230"/>
    <w:rsid w:val="00CF224D"/>
    <w:rsid w:val="00CF2334"/>
    <w:rsid w:val="00CF2357"/>
    <w:rsid w:val="00CF23CD"/>
    <w:rsid w:val="00CF2769"/>
    <w:rsid w:val="00CF279F"/>
    <w:rsid w:val="00CF29DC"/>
    <w:rsid w:val="00CF2AD7"/>
    <w:rsid w:val="00CF2B70"/>
    <w:rsid w:val="00CF2CBB"/>
    <w:rsid w:val="00CF2DD7"/>
    <w:rsid w:val="00CF2F4A"/>
    <w:rsid w:val="00CF321F"/>
    <w:rsid w:val="00CF349F"/>
    <w:rsid w:val="00CF3675"/>
    <w:rsid w:val="00CF3683"/>
    <w:rsid w:val="00CF3739"/>
    <w:rsid w:val="00CF3850"/>
    <w:rsid w:val="00CF38FD"/>
    <w:rsid w:val="00CF3CA4"/>
    <w:rsid w:val="00CF3D6F"/>
    <w:rsid w:val="00CF3E29"/>
    <w:rsid w:val="00CF3EC9"/>
    <w:rsid w:val="00CF407B"/>
    <w:rsid w:val="00CF40FD"/>
    <w:rsid w:val="00CF4104"/>
    <w:rsid w:val="00CF41EA"/>
    <w:rsid w:val="00CF41F6"/>
    <w:rsid w:val="00CF435D"/>
    <w:rsid w:val="00CF452A"/>
    <w:rsid w:val="00CF4593"/>
    <w:rsid w:val="00CF47CD"/>
    <w:rsid w:val="00CF4C86"/>
    <w:rsid w:val="00CF4E17"/>
    <w:rsid w:val="00CF5084"/>
    <w:rsid w:val="00CF5205"/>
    <w:rsid w:val="00CF521D"/>
    <w:rsid w:val="00CF546E"/>
    <w:rsid w:val="00CF5674"/>
    <w:rsid w:val="00CF56B8"/>
    <w:rsid w:val="00CF5898"/>
    <w:rsid w:val="00CF59EF"/>
    <w:rsid w:val="00CF5A50"/>
    <w:rsid w:val="00CF5B07"/>
    <w:rsid w:val="00CF5C04"/>
    <w:rsid w:val="00CF5F89"/>
    <w:rsid w:val="00CF618C"/>
    <w:rsid w:val="00CF61DC"/>
    <w:rsid w:val="00CF62F5"/>
    <w:rsid w:val="00CF639C"/>
    <w:rsid w:val="00CF6449"/>
    <w:rsid w:val="00CF66BC"/>
    <w:rsid w:val="00CF66CE"/>
    <w:rsid w:val="00CF67BD"/>
    <w:rsid w:val="00CF67F5"/>
    <w:rsid w:val="00CF6A9D"/>
    <w:rsid w:val="00CF6BDE"/>
    <w:rsid w:val="00CF6CFF"/>
    <w:rsid w:val="00CF6D10"/>
    <w:rsid w:val="00CF6D26"/>
    <w:rsid w:val="00CF6F43"/>
    <w:rsid w:val="00CF6FB5"/>
    <w:rsid w:val="00CF733F"/>
    <w:rsid w:val="00CF7342"/>
    <w:rsid w:val="00CF74A7"/>
    <w:rsid w:val="00CF7599"/>
    <w:rsid w:val="00CF7D68"/>
    <w:rsid w:val="00CF7DFC"/>
    <w:rsid w:val="00CF7F1C"/>
    <w:rsid w:val="00CF7F4E"/>
    <w:rsid w:val="00CF7F7F"/>
    <w:rsid w:val="00CF7F9E"/>
    <w:rsid w:val="00D00098"/>
    <w:rsid w:val="00D00214"/>
    <w:rsid w:val="00D0023B"/>
    <w:rsid w:val="00D003CB"/>
    <w:rsid w:val="00D003D5"/>
    <w:rsid w:val="00D004A8"/>
    <w:rsid w:val="00D007CB"/>
    <w:rsid w:val="00D007D3"/>
    <w:rsid w:val="00D008DB"/>
    <w:rsid w:val="00D00906"/>
    <w:rsid w:val="00D009E2"/>
    <w:rsid w:val="00D00B0C"/>
    <w:rsid w:val="00D00B94"/>
    <w:rsid w:val="00D00CF5"/>
    <w:rsid w:val="00D00DA3"/>
    <w:rsid w:val="00D00DDB"/>
    <w:rsid w:val="00D00E9B"/>
    <w:rsid w:val="00D00ED1"/>
    <w:rsid w:val="00D01239"/>
    <w:rsid w:val="00D012AF"/>
    <w:rsid w:val="00D012E6"/>
    <w:rsid w:val="00D0156D"/>
    <w:rsid w:val="00D016A4"/>
    <w:rsid w:val="00D0176F"/>
    <w:rsid w:val="00D01A3C"/>
    <w:rsid w:val="00D01B90"/>
    <w:rsid w:val="00D01D6F"/>
    <w:rsid w:val="00D01E77"/>
    <w:rsid w:val="00D01F51"/>
    <w:rsid w:val="00D0203C"/>
    <w:rsid w:val="00D02506"/>
    <w:rsid w:val="00D02834"/>
    <w:rsid w:val="00D028D5"/>
    <w:rsid w:val="00D0292E"/>
    <w:rsid w:val="00D02D4B"/>
    <w:rsid w:val="00D02D50"/>
    <w:rsid w:val="00D02E73"/>
    <w:rsid w:val="00D0335C"/>
    <w:rsid w:val="00D0341B"/>
    <w:rsid w:val="00D034F0"/>
    <w:rsid w:val="00D03A7C"/>
    <w:rsid w:val="00D03A84"/>
    <w:rsid w:val="00D03CE4"/>
    <w:rsid w:val="00D03D63"/>
    <w:rsid w:val="00D03D70"/>
    <w:rsid w:val="00D0403D"/>
    <w:rsid w:val="00D040BE"/>
    <w:rsid w:val="00D040F3"/>
    <w:rsid w:val="00D04239"/>
    <w:rsid w:val="00D042D6"/>
    <w:rsid w:val="00D0445E"/>
    <w:rsid w:val="00D04486"/>
    <w:rsid w:val="00D044CC"/>
    <w:rsid w:val="00D04651"/>
    <w:rsid w:val="00D046B4"/>
    <w:rsid w:val="00D047B6"/>
    <w:rsid w:val="00D04811"/>
    <w:rsid w:val="00D04A54"/>
    <w:rsid w:val="00D04BA5"/>
    <w:rsid w:val="00D04BDA"/>
    <w:rsid w:val="00D04ECF"/>
    <w:rsid w:val="00D04FC3"/>
    <w:rsid w:val="00D0522D"/>
    <w:rsid w:val="00D0527C"/>
    <w:rsid w:val="00D052E5"/>
    <w:rsid w:val="00D05400"/>
    <w:rsid w:val="00D0581A"/>
    <w:rsid w:val="00D05E2B"/>
    <w:rsid w:val="00D06178"/>
    <w:rsid w:val="00D06461"/>
    <w:rsid w:val="00D064E3"/>
    <w:rsid w:val="00D065A2"/>
    <w:rsid w:val="00D067E3"/>
    <w:rsid w:val="00D069BD"/>
    <w:rsid w:val="00D06A0E"/>
    <w:rsid w:val="00D06A99"/>
    <w:rsid w:val="00D06C99"/>
    <w:rsid w:val="00D07099"/>
    <w:rsid w:val="00D071D4"/>
    <w:rsid w:val="00D07239"/>
    <w:rsid w:val="00D07481"/>
    <w:rsid w:val="00D075C4"/>
    <w:rsid w:val="00D077B1"/>
    <w:rsid w:val="00D079EA"/>
    <w:rsid w:val="00D07A52"/>
    <w:rsid w:val="00D07AF8"/>
    <w:rsid w:val="00D07B0A"/>
    <w:rsid w:val="00D07B61"/>
    <w:rsid w:val="00D07BCF"/>
    <w:rsid w:val="00D07D29"/>
    <w:rsid w:val="00D07DC3"/>
    <w:rsid w:val="00D07DCC"/>
    <w:rsid w:val="00D07E17"/>
    <w:rsid w:val="00D07FCC"/>
    <w:rsid w:val="00D10339"/>
    <w:rsid w:val="00D10476"/>
    <w:rsid w:val="00D105EC"/>
    <w:rsid w:val="00D1070A"/>
    <w:rsid w:val="00D107F0"/>
    <w:rsid w:val="00D10876"/>
    <w:rsid w:val="00D10A15"/>
    <w:rsid w:val="00D10A57"/>
    <w:rsid w:val="00D10A58"/>
    <w:rsid w:val="00D10A6A"/>
    <w:rsid w:val="00D10D3A"/>
    <w:rsid w:val="00D10E14"/>
    <w:rsid w:val="00D10F65"/>
    <w:rsid w:val="00D110C9"/>
    <w:rsid w:val="00D110DF"/>
    <w:rsid w:val="00D1112D"/>
    <w:rsid w:val="00D112C8"/>
    <w:rsid w:val="00D113DE"/>
    <w:rsid w:val="00D113F9"/>
    <w:rsid w:val="00D11661"/>
    <w:rsid w:val="00D116EF"/>
    <w:rsid w:val="00D117F8"/>
    <w:rsid w:val="00D11A53"/>
    <w:rsid w:val="00D12043"/>
    <w:rsid w:val="00D120E1"/>
    <w:rsid w:val="00D12176"/>
    <w:rsid w:val="00D12246"/>
    <w:rsid w:val="00D12350"/>
    <w:rsid w:val="00D1281F"/>
    <w:rsid w:val="00D1288B"/>
    <w:rsid w:val="00D12B0D"/>
    <w:rsid w:val="00D12C0F"/>
    <w:rsid w:val="00D12E22"/>
    <w:rsid w:val="00D13246"/>
    <w:rsid w:val="00D1324C"/>
    <w:rsid w:val="00D13722"/>
    <w:rsid w:val="00D13986"/>
    <w:rsid w:val="00D13A68"/>
    <w:rsid w:val="00D13BFE"/>
    <w:rsid w:val="00D13F61"/>
    <w:rsid w:val="00D13FD3"/>
    <w:rsid w:val="00D140D6"/>
    <w:rsid w:val="00D1422E"/>
    <w:rsid w:val="00D1432C"/>
    <w:rsid w:val="00D145FE"/>
    <w:rsid w:val="00D1473F"/>
    <w:rsid w:val="00D149EC"/>
    <w:rsid w:val="00D14C30"/>
    <w:rsid w:val="00D14C69"/>
    <w:rsid w:val="00D14D96"/>
    <w:rsid w:val="00D14D9A"/>
    <w:rsid w:val="00D14DB4"/>
    <w:rsid w:val="00D14E58"/>
    <w:rsid w:val="00D151E6"/>
    <w:rsid w:val="00D15227"/>
    <w:rsid w:val="00D15267"/>
    <w:rsid w:val="00D15420"/>
    <w:rsid w:val="00D154FC"/>
    <w:rsid w:val="00D156FD"/>
    <w:rsid w:val="00D159CB"/>
    <w:rsid w:val="00D15BD3"/>
    <w:rsid w:val="00D15C4D"/>
    <w:rsid w:val="00D15D31"/>
    <w:rsid w:val="00D15E8F"/>
    <w:rsid w:val="00D1601D"/>
    <w:rsid w:val="00D1619E"/>
    <w:rsid w:val="00D16328"/>
    <w:rsid w:val="00D165EA"/>
    <w:rsid w:val="00D16680"/>
    <w:rsid w:val="00D1686A"/>
    <w:rsid w:val="00D16A1D"/>
    <w:rsid w:val="00D16AD5"/>
    <w:rsid w:val="00D16AE9"/>
    <w:rsid w:val="00D16D2D"/>
    <w:rsid w:val="00D16E4E"/>
    <w:rsid w:val="00D1721C"/>
    <w:rsid w:val="00D17232"/>
    <w:rsid w:val="00D173FF"/>
    <w:rsid w:val="00D17615"/>
    <w:rsid w:val="00D17925"/>
    <w:rsid w:val="00D17AD0"/>
    <w:rsid w:val="00D17B18"/>
    <w:rsid w:val="00D17C74"/>
    <w:rsid w:val="00D17D49"/>
    <w:rsid w:val="00D17DC6"/>
    <w:rsid w:val="00D17E73"/>
    <w:rsid w:val="00D200B7"/>
    <w:rsid w:val="00D20431"/>
    <w:rsid w:val="00D20670"/>
    <w:rsid w:val="00D20837"/>
    <w:rsid w:val="00D208B7"/>
    <w:rsid w:val="00D209E4"/>
    <w:rsid w:val="00D20BA4"/>
    <w:rsid w:val="00D20CA4"/>
    <w:rsid w:val="00D2105B"/>
    <w:rsid w:val="00D210C6"/>
    <w:rsid w:val="00D210D4"/>
    <w:rsid w:val="00D2110C"/>
    <w:rsid w:val="00D216C9"/>
    <w:rsid w:val="00D21A22"/>
    <w:rsid w:val="00D21B9F"/>
    <w:rsid w:val="00D21F18"/>
    <w:rsid w:val="00D220A7"/>
    <w:rsid w:val="00D220F8"/>
    <w:rsid w:val="00D22127"/>
    <w:rsid w:val="00D22332"/>
    <w:rsid w:val="00D223EE"/>
    <w:rsid w:val="00D2250C"/>
    <w:rsid w:val="00D22515"/>
    <w:rsid w:val="00D22527"/>
    <w:rsid w:val="00D226BD"/>
    <w:rsid w:val="00D227A5"/>
    <w:rsid w:val="00D22993"/>
    <w:rsid w:val="00D22A7C"/>
    <w:rsid w:val="00D22AE9"/>
    <w:rsid w:val="00D22CE6"/>
    <w:rsid w:val="00D22D3F"/>
    <w:rsid w:val="00D22EBE"/>
    <w:rsid w:val="00D22F0F"/>
    <w:rsid w:val="00D2305C"/>
    <w:rsid w:val="00D23301"/>
    <w:rsid w:val="00D2364B"/>
    <w:rsid w:val="00D23677"/>
    <w:rsid w:val="00D236E8"/>
    <w:rsid w:val="00D23935"/>
    <w:rsid w:val="00D23981"/>
    <w:rsid w:val="00D239CA"/>
    <w:rsid w:val="00D23B8F"/>
    <w:rsid w:val="00D23F50"/>
    <w:rsid w:val="00D2413C"/>
    <w:rsid w:val="00D241D8"/>
    <w:rsid w:val="00D24216"/>
    <w:rsid w:val="00D24421"/>
    <w:rsid w:val="00D2445E"/>
    <w:rsid w:val="00D24573"/>
    <w:rsid w:val="00D2475C"/>
    <w:rsid w:val="00D24870"/>
    <w:rsid w:val="00D249EC"/>
    <w:rsid w:val="00D24BC4"/>
    <w:rsid w:val="00D24D41"/>
    <w:rsid w:val="00D251F7"/>
    <w:rsid w:val="00D25277"/>
    <w:rsid w:val="00D25343"/>
    <w:rsid w:val="00D2548E"/>
    <w:rsid w:val="00D2555A"/>
    <w:rsid w:val="00D25A9E"/>
    <w:rsid w:val="00D25DB7"/>
    <w:rsid w:val="00D260EC"/>
    <w:rsid w:val="00D2616D"/>
    <w:rsid w:val="00D26181"/>
    <w:rsid w:val="00D26208"/>
    <w:rsid w:val="00D26340"/>
    <w:rsid w:val="00D26371"/>
    <w:rsid w:val="00D263DD"/>
    <w:rsid w:val="00D26557"/>
    <w:rsid w:val="00D266EC"/>
    <w:rsid w:val="00D2691C"/>
    <w:rsid w:val="00D26923"/>
    <w:rsid w:val="00D269E7"/>
    <w:rsid w:val="00D26C7B"/>
    <w:rsid w:val="00D26D34"/>
    <w:rsid w:val="00D26D47"/>
    <w:rsid w:val="00D26DA8"/>
    <w:rsid w:val="00D26F7D"/>
    <w:rsid w:val="00D271B5"/>
    <w:rsid w:val="00D2724A"/>
    <w:rsid w:val="00D27264"/>
    <w:rsid w:val="00D2743F"/>
    <w:rsid w:val="00D27604"/>
    <w:rsid w:val="00D27A5B"/>
    <w:rsid w:val="00D27B73"/>
    <w:rsid w:val="00D27DE4"/>
    <w:rsid w:val="00D3040E"/>
    <w:rsid w:val="00D3059B"/>
    <w:rsid w:val="00D306DF"/>
    <w:rsid w:val="00D30993"/>
    <w:rsid w:val="00D309DD"/>
    <w:rsid w:val="00D30CF3"/>
    <w:rsid w:val="00D30DC6"/>
    <w:rsid w:val="00D30F37"/>
    <w:rsid w:val="00D312E0"/>
    <w:rsid w:val="00D31629"/>
    <w:rsid w:val="00D31827"/>
    <w:rsid w:val="00D31A85"/>
    <w:rsid w:val="00D31A99"/>
    <w:rsid w:val="00D31C4A"/>
    <w:rsid w:val="00D31DC0"/>
    <w:rsid w:val="00D31DD2"/>
    <w:rsid w:val="00D31F36"/>
    <w:rsid w:val="00D31FF3"/>
    <w:rsid w:val="00D32094"/>
    <w:rsid w:val="00D320A5"/>
    <w:rsid w:val="00D321AF"/>
    <w:rsid w:val="00D32735"/>
    <w:rsid w:val="00D329DF"/>
    <w:rsid w:val="00D32A3A"/>
    <w:rsid w:val="00D32A88"/>
    <w:rsid w:val="00D32D26"/>
    <w:rsid w:val="00D32FE7"/>
    <w:rsid w:val="00D331C1"/>
    <w:rsid w:val="00D33230"/>
    <w:rsid w:val="00D33A2B"/>
    <w:rsid w:val="00D33AC6"/>
    <w:rsid w:val="00D33C10"/>
    <w:rsid w:val="00D33C7F"/>
    <w:rsid w:val="00D33D87"/>
    <w:rsid w:val="00D33E19"/>
    <w:rsid w:val="00D33ECD"/>
    <w:rsid w:val="00D33FBF"/>
    <w:rsid w:val="00D34083"/>
    <w:rsid w:val="00D3408D"/>
    <w:rsid w:val="00D340C1"/>
    <w:rsid w:val="00D342D2"/>
    <w:rsid w:val="00D34424"/>
    <w:rsid w:val="00D34675"/>
    <w:rsid w:val="00D349DC"/>
    <w:rsid w:val="00D34B9D"/>
    <w:rsid w:val="00D34BE9"/>
    <w:rsid w:val="00D34C3B"/>
    <w:rsid w:val="00D34CD5"/>
    <w:rsid w:val="00D34E42"/>
    <w:rsid w:val="00D34EE4"/>
    <w:rsid w:val="00D34F88"/>
    <w:rsid w:val="00D35074"/>
    <w:rsid w:val="00D35296"/>
    <w:rsid w:val="00D352D9"/>
    <w:rsid w:val="00D353D4"/>
    <w:rsid w:val="00D3544C"/>
    <w:rsid w:val="00D356A7"/>
    <w:rsid w:val="00D35823"/>
    <w:rsid w:val="00D35A01"/>
    <w:rsid w:val="00D35B42"/>
    <w:rsid w:val="00D35BDA"/>
    <w:rsid w:val="00D35CCC"/>
    <w:rsid w:val="00D35D65"/>
    <w:rsid w:val="00D36290"/>
    <w:rsid w:val="00D3650A"/>
    <w:rsid w:val="00D365E6"/>
    <w:rsid w:val="00D3663E"/>
    <w:rsid w:val="00D368E3"/>
    <w:rsid w:val="00D3692A"/>
    <w:rsid w:val="00D36979"/>
    <w:rsid w:val="00D36C18"/>
    <w:rsid w:val="00D36D76"/>
    <w:rsid w:val="00D36E73"/>
    <w:rsid w:val="00D36ECF"/>
    <w:rsid w:val="00D37160"/>
    <w:rsid w:val="00D372CB"/>
    <w:rsid w:val="00D37364"/>
    <w:rsid w:val="00D37901"/>
    <w:rsid w:val="00D3793D"/>
    <w:rsid w:val="00D3795C"/>
    <w:rsid w:val="00D379E5"/>
    <w:rsid w:val="00D37C53"/>
    <w:rsid w:val="00D37E8C"/>
    <w:rsid w:val="00D40011"/>
    <w:rsid w:val="00D40299"/>
    <w:rsid w:val="00D408AB"/>
    <w:rsid w:val="00D408BA"/>
    <w:rsid w:val="00D40AFF"/>
    <w:rsid w:val="00D40D92"/>
    <w:rsid w:val="00D40FCE"/>
    <w:rsid w:val="00D4166E"/>
    <w:rsid w:val="00D41992"/>
    <w:rsid w:val="00D41F6E"/>
    <w:rsid w:val="00D420B2"/>
    <w:rsid w:val="00D4224A"/>
    <w:rsid w:val="00D4226C"/>
    <w:rsid w:val="00D42366"/>
    <w:rsid w:val="00D42607"/>
    <w:rsid w:val="00D4280C"/>
    <w:rsid w:val="00D42874"/>
    <w:rsid w:val="00D42963"/>
    <w:rsid w:val="00D4296C"/>
    <w:rsid w:val="00D42BAC"/>
    <w:rsid w:val="00D42BBB"/>
    <w:rsid w:val="00D42FD2"/>
    <w:rsid w:val="00D4307D"/>
    <w:rsid w:val="00D43416"/>
    <w:rsid w:val="00D43677"/>
    <w:rsid w:val="00D439A5"/>
    <w:rsid w:val="00D43C1F"/>
    <w:rsid w:val="00D43C47"/>
    <w:rsid w:val="00D43F75"/>
    <w:rsid w:val="00D44073"/>
    <w:rsid w:val="00D441D0"/>
    <w:rsid w:val="00D443F8"/>
    <w:rsid w:val="00D4446F"/>
    <w:rsid w:val="00D44822"/>
    <w:rsid w:val="00D4486A"/>
    <w:rsid w:val="00D448D2"/>
    <w:rsid w:val="00D449EF"/>
    <w:rsid w:val="00D44AE4"/>
    <w:rsid w:val="00D44E43"/>
    <w:rsid w:val="00D44E9E"/>
    <w:rsid w:val="00D44F0B"/>
    <w:rsid w:val="00D44FEC"/>
    <w:rsid w:val="00D4506B"/>
    <w:rsid w:val="00D45122"/>
    <w:rsid w:val="00D452B1"/>
    <w:rsid w:val="00D45746"/>
    <w:rsid w:val="00D457D3"/>
    <w:rsid w:val="00D4598D"/>
    <w:rsid w:val="00D45A25"/>
    <w:rsid w:val="00D45AF4"/>
    <w:rsid w:val="00D45BB8"/>
    <w:rsid w:val="00D45D94"/>
    <w:rsid w:val="00D45FEF"/>
    <w:rsid w:val="00D4607A"/>
    <w:rsid w:val="00D46256"/>
    <w:rsid w:val="00D4630F"/>
    <w:rsid w:val="00D46323"/>
    <w:rsid w:val="00D463C2"/>
    <w:rsid w:val="00D463F4"/>
    <w:rsid w:val="00D463FE"/>
    <w:rsid w:val="00D46477"/>
    <w:rsid w:val="00D46511"/>
    <w:rsid w:val="00D466FE"/>
    <w:rsid w:val="00D46816"/>
    <w:rsid w:val="00D468BF"/>
    <w:rsid w:val="00D4691C"/>
    <w:rsid w:val="00D46D55"/>
    <w:rsid w:val="00D46DD9"/>
    <w:rsid w:val="00D46F66"/>
    <w:rsid w:val="00D470B4"/>
    <w:rsid w:val="00D4748F"/>
    <w:rsid w:val="00D47517"/>
    <w:rsid w:val="00D4774A"/>
    <w:rsid w:val="00D47B6F"/>
    <w:rsid w:val="00D47CFC"/>
    <w:rsid w:val="00D47E49"/>
    <w:rsid w:val="00D47EF9"/>
    <w:rsid w:val="00D47F71"/>
    <w:rsid w:val="00D5024E"/>
    <w:rsid w:val="00D504FF"/>
    <w:rsid w:val="00D507F9"/>
    <w:rsid w:val="00D50853"/>
    <w:rsid w:val="00D508EF"/>
    <w:rsid w:val="00D509B1"/>
    <w:rsid w:val="00D509FA"/>
    <w:rsid w:val="00D50EA8"/>
    <w:rsid w:val="00D50FF6"/>
    <w:rsid w:val="00D51162"/>
    <w:rsid w:val="00D512EB"/>
    <w:rsid w:val="00D5135F"/>
    <w:rsid w:val="00D513D7"/>
    <w:rsid w:val="00D515A3"/>
    <w:rsid w:val="00D51703"/>
    <w:rsid w:val="00D519A0"/>
    <w:rsid w:val="00D51A34"/>
    <w:rsid w:val="00D5203A"/>
    <w:rsid w:val="00D52048"/>
    <w:rsid w:val="00D5208B"/>
    <w:rsid w:val="00D523D6"/>
    <w:rsid w:val="00D52429"/>
    <w:rsid w:val="00D52444"/>
    <w:rsid w:val="00D525B0"/>
    <w:rsid w:val="00D525E0"/>
    <w:rsid w:val="00D5264A"/>
    <w:rsid w:val="00D5267B"/>
    <w:rsid w:val="00D526A1"/>
    <w:rsid w:val="00D526F4"/>
    <w:rsid w:val="00D5296B"/>
    <w:rsid w:val="00D5297D"/>
    <w:rsid w:val="00D52A14"/>
    <w:rsid w:val="00D52A6A"/>
    <w:rsid w:val="00D53304"/>
    <w:rsid w:val="00D535B3"/>
    <w:rsid w:val="00D53657"/>
    <w:rsid w:val="00D53B1C"/>
    <w:rsid w:val="00D53B3F"/>
    <w:rsid w:val="00D53B41"/>
    <w:rsid w:val="00D53C7C"/>
    <w:rsid w:val="00D53E47"/>
    <w:rsid w:val="00D53FC4"/>
    <w:rsid w:val="00D54027"/>
    <w:rsid w:val="00D54117"/>
    <w:rsid w:val="00D54238"/>
    <w:rsid w:val="00D543CB"/>
    <w:rsid w:val="00D5446E"/>
    <w:rsid w:val="00D54484"/>
    <w:rsid w:val="00D544D5"/>
    <w:rsid w:val="00D5451C"/>
    <w:rsid w:val="00D5477A"/>
    <w:rsid w:val="00D54930"/>
    <w:rsid w:val="00D54AFA"/>
    <w:rsid w:val="00D54D60"/>
    <w:rsid w:val="00D54FAA"/>
    <w:rsid w:val="00D5509D"/>
    <w:rsid w:val="00D55166"/>
    <w:rsid w:val="00D5518B"/>
    <w:rsid w:val="00D55242"/>
    <w:rsid w:val="00D553ED"/>
    <w:rsid w:val="00D557A3"/>
    <w:rsid w:val="00D557A6"/>
    <w:rsid w:val="00D557E4"/>
    <w:rsid w:val="00D55A4A"/>
    <w:rsid w:val="00D55A6A"/>
    <w:rsid w:val="00D55E5D"/>
    <w:rsid w:val="00D56226"/>
    <w:rsid w:val="00D562D1"/>
    <w:rsid w:val="00D56453"/>
    <w:rsid w:val="00D5646B"/>
    <w:rsid w:val="00D56529"/>
    <w:rsid w:val="00D565EE"/>
    <w:rsid w:val="00D56883"/>
    <w:rsid w:val="00D56996"/>
    <w:rsid w:val="00D5699A"/>
    <w:rsid w:val="00D56A1F"/>
    <w:rsid w:val="00D56A9D"/>
    <w:rsid w:val="00D56E6D"/>
    <w:rsid w:val="00D56F29"/>
    <w:rsid w:val="00D57314"/>
    <w:rsid w:val="00D574C6"/>
    <w:rsid w:val="00D574D9"/>
    <w:rsid w:val="00D57859"/>
    <w:rsid w:val="00D57913"/>
    <w:rsid w:val="00D579B0"/>
    <w:rsid w:val="00D57C1F"/>
    <w:rsid w:val="00D60028"/>
    <w:rsid w:val="00D6039D"/>
    <w:rsid w:val="00D603B7"/>
    <w:rsid w:val="00D60574"/>
    <w:rsid w:val="00D60722"/>
    <w:rsid w:val="00D607ED"/>
    <w:rsid w:val="00D60868"/>
    <w:rsid w:val="00D609C4"/>
    <w:rsid w:val="00D60A8F"/>
    <w:rsid w:val="00D60B51"/>
    <w:rsid w:val="00D60D19"/>
    <w:rsid w:val="00D60DF6"/>
    <w:rsid w:val="00D60F39"/>
    <w:rsid w:val="00D610F5"/>
    <w:rsid w:val="00D6147A"/>
    <w:rsid w:val="00D618AA"/>
    <w:rsid w:val="00D618DB"/>
    <w:rsid w:val="00D61D48"/>
    <w:rsid w:val="00D61D54"/>
    <w:rsid w:val="00D61D56"/>
    <w:rsid w:val="00D61DA8"/>
    <w:rsid w:val="00D61DFC"/>
    <w:rsid w:val="00D61E4F"/>
    <w:rsid w:val="00D61F48"/>
    <w:rsid w:val="00D620C6"/>
    <w:rsid w:val="00D623DF"/>
    <w:rsid w:val="00D624CC"/>
    <w:rsid w:val="00D625D9"/>
    <w:rsid w:val="00D627B9"/>
    <w:rsid w:val="00D62808"/>
    <w:rsid w:val="00D62EAE"/>
    <w:rsid w:val="00D630AF"/>
    <w:rsid w:val="00D63109"/>
    <w:rsid w:val="00D63368"/>
    <w:rsid w:val="00D633E3"/>
    <w:rsid w:val="00D6349D"/>
    <w:rsid w:val="00D6358E"/>
    <w:rsid w:val="00D6373A"/>
    <w:rsid w:val="00D6385E"/>
    <w:rsid w:val="00D63A41"/>
    <w:rsid w:val="00D63B1F"/>
    <w:rsid w:val="00D6432A"/>
    <w:rsid w:val="00D6446B"/>
    <w:rsid w:val="00D644E5"/>
    <w:rsid w:val="00D645AC"/>
    <w:rsid w:val="00D646E1"/>
    <w:rsid w:val="00D64927"/>
    <w:rsid w:val="00D64A96"/>
    <w:rsid w:val="00D64BEA"/>
    <w:rsid w:val="00D64D30"/>
    <w:rsid w:val="00D651D7"/>
    <w:rsid w:val="00D651F0"/>
    <w:rsid w:val="00D6535B"/>
    <w:rsid w:val="00D65434"/>
    <w:rsid w:val="00D6546D"/>
    <w:rsid w:val="00D654D3"/>
    <w:rsid w:val="00D655F1"/>
    <w:rsid w:val="00D656D1"/>
    <w:rsid w:val="00D6587A"/>
    <w:rsid w:val="00D65C38"/>
    <w:rsid w:val="00D65C72"/>
    <w:rsid w:val="00D65CF9"/>
    <w:rsid w:val="00D6602A"/>
    <w:rsid w:val="00D660BE"/>
    <w:rsid w:val="00D66249"/>
    <w:rsid w:val="00D6641C"/>
    <w:rsid w:val="00D666AF"/>
    <w:rsid w:val="00D66804"/>
    <w:rsid w:val="00D668FD"/>
    <w:rsid w:val="00D66913"/>
    <w:rsid w:val="00D66BE1"/>
    <w:rsid w:val="00D66E8A"/>
    <w:rsid w:val="00D670C1"/>
    <w:rsid w:val="00D67370"/>
    <w:rsid w:val="00D67382"/>
    <w:rsid w:val="00D67404"/>
    <w:rsid w:val="00D6769F"/>
    <w:rsid w:val="00D67703"/>
    <w:rsid w:val="00D67920"/>
    <w:rsid w:val="00D67A3D"/>
    <w:rsid w:val="00D67BB5"/>
    <w:rsid w:val="00D67F27"/>
    <w:rsid w:val="00D67F66"/>
    <w:rsid w:val="00D700F5"/>
    <w:rsid w:val="00D7030E"/>
    <w:rsid w:val="00D708DF"/>
    <w:rsid w:val="00D708F7"/>
    <w:rsid w:val="00D70A8E"/>
    <w:rsid w:val="00D70D0D"/>
    <w:rsid w:val="00D70E23"/>
    <w:rsid w:val="00D7125F"/>
    <w:rsid w:val="00D713DE"/>
    <w:rsid w:val="00D71585"/>
    <w:rsid w:val="00D716B9"/>
    <w:rsid w:val="00D71879"/>
    <w:rsid w:val="00D718B1"/>
    <w:rsid w:val="00D71A19"/>
    <w:rsid w:val="00D71B8C"/>
    <w:rsid w:val="00D71C1F"/>
    <w:rsid w:val="00D71ED1"/>
    <w:rsid w:val="00D71FA3"/>
    <w:rsid w:val="00D71FD6"/>
    <w:rsid w:val="00D72024"/>
    <w:rsid w:val="00D72152"/>
    <w:rsid w:val="00D72169"/>
    <w:rsid w:val="00D72465"/>
    <w:rsid w:val="00D72636"/>
    <w:rsid w:val="00D72A03"/>
    <w:rsid w:val="00D72B94"/>
    <w:rsid w:val="00D72F25"/>
    <w:rsid w:val="00D7329A"/>
    <w:rsid w:val="00D7340A"/>
    <w:rsid w:val="00D734A0"/>
    <w:rsid w:val="00D73674"/>
    <w:rsid w:val="00D737AC"/>
    <w:rsid w:val="00D737EF"/>
    <w:rsid w:val="00D7383D"/>
    <w:rsid w:val="00D73876"/>
    <w:rsid w:val="00D73B4B"/>
    <w:rsid w:val="00D73B8F"/>
    <w:rsid w:val="00D73C26"/>
    <w:rsid w:val="00D73D3C"/>
    <w:rsid w:val="00D73D42"/>
    <w:rsid w:val="00D73E65"/>
    <w:rsid w:val="00D73E69"/>
    <w:rsid w:val="00D73FE9"/>
    <w:rsid w:val="00D7409C"/>
    <w:rsid w:val="00D74138"/>
    <w:rsid w:val="00D74195"/>
    <w:rsid w:val="00D743CD"/>
    <w:rsid w:val="00D746D5"/>
    <w:rsid w:val="00D749DD"/>
    <w:rsid w:val="00D74D03"/>
    <w:rsid w:val="00D74F7D"/>
    <w:rsid w:val="00D75004"/>
    <w:rsid w:val="00D75080"/>
    <w:rsid w:val="00D750ED"/>
    <w:rsid w:val="00D75101"/>
    <w:rsid w:val="00D7535B"/>
    <w:rsid w:val="00D7561F"/>
    <w:rsid w:val="00D7570C"/>
    <w:rsid w:val="00D75716"/>
    <w:rsid w:val="00D757F0"/>
    <w:rsid w:val="00D759AF"/>
    <w:rsid w:val="00D75BEB"/>
    <w:rsid w:val="00D75C14"/>
    <w:rsid w:val="00D75C9A"/>
    <w:rsid w:val="00D75E89"/>
    <w:rsid w:val="00D760CC"/>
    <w:rsid w:val="00D7635F"/>
    <w:rsid w:val="00D766CB"/>
    <w:rsid w:val="00D767D1"/>
    <w:rsid w:val="00D768FD"/>
    <w:rsid w:val="00D76901"/>
    <w:rsid w:val="00D76B64"/>
    <w:rsid w:val="00D76CBD"/>
    <w:rsid w:val="00D77090"/>
    <w:rsid w:val="00D77125"/>
    <w:rsid w:val="00D772A6"/>
    <w:rsid w:val="00D772E5"/>
    <w:rsid w:val="00D77305"/>
    <w:rsid w:val="00D7732D"/>
    <w:rsid w:val="00D7741E"/>
    <w:rsid w:val="00D77907"/>
    <w:rsid w:val="00D77AA7"/>
    <w:rsid w:val="00D77B2A"/>
    <w:rsid w:val="00D77B87"/>
    <w:rsid w:val="00D77B9B"/>
    <w:rsid w:val="00D77C2E"/>
    <w:rsid w:val="00D77D69"/>
    <w:rsid w:val="00D77EF8"/>
    <w:rsid w:val="00D77F5E"/>
    <w:rsid w:val="00D77F9A"/>
    <w:rsid w:val="00D801C2"/>
    <w:rsid w:val="00D802E5"/>
    <w:rsid w:val="00D80392"/>
    <w:rsid w:val="00D80627"/>
    <w:rsid w:val="00D80663"/>
    <w:rsid w:val="00D80714"/>
    <w:rsid w:val="00D807E8"/>
    <w:rsid w:val="00D8095F"/>
    <w:rsid w:val="00D80A51"/>
    <w:rsid w:val="00D80B8D"/>
    <w:rsid w:val="00D81051"/>
    <w:rsid w:val="00D810B5"/>
    <w:rsid w:val="00D81320"/>
    <w:rsid w:val="00D815D0"/>
    <w:rsid w:val="00D81835"/>
    <w:rsid w:val="00D8199C"/>
    <w:rsid w:val="00D81AA9"/>
    <w:rsid w:val="00D81CEA"/>
    <w:rsid w:val="00D82094"/>
    <w:rsid w:val="00D82122"/>
    <w:rsid w:val="00D82181"/>
    <w:rsid w:val="00D82425"/>
    <w:rsid w:val="00D82C09"/>
    <w:rsid w:val="00D82E5D"/>
    <w:rsid w:val="00D82FC0"/>
    <w:rsid w:val="00D83103"/>
    <w:rsid w:val="00D831D0"/>
    <w:rsid w:val="00D83407"/>
    <w:rsid w:val="00D834A3"/>
    <w:rsid w:val="00D834A9"/>
    <w:rsid w:val="00D83961"/>
    <w:rsid w:val="00D83DA7"/>
    <w:rsid w:val="00D83E0D"/>
    <w:rsid w:val="00D83FAD"/>
    <w:rsid w:val="00D84511"/>
    <w:rsid w:val="00D84579"/>
    <w:rsid w:val="00D846D3"/>
    <w:rsid w:val="00D8476F"/>
    <w:rsid w:val="00D847D9"/>
    <w:rsid w:val="00D84FA4"/>
    <w:rsid w:val="00D850CF"/>
    <w:rsid w:val="00D85192"/>
    <w:rsid w:val="00D852AF"/>
    <w:rsid w:val="00D853A5"/>
    <w:rsid w:val="00D85404"/>
    <w:rsid w:val="00D8553E"/>
    <w:rsid w:val="00D85677"/>
    <w:rsid w:val="00D85A89"/>
    <w:rsid w:val="00D85AA6"/>
    <w:rsid w:val="00D85B3C"/>
    <w:rsid w:val="00D85B79"/>
    <w:rsid w:val="00D85B93"/>
    <w:rsid w:val="00D85BDD"/>
    <w:rsid w:val="00D85E47"/>
    <w:rsid w:val="00D85EBA"/>
    <w:rsid w:val="00D85F58"/>
    <w:rsid w:val="00D85FEC"/>
    <w:rsid w:val="00D86527"/>
    <w:rsid w:val="00D865F5"/>
    <w:rsid w:val="00D8668E"/>
    <w:rsid w:val="00D8676F"/>
    <w:rsid w:val="00D86953"/>
    <w:rsid w:val="00D869FB"/>
    <w:rsid w:val="00D86AE1"/>
    <w:rsid w:val="00D86B99"/>
    <w:rsid w:val="00D86DD5"/>
    <w:rsid w:val="00D86EDC"/>
    <w:rsid w:val="00D870D4"/>
    <w:rsid w:val="00D87130"/>
    <w:rsid w:val="00D871FA"/>
    <w:rsid w:val="00D87394"/>
    <w:rsid w:val="00D87618"/>
    <w:rsid w:val="00D87623"/>
    <w:rsid w:val="00D879EB"/>
    <w:rsid w:val="00D87D44"/>
    <w:rsid w:val="00D900B7"/>
    <w:rsid w:val="00D9017E"/>
    <w:rsid w:val="00D903C7"/>
    <w:rsid w:val="00D905FB"/>
    <w:rsid w:val="00D90644"/>
    <w:rsid w:val="00D908E8"/>
    <w:rsid w:val="00D9094F"/>
    <w:rsid w:val="00D9098A"/>
    <w:rsid w:val="00D9098C"/>
    <w:rsid w:val="00D909A5"/>
    <w:rsid w:val="00D909D0"/>
    <w:rsid w:val="00D90B8A"/>
    <w:rsid w:val="00D90CBF"/>
    <w:rsid w:val="00D910CC"/>
    <w:rsid w:val="00D9127B"/>
    <w:rsid w:val="00D91323"/>
    <w:rsid w:val="00D913B6"/>
    <w:rsid w:val="00D9168B"/>
    <w:rsid w:val="00D91896"/>
    <w:rsid w:val="00D9193A"/>
    <w:rsid w:val="00D91F02"/>
    <w:rsid w:val="00D91FD9"/>
    <w:rsid w:val="00D926FE"/>
    <w:rsid w:val="00D92A07"/>
    <w:rsid w:val="00D92A52"/>
    <w:rsid w:val="00D92F2D"/>
    <w:rsid w:val="00D9303B"/>
    <w:rsid w:val="00D93158"/>
    <w:rsid w:val="00D9315C"/>
    <w:rsid w:val="00D9320C"/>
    <w:rsid w:val="00D932BB"/>
    <w:rsid w:val="00D935C3"/>
    <w:rsid w:val="00D93671"/>
    <w:rsid w:val="00D937C6"/>
    <w:rsid w:val="00D93859"/>
    <w:rsid w:val="00D93A1C"/>
    <w:rsid w:val="00D93B6B"/>
    <w:rsid w:val="00D93BF1"/>
    <w:rsid w:val="00D93E47"/>
    <w:rsid w:val="00D93FF0"/>
    <w:rsid w:val="00D940AF"/>
    <w:rsid w:val="00D9426E"/>
    <w:rsid w:val="00D9448D"/>
    <w:rsid w:val="00D944E2"/>
    <w:rsid w:val="00D94544"/>
    <w:rsid w:val="00D9464E"/>
    <w:rsid w:val="00D9477B"/>
    <w:rsid w:val="00D948B9"/>
    <w:rsid w:val="00D949B5"/>
    <w:rsid w:val="00D949DA"/>
    <w:rsid w:val="00D94A49"/>
    <w:rsid w:val="00D94AEC"/>
    <w:rsid w:val="00D94E33"/>
    <w:rsid w:val="00D94ED4"/>
    <w:rsid w:val="00D94EED"/>
    <w:rsid w:val="00D94F41"/>
    <w:rsid w:val="00D9500F"/>
    <w:rsid w:val="00D950E7"/>
    <w:rsid w:val="00D9538B"/>
    <w:rsid w:val="00D95581"/>
    <w:rsid w:val="00D955B7"/>
    <w:rsid w:val="00D9588C"/>
    <w:rsid w:val="00D958E6"/>
    <w:rsid w:val="00D9598A"/>
    <w:rsid w:val="00D95BCE"/>
    <w:rsid w:val="00D95DAB"/>
    <w:rsid w:val="00D960A0"/>
    <w:rsid w:val="00D96129"/>
    <w:rsid w:val="00D96138"/>
    <w:rsid w:val="00D96296"/>
    <w:rsid w:val="00D96386"/>
    <w:rsid w:val="00D964F6"/>
    <w:rsid w:val="00D96599"/>
    <w:rsid w:val="00D96808"/>
    <w:rsid w:val="00D969EE"/>
    <w:rsid w:val="00D96B7A"/>
    <w:rsid w:val="00D96CC3"/>
    <w:rsid w:val="00D96DFD"/>
    <w:rsid w:val="00D96E75"/>
    <w:rsid w:val="00D96F33"/>
    <w:rsid w:val="00D972FB"/>
    <w:rsid w:val="00D9736C"/>
    <w:rsid w:val="00D973C2"/>
    <w:rsid w:val="00D97439"/>
    <w:rsid w:val="00D97491"/>
    <w:rsid w:val="00D9767F"/>
    <w:rsid w:val="00D977D3"/>
    <w:rsid w:val="00D97882"/>
    <w:rsid w:val="00D97F05"/>
    <w:rsid w:val="00D97FC6"/>
    <w:rsid w:val="00DA0358"/>
    <w:rsid w:val="00DA039F"/>
    <w:rsid w:val="00DA04ED"/>
    <w:rsid w:val="00DA0676"/>
    <w:rsid w:val="00DA0733"/>
    <w:rsid w:val="00DA0928"/>
    <w:rsid w:val="00DA0BCC"/>
    <w:rsid w:val="00DA0D98"/>
    <w:rsid w:val="00DA0E5F"/>
    <w:rsid w:val="00DA1171"/>
    <w:rsid w:val="00DA117A"/>
    <w:rsid w:val="00DA1359"/>
    <w:rsid w:val="00DA13C9"/>
    <w:rsid w:val="00DA1467"/>
    <w:rsid w:val="00DA16C5"/>
    <w:rsid w:val="00DA1854"/>
    <w:rsid w:val="00DA1962"/>
    <w:rsid w:val="00DA196E"/>
    <w:rsid w:val="00DA19C4"/>
    <w:rsid w:val="00DA1A6A"/>
    <w:rsid w:val="00DA1E5B"/>
    <w:rsid w:val="00DA1FE7"/>
    <w:rsid w:val="00DA2260"/>
    <w:rsid w:val="00DA284A"/>
    <w:rsid w:val="00DA29B2"/>
    <w:rsid w:val="00DA2B3B"/>
    <w:rsid w:val="00DA2E0A"/>
    <w:rsid w:val="00DA2E7A"/>
    <w:rsid w:val="00DA2F60"/>
    <w:rsid w:val="00DA30BF"/>
    <w:rsid w:val="00DA31B1"/>
    <w:rsid w:val="00DA31FF"/>
    <w:rsid w:val="00DA3400"/>
    <w:rsid w:val="00DA34B0"/>
    <w:rsid w:val="00DA3500"/>
    <w:rsid w:val="00DA35F1"/>
    <w:rsid w:val="00DA38BA"/>
    <w:rsid w:val="00DA3BAA"/>
    <w:rsid w:val="00DA3D87"/>
    <w:rsid w:val="00DA4231"/>
    <w:rsid w:val="00DA453A"/>
    <w:rsid w:val="00DA45BE"/>
    <w:rsid w:val="00DA47DC"/>
    <w:rsid w:val="00DA49F7"/>
    <w:rsid w:val="00DA4C98"/>
    <w:rsid w:val="00DA4D72"/>
    <w:rsid w:val="00DA4DFC"/>
    <w:rsid w:val="00DA4F4E"/>
    <w:rsid w:val="00DA4FC0"/>
    <w:rsid w:val="00DA503E"/>
    <w:rsid w:val="00DA5064"/>
    <w:rsid w:val="00DA5067"/>
    <w:rsid w:val="00DA506B"/>
    <w:rsid w:val="00DA5090"/>
    <w:rsid w:val="00DA50D1"/>
    <w:rsid w:val="00DA582A"/>
    <w:rsid w:val="00DA588F"/>
    <w:rsid w:val="00DA58F8"/>
    <w:rsid w:val="00DA593A"/>
    <w:rsid w:val="00DA596D"/>
    <w:rsid w:val="00DA5A00"/>
    <w:rsid w:val="00DA5A19"/>
    <w:rsid w:val="00DA618A"/>
    <w:rsid w:val="00DA64A6"/>
    <w:rsid w:val="00DA6C2E"/>
    <w:rsid w:val="00DA6D0C"/>
    <w:rsid w:val="00DA6DF6"/>
    <w:rsid w:val="00DA704C"/>
    <w:rsid w:val="00DA7138"/>
    <w:rsid w:val="00DA71F6"/>
    <w:rsid w:val="00DA73BE"/>
    <w:rsid w:val="00DA750A"/>
    <w:rsid w:val="00DA76D1"/>
    <w:rsid w:val="00DA7947"/>
    <w:rsid w:val="00DA797F"/>
    <w:rsid w:val="00DA7C17"/>
    <w:rsid w:val="00DA7CBB"/>
    <w:rsid w:val="00DA7D7D"/>
    <w:rsid w:val="00DA7FA4"/>
    <w:rsid w:val="00DB035B"/>
    <w:rsid w:val="00DB0546"/>
    <w:rsid w:val="00DB05F5"/>
    <w:rsid w:val="00DB0602"/>
    <w:rsid w:val="00DB0664"/>
    <w:rsid w:val="00DB06AD"/>
    <w:rsid w:val="00DB0828"/>
    <w:rsid w:val="00DB0924"/>
    <w:rsid w:val="00DB0A4E"/>
    <w:rsid w:val="00DB0C79"/>
    <w:rsid w:val="00DB0C9B"/>
    <w:rsid w:val="00DB0CB1"/>
    <w:rsid w:val="00DB0D83"/>
    <w:rsid w:val="00DB0FCC"/>
    <w:rsid w:val="00DB117A"/>
    <w:rsid w:val="00DB12EA"/>
    <w:rsid w:val="00DB1385"/>
    <w:rsid w:val="00DB1449"/>
    <w:rsid w:val="00DB1539"/>
    <w:rsid w:val="00DB1A57"/>
    <w:rsid w:val="00DB1AD3"/>
    <w:rsid w:val="00DB1D4C"/>
    <w:rsid w:val="00DB1EB1"/>
    <w:rsid w:val="00DB2320"/>
    <w:rsid w:val="00DB23BA"/>
    <w:rsid w:val="00DB27B9"/>
    <w:rsid w:val="00DB27EB"/>
    <w:rsid w:val="00DB2B17"/>
    <w:rsid w:val="00DB2D60"/>
    <w:rsid w:val="00DB2E4E"/>
    <w:rsid w:val="00DB2EC2"/>
    <w:rsid w:val="00DB2FE5"/>
    <w:rsid w:val="00DB31AC"/>
    <w:rsid w:val="00DB32CD"/>
    <w:rsid w:val="00DB331C"/>
    <w:rsid w:val="00DB3337"/>
    <w:rsid w:val="00DB342C"/>
    <w:rsid w:val="00DB3802"/>
    <w:rsid w:val="00DB3A7F"/>
    <w:rsid w:val="00DB3FEF"/>
    <w:rsid w:val="00DB4050"/>
    <w:rsid w:val="00DB41BC"/>
    <w:rsid w:val="00DB4410"/>
    <w:rsid w:val="00DB47C3"/>
    <w:rsid w:val="00DB4E76"/>
    <w:rsid w:val="00DB4E90"/>
    <w:rsid w:val="00DB4FA7"/>
    <w:rsid w:val="00DB4FAD"/>
    <w:rsid w:val="00DB5103"/>
    <w:rsid w:val="00DB5192"/>
    <w:rsid w:val="00DB51BE"/>
    <w:rsid w:val="00DB54A8"/>
    <w:rsid w:val="00DB54DE"/>
    <w:rsid w:val="00DB5666"/>
    <w:rsid w:val="00DB56B4"/>
    <w:rsid w:val="00DB5A87"/>
    <w:rsid w:val="00DB5C5E"/>
    <w:rsid w:val="00DB5D79"/>
    <w:rsid w:val="00DB5EA0"/>
    <w:rsid w:val="00DB5ECB"/>
    <w:rsid w:val="00DB5FF7"/>
    <w:rsid w:val="00DB6330"/>
    <w:rsid w:val="00DB6489"/>
    <w:rsid w:val="00DB6525"/>
    <w:rsid w:val="00DB6754"/>
    <w:rsid w:val="00DB6836"/>
    <w:rsid w:val="00DB69D1"/>
    <w:rsid w:val="00DB6A50"/>
    <w:rsid w:val="00DB6AC5"/>
    <w:rsid w:val="00DB6B35"/>
    <w:rsid w:val="00DB6DBE"/>
    <w:rsid w:val="00DB715F"/>
    <w:rsid w:val="00DB71DF"/>
    <w:rsid w:val="00DB72A4"/>
    <w:rsid w:val="00DB737B"/>
    <w:rsid w:val="00DB7635"/>
    <w:rsid w:val="00DB7891"/>
    <w:rsid w:val="00DB7963"/>
    <w:rsid w:val="00DB7C89"/>
    <w:rsid w:val="00DB7C8C"/>
    <w:rsid w:val="00DC005D"/>
    <w:rsid w:val="00DC00AC"/>
    <w:rsid w:val="00DC0436"/>
    <w:rsid w:val="00DC0675"/>
    <w:rsid w:val="00DC086D"/>
    <w:rsid w:val="00DC08E7"/>
    <w:rsid w:val="00DC0A3E"/>
    <w:rsid w:val="00DC0E7A"/>
    <w:rsid w:val="00DC1459"/>
    <w:rsid w:val="00DC16DC"/>
    <w:rsid w:val="00DC1B40"/>
    <w:rsid w:val="00DC1BD5"/>
    <w:rsid w:val="00DC1CEE"/>
    <w:rsid w:val="00DC1FE8"/>
    <w:rsid w:val="00DC2063"/>
    <w:rsid w:val="00DC208E"/>
    <w:rsid w:val="00DC2223"/>
    <w:rsid w:val="00DC2534"/>
    <w:rsid w:val="00DC253C"/>
    <w:rsid w:val="00DC2554"/>
    <w:rsid w:val="00DC25A7"/>
    <w:rsid w:val="00DC26CE"/>
    <w:rsid w:val="00DC290A"/>
    <w:rsid w:val="00DC297C"/>
    <w:rsid w:val="00DC2A65"/>
    <w:rsid w:val="00DC2C5B"/>
    <w:rsid w:val="00DC2DC6"/>
    <w:rsid w:val="00DC2DDD"/>
    <w:rsid w:val="00DC2E39"/>
    <w:rsid w:val="00DC2FD7"/>
    <w:rsid w:val="00DC302F"/>
    <w:rsid w:val="00DC3248"/>
    <w:rsid w:val="00DC3399"/>
    <w:rsid w:val="00DC33CE"/>
    <w:rsid w:val="00DC352E"/>
    <w:rsid w:val="00DC38C0"/>
    <w:rsid w:val="00DC3961"/>
    <w:rsid w:val="00DC3B06"/>
    <w:rsid w:val="00DC3B4C"/>
    <w:rsid w:val="00DC3BB0"/>
    <w:rsid w:val="00DC3CAF"/>
    <w:rsid w:val="00DC3DB2"/>
    <w:rsid w:val="00DC3E5A"/>
    <w:rsid w:val="00DC3F57"/>
    <w:rsid w:val="00DC3F7D"/>
    <w:rsid w:val="00DC3FEE"/>
    <w:rsid w:val="00DC417A"/>
    <w:rsid w:val="00DC45CC"/>
    <w:rsid w:val="00DC461C"/>
    <w:rsid w:val="00DC4700"/>
    <w:rsid w:val="00DC48A1"/>
    <w:rsid w:val="00DC498D"/>
    <w:rsid w:val="00DC4B2A"/>
    <w:rsid w:val="00DC4D91"/>
    <w:rsid w:val="00DC4FAB"/>
    <w:rsid w:val="00DC53E3"/>
    <w:rsid w:val="00DC556F"/>
    <w:rsid w:val="00DC5795"/>
    <w:rsid w:val="00DC5890"/>
    <w:rsid w:val="00DC5B54"/>
    <w:rsid w:val="00DC5B64"/>
    <w:rsid w:val="00DC5D01"/>
    <w:rsid w:val="00DC5DEA"/>
    <w:rsid w:val="00DC5EDD"/>
    <w:rsid w:val="00DC5F97"/>
    <w:rsid w:val="00DC60F8"/>
    <w:rsid w:val="00DC6396"/>
    <w:rsid w:val="00DC652B"/>
    <w:rsid w:val="00DC65D0"/>
    <w:rsid w:val="00DC665D"/>
    <w:rsid w:val="00DC67CB"/>
    <w:rsid w:val="00DC688A"/>
    <w:rsid w:val="00DC690D"/>
    <w:rsid w:val="00DC695B"/>
    <w:rsid w:val="00DC69ED"/>
    <w:rsid w:val="00DC6AC7"/>
    <w:rsid w:val="00DC6C25"/>
    <w:rsid w:val="00DC6C50"/>
    <w:rsid w:val="00DC6C94"/>
    <w:rsid w:val="00DC6CA8"/>
    <w:rsid w:val="00DC6E1B"/>
    <w:rsid w:val="00DC6F69"/>
    <w:rsid w:val="00DC7286"/>
    <w:rsid w:val="00DC7320"/>
    <w:rsid w:val="00DC78E5"/>
    <w:rsid w:val="00DC7C4F"/>
    <w:rsid w:val="00DC7D4E"/>
    <w:rsid w:val="00DC7EA7"/>
    <w:rsid w:val="00DC7ED6"/>
    <w:rsid w:val="00DC7F0F"/>
    <w:rsid w:val="00DC7FC4"/>
    <w:rsid w:val="00DD00F5"/>
    <w:rsid w:val="00DD011D"/>
    <w:rsid w:val="00DD030F"/>
    <w:rsid w:val="00DD0482"/>
    <w:rsid w:val="00DD04C4"/>
    <w:rsid w:val="00DD04F3"/>
    <w:rsid w:val="00DD061D"/>
    <w:rsid w:val="00DD09CF"/>
    <w:rsid w:val="00DD0A2B"/>
    <w:rsid w:val="00DD0A54"/>
    <w:rsid w:val="00DD0CA8"/>
    <w:rsid w:val="00DD0CE9"/>
    <w:rsid w:val="00DD0D06"/>
    <w:rsid w:val="00DD103B"/>
    <w:rsid w:val="00DD124B"/>
    <w:rsid w:val="00DD15DC"/>
    <w:rsid w:val="00DD18E9"/>
    <w:rsid w:val="00DD1920"/>
    <w:rsid w:val="00DD195C"/>
    <w:rsid w:val="00DD1971"/>
    <w:rsid w:val="00DD20C4"/>
    <w:rsid w:val="00DD22AB"/>
    <w:rsid w:val="00DD22FF"/>
    <w:rsid w:val="00DD2339"/>
    <w:rsid w:val="00DD238E"/>
    <w:rsid w:val="00DD23FA"/>
    <w:rsid w:val="00DD24D1"/>
    <w:rsid w:val="00DD2720"/>
    <w:rsid w:val="00DD281A"/>
    <w:rsid w:val="00DD2A54"/>
    <w:rsid w:val="00DD2AA2"/>
    <w:rsid w:val="00DD2C73"/>
    <w:rsid w:val="00DD342E"/>
    <w:rsid w:val="00DD344D"/>
    <w:rsid w:val="00DD34A0"/>
    <w:rsid w:val="00DD34C3"/>
    <w:rsid w:val="00DD3522"/>
    <w:rsid w:val="00DD3575"/>
    <w:rsid w:val="00DD36B6"/>
    <w:rsid w:val="00DD3768"/>
    <w:rsid w:val="00DD387A"/>
    <w:rsid w:val="00DD3948"/>
    <w:rsid w:val="00DD3EAA"/>
    <w:rsid w:val="00DD401A"/>
    <w:rsid w:val="00DD422F"/>
    <w:rsid w:val="00DD440A"/>
    <w:rsid w:val="00DD450F"/>
    <w:rsid w:val="00DD45E3"/>
    <w:rsid w:val="00DD45ED"/>
    <w:rsid w:val="00DD47C1"/>
    <w:rsid w:val="00DD48A8"/>
    <w:rsid w:val="00DD4CB6"/>
    <w:rsid w:val="00DD4EBA"/>
    <w:rsid w:val="00DD523D"/>
    <w:rsid w:val="00DD52C7"/>
    <w:rsid w:val="00DD52CD"/>
    <w:rsid w:val="00DD5408"/>
    <w:rsid w:val="00DD5660"/>
    <w:rsid w:val="00DD5685"/>
    <w:rsid w:val="00DD581F"/>
    <w:rsid w:val="00DD5853"/>
    <w:rsid w:val="00DD5A1B"/>
    <w:rsid w:val="00DD5A60"/>
    <w:rsid w:val="00DD5B70"/>
    <w:rsid w:val="00DD5D21"/>
    <w:rsid w:val="00DD5E50"/>
    <w:rsid w:val="00DD5E66"/>
    <w:rsid w:val="00DD60B0"/>
    <w:rsid w:val="00DD6107"/>
    <w:rsid w:val="00DD61C8"/>
    <w:rsid w:val="00DD6208"/>
    <w:rsid w:val="00DD623F"/>
    <w:rsid w:val="00DD62DD"/>
    <w:rsid w:val="00DD677C"/>
    <w:rsid w:val="00DD67B4"/>
    <w:rsid w:val="00DD6877"/>
    <w:rsid w:val="00DD691D"/>
    <w:rsid w:val="00DD6921"/>
    <w:rsid w:val="00DD69C3"/>
    <w:rsid w:val="00DD6B79"/>
    <w:rsid w:val="00DD6E65"/>
    <w:rsid w:val="00DD6ED2"/>
    <w:rsid w:val="00DD6EFC"/>
    <w:rsid w:val="00DD6F04"/>
    <w:rsid w:val="00DD7042"/>
    <w:rsid w:val="00DD70F4"/>
    <w:rsid w:val="00DD715C"/>
    <w:rsid w:val="00DD7399"/>
    <w:rsid w:val="00DD73E6"/>
    <w:rsid w:val="00DD74A0"/>
    <w:rsid w:val="00DD74AF"/>
    <w:rsid w:val="00DD7594"/>
    <w:rsid w:val="00DD7804"/>
    <w:rsid w:val="00DD7F79"/>
    <w:rsid w:val="00DE005D"/>
    <w:rsid w:val="00DE012A"/>
    <w:rsid w:val="00DE03AB"/>
    <w:rsid w:val="00DE03BB"/>
    <w:rsid w:val="00DE057A"/>
    <w:rsid w:val="00DE05A8"/>
    <w:rsid w:val="00DE05AA"/>
    <w:rsid w:val="00DE0745"/>
    <w:rsid w:val="00DE07E9"/>
    <w:rsid w:val="00DE086F"/>
    <w:rsid w:val="00DE0AD7"/>
    <w:rsid w:val="00DE0CFA"/>
    <w:rsid w:val="00DE0D92"/>
    <w:rsid w:val="00DE0F64"/>
    <w:rsid w:val="00DE11C4"/>
    <w:rsid w:val="00DE13A3"/>
    <w:rsid w:val="00DE1552"/>
    <w:rsid w:val="00DE1650"/>
    <w:rsid w:val="00DE171B"/>
    <w:rsid w:val="00DE18BB"/>
    <w:rsid w:val="00DE18BC"/>
    <w:rsid w:val="00DE194D"/>
    <w:rsid w:val="00DE1998"/>
    <w:rsid w:val="00DE1AF5"/>
    <w:rsid w:val="00DE1B6D"/>
    <w:rsid w:val="00DE1CEF"/>
    <w:rsid w:val="00DE202E"/>
    <w:rsid w:val="00DE214D"/>
    <w:rsid w:val="00DE229C"/>
    <w:rsid w:val="00DE22B6"/>
    <w:rsid w:val="00DE252B"/>
    <w:rsid w:val="00DE257A"/>
    <w:rsid w:val="00DE26AA"/>
    <w:rsid w:val="00DE2909"/>
    <w:rsid w:val="00DE2B9F"/>
    <w:rsid w:val="00DE2CDC"/>
    <w:rsid w:val="00DE2E5E"/>
    <w:rsid w:val="00DE2F02"/>
    <w:rsid w:val="00DE2F93"/>
    <w:rsid w:val="00DE3047"/>
    <w:rsid w:val="00DE3136"/>
    <w:rsid w:val="00DE33F8"/>
    <w:rsid w:val="00DE35EB"/>
    <w:rsid w:val="00DE36A6"/>
    <w:rsid w:val="00DE373F"/>
    <w:rsid w:val="00DE386A"/>
    <w:rsid w:val="00DE3A3F"/>
    <w:rsid w:val="00DE3BDE"/>
    <w:rsid w:val="00DE3C9B"/>
    <w:rsid w:val="00DE3CD0"/>
    <w:rsid w:val="00DE3E1B"/>
    <w:rsid w:val="00DE41B5"/>
    <w:rsid w:val="00DE4350"/>
    <w:rsid w:val="00DE4702"/>
    <w:rsid w:val="00DE47DC"/>
    <w:rsid w:val="00DE491F"/>
    <w:rsid w:val="00DE4D5A"/>
    <w:rsid w:val="00DE4E95"/>
    <w:rsid w:val="00DE5001"/>
    <w:rsid w:val="00DE504C"/>
    <w:rsid w:val="00DE505E"/>
    <w:rsid w:val="00DE52D6"/>
    <w:rsid w:val="00DE54DA"/>
    <w:rsid w:val="00DE556D"/>
    <w:rsid w:val="00DE5647"/>
    <w:rsid w:val="00DE57BF"/>
    <w:rsid w:val="00DE59BF"/>
    <w:rsid w:val="00DE5A53"/>
    <w:rsid w:val="00DE5AF6"/>
    <w:rsid w:val="00DE5B70"/>
    <w:rsid w:val="00DE5C72"/>
    <w:rsid w:val="00DE5EFF"/>
    <w:rsid w:val="00DE621D"/>
    <w:rsid w:val="00DE6321"/>
    <w:rsid w:val="00DE635B"/>
    <w:rsid w:val="00DE63E1"/>
    <w:rsid w:val="00DE64D0"/>
    <w:rsid w:val="00DE668F"/>
    <w:rsid w:val="00DE6794"/>
    <w:rsid w:val="00DE6915"/>
    <w:rsid w:val="00DE6B5C"/>
    <w:rsid w:val="00DE6FE9"/>
    <w:rsid w:val="00DE717D"/>
    <w:rsid w:val="00DE71C1"/>
    <w:rsid w:val="00DE7262"/>
    <w:rsid w:val="00DE72E4"/>
    <w:rsid w:val="00DE7381"/>
    <w:rsid w:val="00DE7384"/>
    <w:rsid w:val="00DE7561"/>
    <w:rsid w:val="00DE75DF"/>
    <w:rsid w:val="00DE7696"/>
    <w:rsid w:val="00DE76CE"/>
    <w:rsid w:val="00DE76F1"/>
    <w:rsid w:val="00DE77B9"/>
    <w:rsid w:val="00DE79B8"/>
    <w:rsid w:val="00DE7BEE"/>
    <w:rsid w:val="00DE7EB2"/>
    <w:rsid w:val="00DF0003"/>
    <w:rsid w:val="00DF0328"/>
    <w:rsid w:val="00DF057D"/>
    <w:rsid w:val="00DF06E9"/>
    <w:rsid w:val="00DF0714"/>
    <w:rsid w:val="00DF07DE"/>
    <w:rsid w:val="00DF08CB"/>
    <w:rsid w:val="00DF0D57"/>
    <w:rsid w:val="00DF0D9A"/>
    <w:rsid w:val="00DF1089"/>
    <w:rsid w:val="00DF1145"/>
    <w:rsid w:val="00DF12B4"/>
    <w:rsid w:val="00DF14ED"/>
    <w:rsid w:val="00DF150F"/>
    <w:rsid w:val="00DF1803"/>
    <w:rsid w:val="00DF1A2D"/>
    <w:rsid w:val="00DF1B4C"/>
    <w:rsid w:val="00DF1C16"/>
    <w:rsid w:val="00DF1E44"/>
    <w:rsid w:val="00DF1E73"/>
    <w:rsid w:val="00DF1FD8"/>
    <w:rsid w:val="00DF20C7"/>
    <w:rsid w:val="00DF2156"/>
    <w:rsid w:val="00DF215D"/>
    <w:rsid w:val="00DF23C2"/>
    <w:rsid w:val="00DF2514"/>
    <w:rsid w:val="00DF2861"/>
    <w:rsid w:val="00DF288C"/>
    <w:rsid w:val="00DF2D9E"/>
    <w:rsid w:val="00DF2DEC"/>
    <w:rsid w:val="00DF2E50"/>
    <w:rsid w:val="00DF31B2"/>
    <w:rsid w:val="00DF31FC"/>
    <w:rsid w:val="00DF32D6"/>
    <w:rsid w:val="00DF337A"/>
    <w:rsid w:val="00DF362B"/>
    <w:rsid w:val="00DF3684"/>
    <w:rsid w:val="00DF3761"/>
    <w:rsid w:val="00DF3987"/>
    <w:rsid w:val="00DF3ABA"/>
    <w:rsid w:val="00DF3BB3"/>
    <w:rsid w:val="00DF3C30"/>
    <w:rsid w:val="00DF3C8E"/>
    <w:rsid w:val="00DF3D2F"/>
    <w:rsid w:val="00DF3D47"/>
    <w:rsid w:val="00DF3FDE"/>
    <w:rsid w:val="00DF4211"/>
    <w:rsid w:val="00DF43E1"/>
    <w:rsid w:val="00DF44F9"/>
    <w:rsid w:val="00DF4789"/>
    <w:rsid w:val="00DF4A73"/>
    <w:rsid w:val="00DF4B58"/>
    <w:rsid w:val="00DF4B62"/>
    <w:rsid w:val="00DF4BE6"/>
    <w:rsid w:val="00DF4C4E"/>
    <w:rsid w:val="00DF4C72"/>
    <w:rsid w:val="00DF4D02"/>
    <w:rsid w:val="00DF4FD4"/>
    <w:rsid w:val="00DF5CB0"/>
    <w:rsid w:val="00DF5DC5"/>
    <w:rsid w:val="00DF5F20"/>
    <w:rsid w:val="00DF5F2C"/>
    <w:rsid w:val="00DF61C2"/>
    <w:rsid w:val="00DF63A7"/>
    <w:rsid w:val="00DF640B"/>
    <w:rsid w:val="00DF6665"/>
    <w:rsid w:val="00DF6B1D"/>
    <w:rsid w:val="00DF6B4F"/>
    <w:rsid w:val="00DF6C07"/>
    <w:rsid w:val="00DF6DE0"/>
    <w:rsid w:val="00DF6EC0"/>
    <w:rsid w:val="00DF6F51"/>
    <w:rsid w:val="00DF7065"/>
    <w:rsid w:val="00DF7408"/>
    <w:rsid w:val="00DF763B"/>
    <w:rsid w:val="00DF7A69"/>
    <w:rsid w:val="00E0028C"/>
    <w:rsid w:val="00E00335"/>
    <w:rsid w:val="00E006F4"/>
    <w:rsid w:val="00E0070B"/>
    <w:rsid w:val="00E00844"/>
    <w:rsid w:val="00E009DA"/>
    <w:rsid w:val="00E009FB"/>
    <w:rsid w:val="00E00BA6"/>
    <w:rsid w:val="00E00CB8"/>
    <w:rsid w:val="00E00CC5"/>
    <w:rsid w:val="00E00DC6"/>
    <w:rsid w:val="00E01151"/>
    <w:rsid w:val="00E0146D"/>
    <w:rsid w:val="00E0167C"/>
    <w:rsid w:val="00E017FC"/>
    <w:rsid w:val="00E01825"/>
    <w:rsid w:val="00E01834"/>
    <w:rsid w:val="00E01A9B"/>
    <w:rsid w:val="00E01AED"/>
    <w:rsid w:val="00E01B8F"/>
    <w:rsid w:val="00E01C49"/>
    <w:rsid w:val="00E01D0B"/>
    <w:rsid w:val="00E01E30"/>
    <w:rsid w:val="00E01ECD"/>
    <w:rsid w:val="00E01FA3"/>
    <w:rsid w:val="00E01FC4"/>
    <w:rsid w:val="00E02054"/>
    <w:rsid w:val="00E02445"/>
    <w:rsid w:val="00E02779"/>
    <w:rsid w:val="00E028DD"/>
    <w:rsid w:val="00E029FF"/>
    <w:rsid w:val="00E02AA6"/>
    <w:rsid w:val="00E02B63"/>
    <w:rsid w:val="00E031C7"/>
    <w:rsid w:val="00E03335"/>
    <w:rsid w:val="00E03656"/>
    <w:rsid w:val="00E03838"/>
    <w:rsid w:val="00E0391B"/>
    <w:rsid w:val="00E039A9"/>
    <w:rsid w:val="00E039D3"/>
    <w:rsid w:val="00E03C07"/>
    <w:rsid w:val="00E03DAC"/>
    <w:rsid w:val="00E03E8C"/>
    <w:rsid w:val="00E042EF"/>
    <w:rsid w:val="00E04426"/>
    <w:rsid w:val="00E04508"/>
    <w:rsid w:val="00E047CF"/>
    <w:rsid w:val="00E04804"/>
    <w:rsid w:val="00E04926"/>
    <w:rsid w:val="00E04A6B"/>
    <w:rsid w:val="00E050F6"/>
    <w:rsid w:val="00E0517E"/>
    <w:rsid w:val="00E0546A"/>
    <w:rsid w:val="00E0551B"/>
    <w:rsid w:val="00E05522"/>
    <w:rsid w:val="00E056DA"/>
    <w:rsid w:val="00E0577E"/>
    <w:rsid w:val="00E05B57"/>
    <w:rsid w:val="00E05D6E"/>
    <w:rsid w:val="00E06059"/>
    <w:rsid w:val="00E0607F"/>
    <w:rsid w:val="00E06087"/>
    <w:rsid w:val="00E0655F"/>
    <w:rsid w:val="00E067CE"/>
    <w:rsid w:val="00E067DF"/>
    <w:rsid w:val="00E06BEC"/>
    <w:rsid w:val="00E06F2E"/>
    <w:rsid w:val="00E06FDF"/>
    <w:rsid w:val="00E0733F"/>
    <w:rsid w:val="00E077FC"/>
    <w:rsid w:val="00E079E3"/>
    <w:rsid w:val="00E07AEB"/>
    <w:rsid w:val="00E07C2E"/>
    <w:rsid w:val="00E07C5D"/>
    <w:rsid w:val="00E100F8"/>
    <w:rsid w:val="00E10401"/>
    <w:rsid w:val="00E10648"/>
    <w:rsid w:val="00E106FE"/>
    <w:rsid w:val="00E10717"/>
    <w:rsid w:val="00E10938"/>
    <w:rsid w:val="00E10A28"/>
    <w:rsid w:val="00E1144C"/>
    <w:rsid w:val="00E11524"/>
    <w:rsid w:val="00E116BE"/>
    <w:rsid w:val="00E118C6"/>
    <w:rsid w:val="00E11D66"/>
    <w:rsid w:val="00E12062"/>
    <w:rsid w:val="00E1236E"/>
    <w:rsid w:val="00E1243D"/>
    <w:rsid w:val="00E12475"/>
    <w:rsid w:val="00E12492"/>
    <w:rsid w:val="00E12D29"/>
    <w:rsid w:val="00E12D99"/>
    <w:rsid w:val="00E13105"/>
    <w:rsid w:val="00E13367"/>
    <w:rsid w:val="00E13827"/>
    <w:rsid w:val="00E13AF8"/>
    <w:rsid w:val="00E13BDA"/>
    <w:rsid w:val="00E13D7C"/>
    <w:rsid w:val="00E13F12"/>
    <w:rsid w:val="00E13FCB"/>
    <w:rsid w:val="00E13FEC"/>
    <w:rsid w:val="00E14407"/>
    <w:rsid w:val="00E14815"/>
    <w:rsid w:val="00E14967"/>
    <w:rsid w:val="00E14AD9"/>
    <w:rsid w:val="00E14BBF"/>
    <w:rsid w:val="00E14D1A"/>
    <w:rsid w:val="00E15154"/>
    <w:rsid w:val="00E15184"/>
    <w:rsid w:val="00E151E7"/>
    <w:rsid w:val="00E152DD"/>
    <w:rsid w:val="00E15359"/>
    <w:rsid w:val="00E15424"/>
    <w:rsid w:val="00E1549B"/>
    <w:rsid w:val="00E155E9"/>
    <w:rsid w:val="00E15645"/>
    <w:rsid w:val="00E158A7"/>
    <w:rsid w:val="00E15AEE"/>
    <w:rsid w:val="00E15B7D"/>
    <w:rsid w:val="00E15C31"/>
    <w:rsid w:val="00E15DEF"/>
    <w:rsid w:val="00E15E9E"/>
    <w:rsid w:val="00E1604C"/>
    <w:rsid w:val="00E166D1"/>
    <w:rsid w:val="00E16751"/>
    <w:rsid w:val="00E16C91"/>
    <w:rsid w:val="00E16D47"/>
    <w:rsid w:val="00E16D97"/>
    <w:rsid w:val="00E16F0D"/>
    <w:rsid w:val="00E1706C"/>
    <w:rsid w:val="00E17168"/>
    <w:rsid w:val="00E17465"/>
    <w:rsid w:val="00E175E8"/>
    <w:rsid w:val="00E1778B"/>
    <w:rsid w:val="00E17B6C"/>
    <w:rsid w:val="00E17E15"/>
    <w:rsid w:val="00E17E72"/>
    <w:rsid w:val="00E200AC"/>
    <w:rsid w:val="00E200FF"/>
    <w:rsid w:val="00E2037A"/>
    <w:rsid w:val="00E2046C"/>
    <w:rsid w:val="00E20484"/>
    <w:rsid w:val="00E204E9"/>
    <w:rsid w:val="00E2050A"/>
    <w:rsid w:val="00E2058C"/>
    <w:rsid w:val="00E20701"/>
    <w:rsid w:val="00E20779"/>
    <w:rsid w:val="00E20A80"/>
    <w:rsid w:val="00E20D41"/>
    <w:rsid w:val="00E20D9B"/>
    <w:rsid w:val="00E20DAC"/>
    <w:rsid w:val="00E20E40"/>
    <w:rsid w:val="00E21024"/>
    <w:rsid w:val="00E2137A"/>
    <w:rsid w:val="00E2139C"/>
    <w:rsid w:val="00E21540"/>
    <w:rsid w:val="00E2154B"/>
    <w:rsid w:val="00E2160C"/>
    <w:rsid w:val="00E21D1A"/>
    <w:rsid w:val="00E21F0E"/>
    <w:rsid w:val="00E220F4"/>
    <w:rsid w:val="00E22244"/>
    <w:rsid w:val="00E2241A"/>
    <w:rsid w:val="00E225C9"/>
    <w:rsid w:val="00E22609"/>
    <w:rsid w:val="00E227E5"/>
    <w:rsid w:val="00E22944"/>
    <w:rsid w:val="00E22C8F"/>
    <w:rsid w:val="00E22D97"/>
    <w:rsid w:val="00E22F89"/>
    <w:rsid w:val="00E233AB"/>
    <w:rsid w:val="00E23447"/>
    <w:rsid w:val="00E23449"/>
    <w:rsid w:val="00E23BF1"/>
    <w:rsid w:val="00E241C3"/>
    <w:rsid w:val="00E243C8"/>
    <w:rsid w:val="00E24641"/>
    <w:rsid w:val="00E24701"/>
    <w:rsid w:val="00E24726"/>
    <w:rsid w:val="00E24767"/>
    <w:rsid w:val="00E24924"/>
    <w:rsid w:val="00E24A37"/>
    <w:rsid w:val="00E24C66"/>
    <w:rsid w:val="00E24E2F"/>
    <w:rsid w:val="00E2519C"/>
    <w:rsid w:val="00E25221"/>
    <w:rsid w:val="00E25594"/>
    <w:rsid w:val="00E256E1"/>
    <w:rsid w:val="00E25A00"/>
    <w:rsid w:val="00E25BD0"/>
    <w:rsid w:val="00E25BFB"/>
    <w:rsid w:val="00E25C09"/>
    <w:rsid w:val="00E25DBD"/>
    <w:rsid w:val="00E25F56"/>
    <w:rsid w:val="00E25FE8"/>
    <w:rsid w:val="00E26113"/>
    <w:rsid w:val="00E2618C"/>
    <w:rsid w:val="00E26373"/>
    <w:rsid w:val="00E26387"/>
    <w:rsid w:val="00E263BF"/>
    <w:rsid w:val="00E2661F"/>
    <w:rsid w:val="00E266A4"/>
    <w:rsid w:val="00E266CE"/>
    <w:rsid w:val="00E266F6"/>
    <w:rsid w:val="00E26716"/>
    <w:rsid w:val="00E26BF5"/>
    <w:rsid w:val="00E26DB6"/>
    <w:rsid w:val="00E26F43"/>
    <w:rsid w:val="00E27148"/>
    <w:rsid w:val="00E27271"/>
    <w:rsid w:val="00E27320"/>
    <w:rsid w:val="00E2736B"/>
    <w:rsid w:val="00E273AF"/>
    <w:rsid w:val="00E274A3"/>
    <w:rsid w:val="00E27609"/>
    <w:rsid w:val="00E2774D"/>
    <w:rsid w:val="00E279EF"/>
    <w:rsid w:val="00E27B10"/>
    <w:rsid w:val="00E27BBB"/>
    <w:rsid w:val="00E27DA9"/>
    <w:rsid w:val="00E27EDD"/>
    <w:rsid w:val="00E3001F"/>
    <w:rsid w:val="00E30104"/>
    <w:rsid w:val="00E30169"/>
    <w:rsid w:val="00E3035F"/>
    <w:rsid w:val="00E30531"/>
    <w:rsid w:val="00E31383"/>
    <w:rsid w:val="00E314CD"/>
    <w:rsid w:val="00E3150B"/>
    <w:rsid w:val="00E316A7"/>
    <w:rsid w:val="00E316F2"/>
    <w:rsid w:val="00E317EA"/>
    <w:rsid w:val="00E318A0"/>
    <w:rsid w:val="00E318BF"/>
    <w:rsid w:val="00E319ED"/>
    <w:rsid w:val="00E31B2B"/>
    <w:rsid w:val="00E31BA9"/>
    <w:rsid w:val="00E31C83"/>
    <w:rsid w:val="00E31D22"/>
    <w:rsid w:val="00E31D70"/>
    <w:rsid w:val="00E321DB"/>
    <w:rsid w:val="00E323B3"/>
    <w:rsid w:val="00E32648"/>
    <w:rsid w:val="00E326C5"/>
    <w:rsid w:val="00E32C42"/>
    <w:rsid w:val="00E332A4"/>
    <w:rsid w:val="00E33A0A"/>
    <w:rsid w:val="00E33A61"/>
    <w:rsid w:val="00E33B5F"/>
    <w:rsid w:val="00E33DEB"/>
    <w:rsid w:val="00E33F2B"/>
    <w:rsid w:val="00E3410C"/>
    <w:rsid w:val="00E34126"/>
    <w:rsid w:val="00E3434F"/>
    <w:rsid w:val="00E34601"/>
    <w:rsid w:val="00E34605"/>
    <w:rsid w:val="00E349D5"/>
    <w:rsid w:val="00E349FC"/>
    <w:rsid w:val="00E34A8F"/>
    <w:rsid w:val="00E34D66"/>
    <w:rsid w:val="00E34DCB"/>
    <w:rsid w:val="00E34ECD"/>
    <w:rsid w:val="00E34EE6"/>
    <w:rsid w:val="00E35306"/>
    <w:rsid w:val="00E353A7"/>
    <w:rsid w:val="00E35847"/>
    <w:rsid w:val="00E35923"/>
    <w:rsid w:val="00E35FB9"/>
    <w:rsid w:val="00E35FE6"/>
    <w:rsid w:val="00E362C5"/>
    <w:rsid w:val="00E3662C"/>
    <w:rsid w:val="00E36661"/>
    <w:rsid w:val="00E369DE"/>
    <w:rsid w:val="00E36A56"/>
    <w:rsid w:val="00E36A68"/>
    <w:rsid w:val="00E36B02"/>
    <w:rsid w:val="00E36C7A"/>
    <w:rsid w:val="00E36EFC"/>
    <w:rsid w:val="00E371C7"/>
    <w:rsid w:val="00E371FB"/>
    <w:rsid w:val="00E37353"/>
    <w:rsid w:val="00E373A2"/>
    <w:rsid w:val="00E37675"/>
    <w:rsid w:val="00E379AF"/>
    <w:rsid w:val="00E37AAE"/>
    <w:rsid w:val="00E37D42"/>
    <w:rsid w:val="00E37E4C"/>
    <w:rsid w:val="00E37E61"/>
    <w:rsid w:val="00E40123"/>
    <w:rsid w:val="00E401D8"/>
    <w:rsid w:val="00E40207"/>
    <w:rsid w:val="00E4073B"/>
    <w:rsid w:val="00E407D5"/>
    <w:rsid w:val="00E408AF"/>
    <w:rsid w:val="00E40987"/>
    <w:rsid w:val="00E40D2B"/>
    <w:rsid w:val="00E40E6C"/>
    <w:rsid w:val="00E41034"/>
    <w:rsid w:val="00E4112C"/>
    <w:rsid w:val="00E412B5"/>
    <w:rsid w:val="00E413DB"/>
    <w:rsid w:val="00E41451"/>
    <w:rsid w:val="00E414A7"/>
    <w:rsid w:val="00E417E8"/>
    <w:rsid w:val="00E41905"/>
    <w:rsid w:val="00E4202A"/>
    <w:rsid w:val="00E42075"/>
    <w:rsid w:val="00E42242"/>
    <w:rsid w:val="00E42253"/>
    <w:rsid w:val="00E42344"/>
    <w:rsid w:val="00E42436"/>
    <w:rsid w:val="00E42515"/>
    <w:rsid w:val="00E425ED"/>
    <w:rsid w:val="00E427A4"/>
    <w:rsid w:val="00E42A82"/>
    <w:rsid w:val="00E42AC9"/>
    <w:rsid w:val="00E43004"/>
    <w:rsid w:val="00E43039"/>
    <w:rsid w:val="00E43069"/>
    <w:rsid w:val="00E430D7"/>
    <w:rsid w:val="00E430EE"/>
    <w:rsid w:val="00E432A7"/>
    <w:rsid w:val="00E432F2"/>
    <w:rsid w:val="00E4333C"/>
    <w:rsid w:val="00E434EB"/>
    <w:rsid w:val="00E434EF"/>
    <w:rsid w:val="00E4362E"/>
    <w:rsid w:val="00E43664"/>
    <w:rsid w:val="00E4399E"/>
    <w:rsid w:val="00E43A54"/>
    <w:rsid w:val="00E43AB6"/>
    <w:rsid w:val="00E43E8D"/>
    <w:rsid w:val="00E43FD2"/>
    <w:rsid w:val="00E4413D"/>
    <w:rsid w:val="00E4425F"/>
    <w:rsid w:val="00E44498"/>
    <w:rsid w:val="00E445D4"/>
    <w:rsid w:val="00E4463E"/>
    <w:rsid w:val="00E4464B"/>
    <w:rsid w:val="00E44833"/>
    <w:rsid w:val="00E448A7"/>
    <w:rsid w:val="00E448D5"/>
    <w:rsid w:val="00E448E0"/>
    <w:rsid w:val="00E44B4F"/>
    <w:rsid w:val="00E44D3D"/>
    <w:rsid w:val="00E44F2C"/>
    <w:rsid w:val="00E4506F"/>
    <w:rsid w:val="00E457C4"/>
    <w:rsid w:val="00E45847"/>
    <w:rsid w:val="00E459E3"/>
    <w:rsid w:val="00E45AD8"/>
    <w:rsid w:val="00E45C6A"/>
    <w:rsid w:val="00E45CF6"/>
    <w:rsid w:val="00E45D28"/>
    <w:rsid w:val="00E45D78"/>
    <w:rsid w:val="00E45F9E"/>
    <w:rsid w:val="00E45FE2"/>
    <w:rsid w:val="00E461D9"/>
    <w:rsid w:val="00E46490"/>
    <w:rsid w:val="00E46998"/>
    <w:rsid w:val="00E46C8D"/>
    <w:rsid w:val="00E46CA2"/>
    <w:rsid w:val="00E47108"/>
    <w:rsid w:val="00E473E1"/>
    <w:rsid w:val="00E474E8"/>
    <w:rsid w:val="00E476FA"/>
    <w:rsid w:val="00E47948"/>
    <w:rsid w:val="00E47B27"/>
    <w:rsid w:val="00E47EA6"/>
    <w:rsid w:val="00E50007"/>
    <w:rsid w:val="00E501C1"/>
    <w:rsid w:val="00E50811"/>
    <w:rsid w:val="00E50A80"/>
    <w:rsid w:val="00E50BB2"/>
    <w:rsid w:val="00E5115E"/>
    <w:rsid w:val="00E51605"/>
    <w:rsid w:val="00E5176D"/>
    <w:rsid w:val="00E519B8"/>
    <w:rsid w:val="00E51A7B"/>
    <w:rsid w:val="00E51C43"/>
    <w:rsid w:val="00E51D51"/>
    <w:rsid w:val="00E51F93"/>
    <w:rsid w:val="00E51FA7"/>
    <w:rsid w:val="00E520EC"/>
    <w:rsid w:val="00E52299"/>
    <w:rsid w:val="00E526FD"/>
    <w:rsid w:val="00E5270B"/>
    <w:rsid w:val="00E52737"/>
    <w:rsid w:val="00E528EC"/>
    <w:rsid w:val="00E52D30"/>
    <w:rsid w:val="00E52F39"/>
    <w:rsid w:val="00E5344A"/>
    <w:rsid w:val="00E53719"/>
    <w:rsid w:val="00E5382A"/>
    <w:rsid w:val="00E53889"/>
    <w:rsid w:val="00E53950"/>
    <w:rsid w:val="00E53C9A"/>
    <w:rsid w:val="00E53D96"/>
    <w:rsid w:val="00E53E8A"/>
    <w:rsid w:val="00E540E4"/>
    <w:rsid w:val="00E5417A"/>
    <w:rsid w:val="00E54476"/>
    <w:rsid w:val="00E54623"/>
    <w:rsid w:val="00E5473A"/>
    <w:rsid w:val="00E54974"/>
    <w:rsid w:val="00E5499E"/>
    <w:rsid w:val="00E54AD3"/>
    <w:rsid w:val="00E54BEF"/>
    <w:rsid w:val="00E5521D"/>
    <w:rsid w:val="00E552CF"/>
    <w:rsid w:val="00E55335"/>
    <w:rsid w:val="00E5549E"/>
    <w:rsid w:val="00E55568"/>
    <w:rsid w:val="00E555B7"/>
    <w:rsid w:val="00E555D4"/>
    <w:rsid w:val="00E5570B"/>
    <w:rsid w:val="00E55880"/>
    <w:rsid w:val="00E56054"/>
    <w:rsid w:val="00E562BD"/>
    <w:rsid w:val="00E563F8"/>
    <w:rsid w:val="00E56435"/>
    <w:rsid w:val="00E56499"/>
    <w:rsid w:val="00E56993"/>
    <w:rsid w:val="00E56D9A"/>
    <w:rsid w:val="00E56EA1"/>
    <w:rsid w:val="00E56F38"/>
    <w:rsid w:val="00E56F4A"/>
    <w:rsid w:val="00E5710F"/>
    <w:rsid w:val="00E571DB"/>
    <w:rsid w:val="00E57408"/>
    <w:rsid w:val="00E57626"/>
    <w:rsid w:val="00E5769A"/>
    <w:rsid w:val="00E5785E"/>
    <w:rsid w:val="00E57940"/>
    <w:rsid w:val="00E57AF9"/>
    <w:rsid w:val="00E57D8F"/>
    <w:rsid w:val="00E57DF6"/>
    <w:rsid w:val="00E57FED"/>
    <w:rsid w:val="00E57FFB"/>
    <w:rsid w:val="00E6010F"/>
    <w:rsid w:val="00E60158"/>
    <w:rsid w:val="00E604FA"/>
    <w:rsid w:val="00E607EF"/>
    <w:rsid w:val="00E60AE5"/>
    <w:rsid w:val="00E60BAC"/>
    <w:rsid w:val="00E60C13"/>
    <w:rsid w:val="00E60DC3"/>
    <w:rsid w:val="00E60E4B"/>
    <w:rsid w:val="00E60F87"/>
    <w:rsid w:val="00E610A8"/>
    <w:rsid w:val="00E611E2"/>
    <w:rsid w:val="00E613F6"/>
    <w:rsid w:val="00E6177F"/>
    <w:rsid w:val="00E6216F"/>
    <w:rsid w:val="00E62223"/>
    <w:rsid w:val="00E6240C"/>
    <w:rsid w:val="00E62625"/>
    <w:rsid w:val="00E6265D"/>
    <w:rsid w:val="00E62A7D"/>
    <w:rsid w:val="00E62B99"/>
    <w:rsid w:val="00E62BDD"/>
    <w:rsid w:val="00E62CDB"/>
    <w:rsid w:val="00E62E4C"/>
    <w:rsid w:val="00E62F16"/>
    <w:rsid w:val="00E630AD"/>
    <w:rsid w:val="00E631D2"/>
    <w:rsid w:val="00E6340A"/>
    <w:rsid w:val="00E634D0"/>
    <w:rsid w:val="00E63599"/>
    <w:rsid w:val="00E63668"/>
    <w:rsid w:val="00E639E1"/>
    <w:rsid w:val="00E63A23"/>
    <w:rsid w:val="00E63AD6"/>
    <w:rsid w:val="00E63B04"/>
    <w:rsid w:val="00E63B3D"/>
    <w:rsid w:val="00E64114"/>
    <w:rsid w:val="00E64206"/>
    <w:rsid w:val="00E648DE"/>
    <w:rsid w:val="00E64ADE"/>
    <w:rsid w:val="00E64E67"/>
    <w:rsid w:val="00E64E90"/>
    <w:rsid w:val="00E64ECA"/>
    <w:rsid w:val="00E65078"/>
    <w:rsid w:val="00E6507C"/>
    <w:rsid w:val="00E650EB"/>
    <w:rsid w:val="00E652ED"/>
    <w:rsid w:val="00E654CB"/>
    <w:rsid w:val="00E65572"/>
    <w:rsid w:val="00E65584"/>
    <w:rsid w:val="00E6570D"/>
    <w:rsid w:val="00E65893"/>
    <w:rsid w:val="00E65AD4"/>
    <w:rsid w:val="00E65BA3"/>
    <w:rsid w:val="00E65C05"/>
    <w:rsid w:val="00E65C13"/>
    <w:rsid w:val="00E65EC1"/>
    <w:rsid w:val="00E6600D"/>
    <w:rsid w:val="00E66184"/>
    <w:rsid w:val="00E6627D"/>
    <w:rsid w:val="00E662EB"/>
    <w:rsid w:val="00E6665D"/>
    <w:rsid w:val="00E66B56"/>
    <w:rsid w:val="00E66B61"/>
    <w:rsid w:val="00E66B75"/>
    <w:rsid w:val="00E66CB0"/>
    <w:rsid w:val="00E66F1A"/>
    <w:rsid w:val="00E671E9"/>
    <w:rsid w:val="00E6747B"/>
    <w:rsid w:val="00E674C2"/>
    <w:rsid w:val="00E676EA"/>
    <w:rsid w:val="00E67D2C"/>
    <w:rsid w:val="00E67DAD"/>
    <w:rsid w:val="00E67EEB"/>
    <w:rsid w:val="00E701B6"/>
    <w:rsid w:val="00E7043F"/>
    <w:rsid w:val="00E704C6"/>
    <w:rsid w:val="00E706BD"/>
    <w:rsid w:val="00E706E9"/>
    <w:rsid w:val="00E7074C"/>
    <w:rsid w:val="00E708A1"/>
    <w:rsid w:val="00E70AA0"/>
    <w:rsid w:val="00E70E36"/>
    <w:rsid w:val="00E70EA2"/>
    <w:rsid w:val="00E70EDE"/>
    <w:rsid w:val="00E70F5D"/>
    <w:rsid w:val="00E710A4"/>
    <w:rsid w:val="00E71273"/>
    <w:rsid w:val="00E7144E"/>
    <w:rsid w:val="00E715D3"/>
    <w:rsid w:val="00E715DE"/>
    <w:rsid w:val="00E71A35"/>
    <w:rsid w:val="00E71AB9"/>
    <w:rsid w:val="00E71B5E"/>
    <w:rsid w:val="00E71C11"/>
    <w:rsid w:val="00E71D00"/>
    <w:rsid w:val="00E71FFB"/>
    <w:rsid w:val="00E72026"/>
    <w:rsid w:val="00E72061"/>
    <w:rsid w:val="00E72167"/>
    <w:rsid w:val="00E72536"/>
    <w:rsid w:val="00E725BB"/>
    <w:rsid w:val="00E725E0"/>
    <w:rsid w:val="00E72679"/>
    <w:rsid w:val="00E72857"/>
    <w:rsid w:val="00E72A49"/>
    <w:rsid w:val="00E72AE9"/>
    <w:rsid w:val="00E72B58"/>
    <w:rsid w:val="00E72EA7"/>
    <w:rsid w:val="00E731E7"/>
    <w:rsid w:val="00E73301"/>
    <w:rsid w:val="00E7335F"/>
    <w:rsid w:val="00E7351B"/>
    <w:rsid w:val="00E7357F"/>
    <w:rsid w:val="00E739C0"/>
    <w:rsid w:val="00E73A6D"/>
    <w:rsid w:val="00E73E14"/>
    <w:rsid w:val="00E741E4"/>
    <w:rsid w:val="00E7460F"/>
    <w:rsid w:val="00E74681"/>
    <w:rsid w:val="00E747C0"/>
    <w:rsid w:val="00E7485A"/>
    <w:rsid w:val="00E7486C"/>
    <w:rsid w:val="00E7490E"/>
    <w:rsid w:val="00E749E9"/>
    <w:rsid w:val="00E74A7A"/>
    <w:rsid w:val="00E74AA1"/>
    <w:rsid w:val="00E74BC5"/>
    <w:rsid w:val="00E74F5A"/>
    <w:rsid w:val="00E74FB4"/>
    <w:rsid w:val="00E7500C"/>
    <w:rsid w:val="00E7503A"/>
    <w:rsid w:val="00E754EB"/>
    <w:rsid w:val="00E7557C"/>
    <w:rsid w:val="00E75608"/>
    <w:rsid w:val="00E75682"/>
    <w:rsid w:val="00E756F3"/>
    <w:rsid w:val="00E75731"/>
    <w:rsid w:val="00E7592B"/>
    <w:rsid w:val="00E75949"/>
    <w:rsid w:val="00E75EC6"/>
    <w:rsid w:val="00E7604A"/>
    <w:rsid w:val="00E76195"/>
    <w:rsid w:val="00E76248"/>
    <w:rsid w:val="00E76435"/>
    <w:rsid w:val="00E76A0E"/>
    <w:rsid w:val="00E76A3D"/>
    <w:rsid w:val="00E76AAA"/>
    <w:rsid w:val="00E76B0A"/>
    <w:rsid w:val="00E76B4A"/>
    <w:rsid w:val="00E76D1D"/>
    <w:rsid w:val="00E76F2E"/>
    <w:rsid w:val="00E76FFF"/>
    <w:rsid w:val="00E77210"/>
    <w:rsid w:val="00E774D8"/>
    <w:rsid w:val="00E778DD"/>
    <w:rsid w:val="00E77908"/>
    <w:rsid w:val="00E7791F"/>
    <w:rsid w:val="00E77DB3"/>
    <w:rsid w:val="00E77EC0"/>
    <w:rsid w:val="00E8022C"/>
    <w:rsid w:val="00E8029E"/>
    <w:rsid w:val="00E8033F"/>
    <w:rsid w:val="00E805B9"/>
    <w:rsid w:val="00E80642"/>
    <w:rsid w:val="00E8068A"/>
    <w:rsid w:val="00E80A88"/>
    <w:rsid w:val="00E80AC6"/>
    <w:rsid w:val="00E80C58"/>
    <w:rsid w:val="00E80C69"/>
    <w:rsid w:val="00E80D82"/>
    <w:rsid w:val="00E80F81"/>
    <w:rsid w:val="00E8170E"/>
    <w:rsid w:val="00E8173D"/>
    <w:rsid w:val="00E81B68"/>
    <w:rsid w:val="00E81D08"/>
    <w:rsid w:val="00E822EE"/>
    <w:rsid w:val="00E822FE"/>
    <w:rsid w:val="00E82332"/>
    <w:rsid w:val="00E8247E"/>
    <w:rsid w:val="00E8250E"/>
    <w:rsid w:val="00E8252E"/>
    <w:rsid w:val="00E8259A"/>
    <w:rsid w:val="00E825F3"/>
    <w:rsid w:val="00E82774"/>
    <w:rsid w:val="00E82807"/>
    <w:rsid w:val="00E8297F"/>
    <w:rsid w:val="00E829BE"/>
    <w:rsid w:val="00E82A9B"/>
    <w:rsid w:val="00E82BB2"/>
    <w:rsid w:val="00E8305D"/>
    <w:rsid w:val="00E83118"/>
    <w:rsid w:val="00E83458"/>
    <w:rsid w:val="00E83B4B"/>
    <w:rsid w:val="00E83B7D"/>
    <w:rsid w:val="00E83C70"/>
    <w:rsid w:val="00E83D34"/>
    <w:rsid w:val="00E84122"/>
    <w:rsid w:val="00E8431F"/>
    <w:rsid w:val="00E84751"/>
    <w:rsid w:val="00E84F29"/>
    <w:rsid w:val="00E84F58"/>
    <w:rsid w:val="00E850D0"/>
    <w:rsid w:val="00E852C6"/>
    <w:rsid w:val="00E853F3"/>
    <w:rsid w:val="00E85469"/>
    <w:rsid w:val="00E8566A"/>
    <w:rsid w:val="00E85832"/>
    <w:rsid w:val="00E858CF"/>
    <w:rsid w:val="00E85AA3"/>
    <w:rsid w:val="00E85B22"/>
    <w:rsid w:val="00E85FCD"/>
    <w:rsid w:val="00E85FF3"/>
    <w:rsid w:val="00E86122"/>
    <w:rsid w:val="00E863DA"/>
    <w:rsid w:val="00E8655C"/>
    <w:rsid w:val="00E866D6"/>
    <w:rsid w:val="00E86D43"/>
    <w:rsid w:val="00E86E29"/>
    <w:rsid w:val="00E86E98"/>
    <w:rsid w:val="00E86F9F"/>
    <w:rsid w:val="00E87432"/>
    <w:rsid w:val="00E8788A"/>
    <w:rsid w:val="00E878B4"/>
    <w:rsid w:val="00E8797E"/>
    <w:rsid w:val="00E879BA"/>
    <w:rsid w:val="00E87AFD"/>
    <w:rsid w:val="00E87BCC"/>
    <w:rsid w:val="00E87D48"/>
    <w:rsid w:val="00E87DD9"/>
    <w:rsid w:val="00E87F04"/>
    <w:rsid w:val="00E87F58"/>
    <w:rsid w:val="00E900C0"/>
    <w:rsid w:val="00E90174"/>
    <w:rsid w:val="00E902AA"/>
    <w:rsid w:val="00E902D1"/>
    <w:rsid w:val="00E90564"/>
    <w:rsid w:val="00E90662"/>
    <w:rsid w:val="00E9075C"/>
    <w:rsid w:val="00E908D6"/>
    <w:rsid w:val="00E90933"/>
    <w:rsid w:val="00E909C9"/>
    <w:rsid w:val="00E90BC9"/>
    <w:rsid w:val="00E90E61"/>
    <w:rsid w:val="00E90F03"/>
    <w:rsid w:val="00E90F32"/>
    <w:rsid w:val="00E90FD9"/>
    <w:rsid w:val="00E915FC"/>
    <w:rsid w:val="00E91601"/>
    <w:rsid w:val="00E91712"/>
    <w:rsid w:val="00E91A9B"/>
    <w:rsid w:val="00E91BF9"/>
    <w:rsid w:val="00E91C36"/>
    <w:rsid w:val="00E91E2E"/>
    <w:rsid w:val="00E921AE"/>
    <w:rsid w:val="00E922A6"/>
    <w:rsid w:val="00E9250E"/>
    <w:rsid w:val="00E925DC"/>
    <w:rsid w:val="00E9265E"/>
    <w:rsid w:val="00E92703"/>
    <w:rsid w:val="00E9284D"/>
    <w:rsid w:val="00E92A6E"/>
    <w:rsid w:val="00E92AAB"/>
    <w:rsid w:val="00E92B97"/>
    <w:rsid w:val="00E92BDF"/>
    <w:rsid w:val="00E92D43"/>
    <w:rsid w:val="00E933C0"/>
    <w:rsid w:val="00E934AA"/>
    <w:rsid w:val="00E9361F"/>
    <w:rsid w:val="00E937C4"/>
    <w:rsid w:val="00E93AEE"/>
    <w:rsid w:val="00E93B47"/>
    <w:rsid w:val="00E93B73"/>
    <w:rsid w:val="00E93C6E"/>
    <w:rsid w:val="00E93EA0"/>
    <w:rsid w:val="00E94185"/>
    <w:rsid w:val="00E942CC"/>
    <w:rsid w:val="00E943B8"/>
    <w:rsid w:val="00E94477"/>
    <w:rsid w:val="00E946CB"/>
    <w:rsid w:val="00E947F5"/>
    <w:rsid w:val="00E948B8"/>
    <w:rsid w:val="00E949DB"/>
    <w:rsid w:val="00E94AB1"/>
    <w:rsid w:val="00E94B4D"/>
    <w:rsid w:val="00E94C20"/>
    <w:rsid w:val="00E94D18"/>
    <w:rsid w:val="00E94FFF"/>
    <w:rsid w:val="00E95260"/>
    <w:rsid w:val="00E953DB"/>
    <w:rsid w:val="00E95533"/>
    <w:rsid w:val="00E955C0"/>
    <w:rsid w:val="00E95635"/>
    <w:rsid w:val="00E958E4"/>
    <w:rsid w:val="00E95BB1"/>
    <w:rsid w:val="00E95BEE"/>
    <w:rsid w:val="00E960F4"/>
    <w:rsid w:val="00E96115"/>
    <w:rsid w:val="00E9627E"/>
    <w:rsid w:val="00E964BE"/>
    <w:rsid w:val="00E96932"/>
    <w:rsid w:val="00E96C53"/>
    <w:rsid w:val="00E96C71"/>
    <w:rsid w:val="00E97527"/>
    <w:rsid w:val="00E976D3"/>
    <w:rsid w:val="00E978C4"/>
    <w:rsid w:val="00E97ACE"/>
    <w:rsid w:val="00E97BB3"/>
    <w:rsid w:val="00E97CD9"/>
    <w:rsid w:val="00EA00B5"/>
    <w:rsid w:val="00EA0616"/>
    <w:rsid w:val="00EA0A01"/>
    <w:rsid w:val="00EA0A0A"/>
    <w:rsid w:val="00EA0CC4"/>
    <w:rsid w:val="00EA0D31"/>
    <w:rsid w:val="00EA1394"/>
    <w:rsid w:val="00EA13C8"/>
    <w:rsid w:val="00EA1537"/>
    <w:rsid w:val="00EA1629"/>
    <w:rsid w:val="00EA17AB"/>
    <w:rsid w:val="00EA1938"/>
    <w:rsid w:val="00EA1AE7"/>
    <w:rsid w:val="00EA1D8A"/>
    <w:rsid w:val="00EA1F18"/>
    <w:rsid w:val="00EA2317"/>
    <w:rsid w:val="00EA240D"/>
    <w:rsid w:val="00EA290F"/>
    <w:rsid w:val="00EA2E5C"/>
    <w:rsid w:val="00EA2F89"/>
    <w:rsid w:val="00EA2FE0"/>
    <w:rsid w:val="00EA3187"/>
    <w:rsid w:val="00EA3259"/>
    <w:rsid w:val="00EA3280"/>
    <w:rsid w:val="00EA3350"/>
    <w:rsid w:val="00EA3498"/>
    <w:rsid w:val="00EA3566"/>
    <w:rsid w:val="00EA3741"/>
    <w:rsid w:val="00EA3778"/>
    <w:rsid w:val="00EA386F"/>
    <w:rsid w:val="00EA39E0"/>
    <w:rsid w:val="00EA3DEA"/>
    <w:rsid w:val="00EA4015"/>
    <w:rsid w:val="00EA446E"/>
    <w:rsid w:val="00EA4470"/>
    <w:rsid w:val="00EA457B"/>
    <w:rsid w:val="00EA469D"/>
    <w:rsid w:val="00EA46D6"/>
    <w:rsid w:val="00EA4796"/>
    <w:rsid w:val="00EA4849"/>
    <w:rsid w:val="00EA4946"/>
    <w:rsid w:val="00EA498A"/>
    <w:rsid w:val="00EA4B90"/>
    <w:rsid w:val="00EA4DED"/>
    <w:rsid w:val="00EA4F79"/>
    <w:rsid w:val="00EA5137"/>
    <w:rsid w:val="00EA554B"/>
    <w:rsid w:val="00EA57C6"/>
    <w:rsid w:val="00EA5941"/>
    <w:rsid w:val="00EA5D44"/>
    <w:rsid w:val="00EA5D7E"/>
    <w:rsid w:val="00EA5E2A"/>
    <w:rsid w:val="00EA606E"/>
    <w:rsid w:val="00EA6099"/>
    <w:rsid w:val="00EA6502"/>
    <w:rsid w:val="00EA67D6"/>
    <w:rsid w:val="00EA691C"/>
    <w:rsid w:val="00EA6960"/>
    <w:rsid w:val="00EA6A90"/>
    <w:rsid w:val="00EA6CB1"/>
    <w:rsid w:val="00EA7032"/>
    <w:rsid w:val="00EA7171"/>
    <w:rsid w:val="00EA733A"/>
    <w:rsid w:val="00EA7342"/>
    <w:rsid w:val="00EA7528"/>
    <w:rsid w:val="00EA79A0"/>
    <w:rsid w:val="00EA7A31"/>
    <w:rsid w:val="00EA7BEB"/>
    <w:rsid w:val="00EA7C27"/>
    <w:rsid w:val="00EA7CFA"/>
    <w:rsid w:val="00EA7E3B"/>
    <w:rsid w:val="00EA7FA3"/>
    <w:rsid w:val="00EB004F"/>
    <w:rsid w:val="00EB0B18"/>
    <w:rsid w:val="00EB0B46"/>
    <w:rsid w:val="00EB0CC3"/>
    <w:rsid w:val="00EB0CEE"/>
    <w:rsid w:val="00EB0DB6"/>
    <w:rsid w:val="00EB12B4"/>
    <w:rsid w:val="00EB1483"/>
    <w:rsid w:val="00EB1617"/>
    <w:rsid w:val="00EB1650"/>
    <w:rsid w:val="00EB176B"/>
    <w:rsid w:val="00EB17EA"/>
    <w:rsid w:val="00EB1BAA"/>
    <w:rsid w:val="00EB1C4A"/>
    <w:rsid w:val="00EB209E"/>
    <w:rsid w:val="00EB2198"/>
    <w:rsid w:val="00EB21E3"/>
    <w:rsid w:val="00EB2217"/>
    <w:rsid w:val="00EB2469"/>
    <w:rsid w:val="00EB246E"/>
    <w:rsid w:val="00EB2515"/>
    <w:rsid w:val="00EB2580"/>
    <w:rsid w:val="00EB25BA"/>
    <w:rsid w:val="00EB27B2"/>
    <w:rsid w:val="00EB2837"/>
    <w:rsid w:val="00EB29A3"/>
    <w:rsid w:val="00EB2AAA"/>
    <w:rsid w:val="00EB2B9A"/>
    <w:rsid w:val="00EB2DA7"/>
    <w:rsid w:val="00EB2DB1"/>
    <w:rsid w:val="00EB2FA3"/>
    <w:rsid w:val="00EB320E"/>
    <w:rsid w:val="00EB3211"/>
    <w:rsid w:val="00EB3277"/>
    <w:rsid w:val="00EB35CA"/>
    <w:rsid w:val="00EB36AA"/>
    <w:rsid w:val="00EB38BB"/>
    <w:rsid w:val="00EB3AFB"/>
    <w:rsid w:val="00EB3C6F"/>
    <w:rsid w:val="00EB3D5D"/>
    <w:rsid w:val="00EB3D96"/>
    <w:rsid w:val="00EB3F21"/>
    <w:rsid w:val="00EB3FAE"/>
    <w:rsid w:val="00EB40AC"/>
    <w:rsid w:val="00EB40C6"/>
    <w:rsid w:val="00EB431A"/>
    <w:rsid w:val="00EB44BB"/>
    <w:rsid w:val="00EB47B9"/>
    <w:rsid w:val="00EB497B"/>
    <w:rsid w:val="00EB4DAD"/>
    <w:rsid w:val="00EB4F33"/>
    <w:rsid w:val="00EB4FC2"/>
    <w:rsid w:val="00EB5087"/>
    <w:rsid w:val="00EB5181"/>
    <w:rsid w:val="00EB5225"/>
    <w:rsid w:val="00EB53CF"/>
    <w:rsid w:val="00EB5599"/>
    <w:rsid w:val="00EB5886"/>
    <w:rsid w:val="00EB5889"/>
    <w:rsid w:val="00EB58C2"/>
    <w:rsid w:val="00EB5924"/>
    <w:rsid w:val="00EB5AE7"/>
    <w:rsid w:val="00EB5CD1"/>
    <w:rsid w:val="00EB5D3D"/>
    <w:rsid w:val="00EB5FB9"/>
    <w:rsid w:val="00EB6049"/>
    <w:rsid w:val="00EB6076"/>
    <w:rsid w:val="00EB62FB"/>
    <w:rsid w:val="00EB63E9"/>
    <w:rsid w:val="00EB6516"/>
    <w:rsid w:val="00EB667E"/>
    <w:rsid w:val="00EB6838"/>
    <w:rsid w:val="00EB6F49"/>
    <w:rsid w:val="00EB7008"/>
    <w:rsid w:val="00EB701E"/>
    <w:rsid w:val="00EB71B2"/>
    <w:rsid w:val="00EB7280"/>
    <w:rsid w:val="00EB7DC0"/>
    <w:rsid w:val="00EB7F92"/>
    <w:rsid w:val="00EB7FE7"/>
    <w:rsid w:val="00EC0001"/>
    <w:rsid w:val="00EC0124"/>
    <w:rsid w:val="00EC017D"/>
    <w:rsid w:val="00EC0186"/>
    <w:rsid w:val="00EC0227"/>
    <w:rsid w:val="00EC0591"/>
    <w:rsid w:val="00EC0689"/>
    <w:rsid w:val="00EC06C2"/>
    <w:rsid w:val="00EC06F6"/>
    <w:rsid w:val="00EC0701"/>
    <w:rsid w:val="00EC07B5"/>
    <w:rsid w:val="00EC07D8"/>
    <w:rsid w:val="00EC09C5"/>
    <w:rsid w:val="00EC0A17"/>
    <w:rsid w:val="00EC0E9F"/>
    <w:rsid w:val="00EC150E"/>
    <w:rsid w:val="00EC1589"/>
    <w:rsid w:val="00EC1694"/>
    <w:rsid w:val="00EC1B5F"/>
    <w:rsid w:val="00EC1B60"/>
    <w:rsid w:val="00EC1DB8"/>
    <w:rsid w:val="00EC20D2"/>
    <w:rsid w:val="00EC22C1"/>
    <w:rsid w:val="00EC25BD"/>
    <w:rsid w:val="00EC26AC"/>
    <w:rsid w:val="00EC2708"/>
    <w:rsid w:val="00EC27B3"/>
    <w:rsid w:val="00EC2858"/>
    <w:rsid w:val="00EC2908"/>
    <w:rsid w:val="00EC2A7A"/>
    <w:rsid w:val="00EC2AB5"/>
    <w:rsid w:val="00EC2B13"/>
    <w:rsid w:val="00EC2BDB"/>
    <w:rsid w:val="00EC2E7B"/>
    <w:rsid w:val="00EC301F"/>
    <w:rsid w:val="00EC3152"/>
    <w:rsid w:val="00EC3194"/>
    <w:rsid w:val="00EC31B9"/>
    <w:rsid w:val="00EC3355"/>
    <w:rsid w:val="00EC3476"/>
    <w:rsid w:val="00EC35DD"/>
    <w:rsid w:val="00EC368A"/>
    <w:rsid w:val="00EC3844"/>
    <w:rsid w:val="00EC3D74"/>
    <w:rsid w:val="00EC3E03"/>
    <w:rsid w:val="00EC3F44"/>
    <w:rsid w:val="00EC411D"/>
    <w:rsid w:val="00EC41F5"/>
    <w:rsid w:val="00EC4343"/>
    <w:rsid w:val="00EC448B"/>
    <w:rsid w:val="00EC45E9"/>
    <w:rsid w:val="00EC4837"/>
    <w:rsid w:val="00EC48E1"/>
    <w:rsid w:val="00EC4962"/>
    <w:rsid w:val="00EC497B"/>
    <w:rsid w:val="00EC4C09"/>
    <w:rsid w:val="00EC4CC2"/>
    <w:rsid w:val="00EC4CE8"/>
    <w:rsid w:val="00EC4EC2"/>
    <w:rsid w:val="00EC4F33"/>
    <w:rsid w:val="00EC5347"/>
    <w:rsid w:val="00EC552A"/>
    <w:rsid w:val="00EC5588"/>
    <w:rsid w:val="00EC559B"/>
    <w:rsid w:val="00EC5A7F"/>
    <w:rsid w:val="00EC5B3C"/>
    <w:rsid w:val="00EC5B8C"/>
    <w:rsid w:val="00EC5D5C"/>
    <w:rsid w:val="00EC5F9E"/>
    <w:rsid w:val="00EC606E"/>
    <w:rsid w:val="00EC622D"/>
    <w:rsid w:val="00EC6248"/>
    <w:rsid w:val="00EC6481"/>
    <w:rsid w:val="00EC675C"/>
    <w:rsid w:val="00EC6901"/>
    <w:rsid w:val="00EC691F"/>
    <w:rsid w:val="00EC6A74"/>
    <w:rsid w:val="00EC6B21"/>
    <w:rsid w:val="00EC6BAF"/>
    <w:rsid w:val="00EC6C85"/>
    <w:rsid w:val="00EC6CC9"/>
    <w:rsid w:val="00EC6E13"/>
    <w:rsid w:val="00EC6F35"/>
    <w:rsid w:val="00EC6F5A"/>
    <w:rsid w:val="00EC7094"/>
    <w:rsid w:val="00EC7137"/>
    <w:rsid w:val="00EC7274"/>
    <w:rsid w:val="00EC7286"/>
    <w:rsid w:val="00EC78CB"/>
    <w:rsid w:val="00EC7A74"/>
    <w:rsid w:val="00EC7C58"/>
    <w:rsid w:val="00EC7CBC"/>
    <w:rsid w:val="00EC7E9E"/>
    <w:rsid w:val="00EC7EB2"/>
    <w:rsid w:val="00EC7F75"/>
    <w:rsid w:val="00ED004B"/>
    <w:rsid w:val="00ED0058"/>
    <w:rsid w:val="00ED0395"/>
    <w:rsid w:val="00ED03BE"/>
    <w:rsid w:val="00ED04C8"/>
    <w:rsid w:val="00ED07ED"/>
    <w:rsid w:val="00ED0990"/>
    <w:rsid w:val="00ED0A01"/>
    <w:rsid w:val="00ED0D65"/>
    <w:rsid w:val="00ED0EF8"/>
    <w:rsid w:val="00ED11AB"/>
    <w:rsid w:val="00ED1543"/>
    <w:rsid w:val="00ED1660"/>
    <w:rsid w:val="00ED171C"/>
    <w:rsid w:val="00ED1B18"/>
    <w:rsid w:val="00ED1BCD"/>
    <w:rsid w:val="00ED1C20"/>
    <w:rsid w:val="00ED1D5F"/>
    <w:rsid w:val="00ED1F92"/>
    <w:rsid w:val="00ED1FBF"/>
    <w:rsid w:val="00ED2162"/>
    <w:rsid w:val="00ED2373"/>
    <w:rsid w:val="00ED2588"/>
    <w:rsid w:val="00ED2693"/>
    <w:rsid w:val="00ED26E4"/>
    <w:rsid w:val="00ED27BE"/>
    <w:rsid w:val="00ED2811"/>
    <w:rsid w:val="00ED28FF"/>
    <w:rsid w:val="00ED3075"/>
    <w:rsid w:val="00ED3093"/>
    <w:rsid w:val="00ED30F8"/>
    <w:rsid w:val="00ED30FB"/>
    <w:rsid w:val="00ED3164"/>
    <w:rsid w:val="00ED31D8"/>
    <w:rsid w:val="00ED32AC"/>
    <w:rsid w:val="00ED3499"/>
    <w:rsid w:val="00ED3546"/>
    <w:rsid w:val="00ED358C"/>
    <w:rsid w:val="00ED35DD"/>
    <w:rsid w:val="00ED3A82"/>
    <w:rsid w:val="00ED3B62"/>
    <w:rsid w:val="00ED3F95"/>
    <w:rsid w:val="00ED4064"/>
    <w:rsid w:val="00ED411C"/>
    <w:rsid w:val="00ED4611"/>
    <w:rsid w:val="00ED473F"/>
    <w:rsid w:val="00ED47C7"/>
    <w:rsid w:val="00ED488E"/>
    <w:rsid w:val="00ED4AA6"/>
    <w:rsid w:val="00ED4AC6"/>
    <w:rsid w:val="00ED4B58"/>
    <w:rsid w:val="00ED4C11"/>
    <w:rsid w:val="00ED4C6B"/>
    <w:rsid w:val="00ED4C87"/>
    <w:rsid w:val="00ED518B"/>
    <w:rsid w:val="00ED5478"/>
    <w:rsid w:val="00ED54AA"/>
    <w:rsid w:val="00ED5632"/>
    <w:rsid w:val="00ED56F3"/>
    <w:rsid w:val="00ED5757"/>
    <w:rsid w:val="00ED58F2"/>
    <w:rsid w:val="00ED5A32"/>
    <w:rsid w:val="00ED5A86"/>
    <w:rsid w:val="00ED5AF2"/>
    <w:rsid w:val="00ED5AFE"/>
    <w:rsid w:val="00ED5B4C"/>
    <w:rsid w:val="00ED5C71"/>
    <w:rsid w:val="00ED5E1A"/>
    <w:rsid w:val="00ED606F"/>
    <w:rsid w:val="00ED6320"/>
    <w:rsid w:val="00ED672D"/>
    <w:rsid w:val="00ED682B"/>
    <w:rsid w:val="00ED6A97"/>
    <w:rsid w:val="00ED6EDC"/>
    <w:rsid w:val="00ED6F14"/>
    <w:rsid w:val="00ED7007"/>
    <w:rsid w:val="00ED714A"/>
    <w:rsid w:val="00ED717C"/>
    <w:rsid w:val="00ED723B"/>
    <w:rsid w:val="00ED7261"/>
    <w:rsid w:val="00ED7554"/>
    <w:rsid w:val="00ED76BD"/>
    <w:rsid w:val="00ED773B"/>
    <w:rsid w:val="00ED782F"/>
    <w:rsid w:val="00ED785B"/>
    <w:rsid w:val="00ED79EC"/>
    <w:rsid w:val="00ED7B2C"/>
    <w:rsid w:val="00ED7D17"/>
    <w:rsid w:val="00ED7D89"/>
    <w:rsid w:val="00EE02C2"/>
    <w:rsid w:val="00EE0335"/>
    <w:rsid w:val="00EE0529"/>
    <w:rsid w:val="00EE07B9"/>
    <w:rsid w:val="00EE0927"/>
    <w:rsid w:val="00EE0AC3"/>
    <w:rsid w:val="00EE0ACB"/>
    <w:rsid w:val="00EE0BAB"/>
    <w:rsid w:val="00EE0DCE"/>
    <w:rsid w:val="00EE0F06"/>
    <w:rsid w:val="00EE1290"/>
    <w:rsid w:val="00EE12BF"/>
    <w:rsid w:val="00EE13D8"/>
    <w:rsid w:val="00EE1413"/>
    <w:rsid w:val="00EE142C"/>
    <w:rsid w:val="00EE16D0"/>
    <w:rsid w:val="00EE16D4"/>
    <w:rsid w:val="00EE1837"/>
    <w:rsid w:val="00EE1A61"/>
    <w:rsid w:val="00EE1BB9"/>
    <w:rsid w:val="00EE1C4D"/>
    <w:rsid w:val="00EE1DCF"/>
    <w:rsid w:val="00EE1E33"/>
    <w:rsid w:val="00EE1E38"/>
    <w:rsid w:val="00EE1FCC"/>
    <w:rsid w:val="00EE2052"/>
    <w:rsid w:val="00EE22A5"/>
    <w:rsid w:val="00EE2782"/>
    <w:rsid w:val="00EE2890"/>
    <w:rsid w:val="00EE2C87"/>
    <w:rsid w:val="00EE2D98"/>
    <w:rsid w:val="00EE31F0"/>
    <w:rsid w:val="00EE348C"/>
    <w:rsid w:val="00EE364A"/>
    <w:rsid w:val="00EE36E3"/>
    <w:rsid w:val="00EE37B2"/>
    <w:rsid w:val="00EE382D"/>
    <w:rsid w:val="00EE3924"/>
    <w:rsid w:val="00EE3A13"/>
    <w:rsid w:val="00EE3AED"/>
    <w:rsid w:val="00EE408B"/>
    <w:rsid w:val="00EE409B"/>
    <w:rsid w:val="00EE4148"/>
    <w:rsid w:val="00EE41C7"/>
    <w:rsid w:val="00EE431E"/>
    <w:rsid w:val="00EE4345"/>
    <w:rsid w:val="00EE47D5"/>
    <w:rsid w:val="00EE481C"/>
    <w:rsid w:val="00EE491F"/>
    <w:rsid w:val="00EE4969"/>
    <w:rsid w:val="00EE4A89"/>
    <w:rsid w:val="00EE4E75"/>
    <w:rsid w:val="00EE4EA0"/>
    <w:rsid w:val="00EE51A7"/>
    <w:rsid w:val="00EE53AF"/>
    <w:rsid w:val="00EE5C0E"/>
    <w:rsid w:val="00EE5D26"/>
    <w:rsid w:val="00EE5F25"/>
    <w:rsid w:val="00EE5FFE"/>
    <w:rsid w:val="00EE61A2"/>
    <w:rsid w:val="00EE6270"/>
    <w:rsid w:val="00EE62CC"/>
    <w:rsid w:val="00EE63B2"/>
    <w:rsid w:val="00EE6475"/>
    <w:rsid w:val="00EE651C"/>
    <w:rsid w:val="00EE65F7"/>
    <w:rsid w:val="00EE691F"/>
    <w:rsid w:val="00EE6BB2"/>
    <w:rsid w:val="00EE6BF2"/>
    <w:rsid w:val="00EE6DE6"/>
    <w:rsid w:val="00EE6DEC"/>
    <w:rsid w:val="00EE6F8C"/>
    <w:rsid w:val="00EE7033"/>
    <w:rsid w:val="00EE72C0"/>
    <w:rsid w:val="00EE747E"/>
    <w:rsid w:val="00EE74C9"/>
    <w:rsid w:val="00EE7791"/>
    <w:rsid w:val="00EE7797"/>
    <w:rsid w:val="00EE7862"/>
    <w:rsid w:val="00EE78D9"/>
    <w:rsid w:val="00EE7A80"/>
    <w:rsid w:val="00EF005E"/>
    <w:rsid w:val="00EF00A6"/>
    <w:rsid w:val="00EF01E0"/>
    <w:rsid w:val="00EF0214"/>
    <w:rsid w:val="00EF0269"/>
    <w:rsid w:val="00EF0376"/>
    <w:rsid w:val="00EF037B"/>
    <w:rsid w:val="00EF03B3"/>
    <w:rsid w:val="00EF06A4"/>
    <w:rsid w:val="00EF0754"/>
    <w:rsid w:val="00EF08DD"/>
    <w:rsid w:val="00EF08F3"/>
    <w:rsid w:val="00EF0925"/>
    <w:rsid w:val="00EF0A10"/>
    <w:rsid w:val="00EF0D14"/>
    <w:rsid w:val="00EF0DED"/>
    <w:rsid w:val="00EF1204"/>
    <w:rsid w:val="00EF123F"/>
    <w:rsid w:val="00EF12C2"/>
    <w:rsid w:val="00EF1321"/>
    <w:rsid w:val="00EF1397"/>
    <w:rsid w:val="00EF15B4"/>
    <w:rsid w:val="00EF1787"/>
    <w:rsid w:val="00EF181D"/>
    <w:rsid w:val="00EF1CBF"/>
    <w:rsid w:val="00EF1F48"/>
    <w:rsid w:val="00EF1F50"/>
    <w:rsid w:val="00EF210D"/>
    <w:rsid w:val="00EF21B9"/>
    <w:rsid w:val="00EF2506"/>
    <w:rsid w:val="00EF25A6"/>
    <w:rsid w:val="00EF25EE"/>
    <w:rsid w:val="00EF26FF"/>
    <w:rsid w:val="00EF2758"/>
    <w:rsid w:val="00EF27E8"/>
    <w:rsid w:val="00EF2A84"/>
    <w:rsid w:val="00EF2D71"/>
    <w:rsid w:val="00EF2D85"/>
    <w:rsid w:val="00EF2DAD"/>
    <w:rsid w:val="00EF31BD"/>
    <w:rsid w:val="00EF33F0"/>
    <w:rsid w:val="00EF357A"/>
    <w:rsid w:val="00EF3717"/>
    <w:rsid w:val="00EF3846"/>
    <w:rsid w:val="00EF391C"/>
    <w:rsid w:val="00EF397D"/>
    <w:rsid w:val="00EF3B7E"/>
    <w:rsid w:val="00EF3CCB"/>
    <w:rsid w:val="00EF3CD3"/>
    <w:rsid w:val="00EF3D3A"/>
    <w:rsid w:val="00EF3D7C"/>
    <w:rsid w:val="00EF3EC9"/>
    <w:rsid w:val="00EF3F23"/>
    <w:rsid w:val="00EF4086"/>
    <w:rsid w:val="00EF4255"/>
    <w:rsid w:val="00EF4337"/>
    <w:rsid w:val="00EF43A2"/>
    <w:rsid w:val="00EF46A0"/>
    <w:rsid w:val="00EF48D4"/>
    <w:rsid w:val="00EF4CAC"/>
    <w:rsid w:val="00EF4D2B"/>
    <w:rsid w:val="00EF4DF4"/>
    <w:rsid w:val="00EF4E77"/>
    <w:rsid w:val="00EF4EBE"/>
    <w:rsid w:val="00EF4FA7"/>
    <w:rsid w:val="00EF4FD4"/>
    <w:rsid w:val="00EF50DB"/>
    <w:rsid w:val="00EF56C4"/>
    <w:rsid w:val="00EF586E"/>
    <w:rsid w:val="00EF5A5B"/>
    <w:rsid w:val="00EF5A95"/>
    <w:rsid w:val="00EF5B55"/>
    <w:rsid w:val="00EF5CEE"/>
    <w:rsid w:val="00EF5D1F"/>
    <w:rsid w:val="00EF5E75"/>
    <w:rsid w:val="00EF5FD3"/>
    <w:rsid w:val="00EF6002"/>
    <w:rsid w:val="00EF6347"/>
    <w:rsid w:val="00EF65DA"/>
    <w:rsid w:val="00EF65F7"/>
    <w:rsid w:val="00EF66FF"/>
    <w:rsid w:val="00EF690E"/>
    <w:rsid w:val="00EF6B0E"/>
    <w:rsid w:val="00EF6C2B"/>
    <w:rsid w:val="00EF7293"/>
    <w:rsid w:val="00EF7469"/>
    <w:rsid w:val="00EF74D4"/>
    <w:rsid w:val="00EF75B0"/>
    <w:rsid w:val="00EF7760"/>
    <w:rsid w:val="00EF77F0"/>
    <w:rsid w:val="00EF78CD"/>
    <w:rsid w:val="00EF7985"/>
    <w:rsid w:val="00EF7C1A"/>
    <w:rsid w:val="00EF7CA2"/>
    <w:rsid w:val="00EF7DB0"/>
    <w:rsid w:val="00EF7EE8"/>
    <w:rsid w:val="00EF7F58"/>
    <w:rsid w:val="00EF7FA5"/>
    <w:rsid w:val="00F0064F"/>
    <w:rsid w:val="00F01060"/>
    <w:rsid w:val="00F01533"/>
    <w:rsid w:val="00F01564"/>
    <w:rsid w:val="00F0160C"/>
    <w:rsid w:val="00F0161C"/>
    <w:rsid w:val="00F0179A"/>
    <w:rsid w:val="00F01AA4"/>
    <w:rsid w:val="00F01AC1"/>
    <w:rsid w:val="00F01BFD"/>
    <w:rsid w:val="00F01C97"/>
    <w:rsid w:val="00F01EA0"/>
    <w:rsid w:val="00F01F55"/>
    <w:rsid w:val="00F01FC0"/>
    <w:rsid w:val="00F020AD"/>
    <w:rsid w:val="00F0210E"/>
    <w:rsid w:val="00F0232D"/>
    <w:rsid w:val="00F024AE"/>
    <w:rsid w:val="00F02569"/>
    <w:rsid w:val="00F02602"/>
    <w:rsid w:val="00F02887"/>
    <w:rsid w:val="00F02AEF"/>
    <w:rsid w:val="00F02BDB"/>
    <w:rsid w:val="00F02CA1"/>
    <w:rsid w:val="00F02CC2"/>
    <w:rsid w:val="00F02FD5"/>
    <w:rsid w:val="00F03113"/>
    <w:rsid w:val="00F0312E"/>
    <w:rsid w:val="00F0315D"/>
    <w:rsid w:val="00F034DE"/>
    <w:rsid w:val="00F0377B"/>
    <w:rsid w:val="00F03874"/>
    <w:rsid w:val="00F03A9A"/>
    <w:rsid w:val="00F03E27"/>
    <w:rsid w:val="00F03EEB"/>
    <w:rsid w:val="00F03F9B"/>
    <w:rsid w:val="00F045B9"/>
    <w:rsid w:val="00F04604"/>
    <w:rsid w:val="00F046C2"/>
    <w:rsid w:val="00F047E7"/>
    <w:rsid w:val="00F04B63"/>
    <w:rsid w:val="00F04D35"/>
    <w:rsid w:val="00F04E94"/>
    <w:rsid w:val="00F05071"/>
    <w:rsid w:val="00F0520A"/>
    <w:rsid w:val="00F0537D"/>
    <w:rsid w:val="00F05A18"/>
    <w:rsid w:val="00F05C30"/>
    <w:rsid w:val="00F05CAB"/>
    <w:rsid w:val="00F05D09"/>
    <w:rsid w:val="00F05E29"/>
    <w:rsid w:val="00F060C9"/>
    <w:rsid w:val="00F0610C"/>
    <w:rsid w:val="00F06219"/>
    <w:rsid w:val="00F06263"/>
    <w:rsid w:val="00F06471"/>
    <w:rsid w:val="00F0649F"/>
    <w:rsid w:val="00F06783"/>
    <w:rsid w:val="00F067F4"/>
    <w:rsid w:val="00F069DC"/>
    <w:rsid w:val="00F06CEB"/>
    <w:rsid w:val="00F06F40"/>
    <w:rsid w:val="00F06F58"/>
    <w:rsid w:val="00F06FE2"/>
    <w:rsid w:val="00F0705A"/>
    <w:rsid w:val="00F071DB"/>
    <w:rsid w:val="00F07300"/>
    <w:rsid w:val="00F07C37"/>
    <w:rsid w:val="00F07E61"/>
    <w:rsid w:val="00F10004"/>
    <w:rsid w:val="00F10088"/>
    <w:rsid w:val="00F100A1"/>
    <w:rsid w:val="00F10135"/>
    <w:rsid w:val="00F10145"/>
    <w:rsid w:val="00F102C9"/>
    <w:rsid w:val="00F10451"/>
    <w:rsid w:val="00F10555"/>
    <w:rsid w:val="00F106F8"/>
    <w:rsid w:val="00F107F2"/>
    <w:rsid w:val="00F10961"/>
    <w:rsid w:val="00F10A62"/>
    <w:rsid w:val="00F10AAC"/>
    <w:rsid w:val="00F10C28"/>
    <w:rsid w:val="00F10D06"/>
    <w:rsid w:val="00F10D77"/>
    <w:rsid w:val="00F1100B"/>
    <w:rsid w:val="00F1106A"/>
    <w:rsid w:val="00F1124B"/>
    <w:rsid w:val="00F115CB"/>
    <w:rsid w:val="00F11A44"/>
    <w:rsid w:val="00F11BD2"/>
    <w:rsid w:val="00F11F73"/>
    <w:rsid w:val="00F1215E"/>
    <w:rsid w:val="00F122E9"/>
    <w:rsid w:val="00F123B1"/>
    <w:rsid w:val="00F12570"/>
    <w:rsid w:val="00F12B07"/>
    <w:rsid w:val="00F12C82"/>
    <w:rsid w:val="00F12DAA"/>
    <w:rsid w:val="00F12EFB"/>
    <w:rsid w:val="00F13220"/>
    <w:rsid w:val="00F13221"/>
    <w:rsid w:val="00F1330A"/>
    <w:rsid w:val="00F133F4"/>
    <w:rsid w:val="00F13730"/>
    <w:rsid w:val="00F13974"/>
    <w:rsid w:val="00F140AC"/>
    <w:rsid w:val="00F142B5"/>
    <w:rsid w:val="00F143F6"/>
    <w:rsid w:val="00F144B4"/>
    <w:rsid w:val="00F14552"/>
    <w:rsid w:val="00F145EF"/>
    <w:rsid w:val="00F1468F"/>
    <w:rsid w:val="00F149C5"/>
    <w:rsid w:val="00F14B31"/>
    <w:rsid w:val="00F14D3F"/>
    <w:rsid w:val="00F14D41"/>
    <w:rsid w:val="00F14FBD"/>
    <w:rsid w:val="00F15075"/>
    <w:rsid w:val="00F15158"/>
    <w:rsid w:val="00F1518C"/>
    <w:rsid w:val="00F15252"/>
    <w:rsid w:val="00F153E5"/>
    <w:rsid w:val="00F1569B"/>
    <w:rsid w:val="00F15729"/>
    <w:rsid w:val="00F1584C"/>
    <w:rsid w:val="00F15897"/>
    <w:rsid w:val="00F158EC"/>
    <w:rsid w:val="00F1595C"/>
    <w:rsid w:val="00F15AFC"/>
    <w:rsid w:val="00F15BA5"/>
    <w:rsid w:val="00F15CBB"/>
    <w:rsid w:val="00F15DDB"/>
    <w:rsid w:val="00F15E2E"/>
    <w:rsid w:val="00F15E88"/>
    <w:rsid w:val="00F15EAA"/>
    <w:rsid w:val="00F15F5C"/>
    <w:rsid w:val="00F15F7E"/>
    <w:rsid w:val="00F15F82"/>
    <w:rsid w:val="00F15FC0"/>
    <w:rsid w:val="00F16096"/>
    <w:rsid w:val="00F1621F"/>
    <w:rsid w:val="00F16962"/>
    <w:rsid w:val="00F1697C"/>
    <w:rsid w:val="00F16ADA"/>
    <w:rsid w:val="00F16D4F"/>
    <w:rsid w:val="00F16FD1"/>
    <w:rsid w:val="00F17304"/>
    <w:rsid w:val="00F17520"/>
    <w:rsid w:val="00F175A5"/>
    <w:rsid w:val="00F175C6"/>
    <w:rsid w:val="00F175E0"/>
    <w:rsid w:val="00F17767"/>
    <w:rsid w:val="00F177DB"/>
    <w:rsid w:val="00F17819"/>
    <w:rsid w:val="00F17831"/>
    <w:rsid w:val="00F17893"/>
    <w:rsid w:val="00F17CFB"/>
    <w:rsid w:val="00F17D00"/>
    <w:rsid w:val="00F20016"/>
    <w:rsid w:val="00F20036"/>
    <w:rsid w:val="00F200A0"/>
    <w:rsid w:val="00F20161"/>
    <w:rsid w:val="00F202CB"/>
    <w:rsid w:val="00F2042A"/>
    <w:rsid w:val="00F2088D"/>
    <w:rsid w:val="00F20937"/>
    <w:rsid w:val="00F209F1"/>
    <w:rsid w:val="00F20A39"/>
    <w:rsid w:val="00F20B00"/>
    <w:rsid w:val="00F21495"/>
    <w:rsid w:val="00F21853"/>
    <w:rsid w:val="00F2188D"/>
    <w:rsid w:val="00F2193A"/>
    <w:rsid w:val="00F21A26"/>
    <w:rsid w:val="00F21ACB"/>
    <w:rsid w:val="00F22113"/>
    <w:rsid w:val="00F22356"/>
    <w:rsid w:val="00F2241C"/>
    <w:rsid w:val="00F225A8"/>
    <w:rsid w:val="00F2269C"/>
    <w:rsid w:val="00F2269E"/>
    <w:rsid w:val="00F228EE"/>
    <w:rsid w:val="00F229C3"/>
    <w:rsid w:val="00F229CD"/>
    <w:rsid w:val="00F22C13"/>
    <w:rsid w:val="00F22D57"/>
    <w:rsid w:val="00F22D8C"/>
    <w:rsid w:val="00F22DC8"/>
    <w:rsid w:val="00F22E1D"/>
    <w:rsid w:val="00F22F61"/>
    <w:rsid w:val="00F23007"/>
    <w:rsid w:val="00F23062"/>
    <w:rsid w:val="00F23266"/>
    <w:rsid w:val="00F23337"/>
    <w:rsid w:val="00F233A3"/>
    <w:rsid w:val="00F23501"/>
    <w:rsid w:val="00F2396F"/>
    <w:rsid w:val="00F23A51"/>
    <w:rsid w:val="00F23A86"/>
    <w:rsid w:val="00F23AE4"/>
    <w:rsid w:val="00F23B08"/>
    <w:rsid w:val="00F23C9F"/>
    <w:rsid w:val="00F23CA9"/>
    <w:rsid w:val="00F23FFA"/>
    <w:rsid w:val="00F24009"/>
    <w:rsid w:val="00F24268"/>
    <w:rsid w:val="00F242C2"/>
    <w:rsid w:val="00F2430A"/>
    <w:rsid w:val="00F24664"/>
    <w:rsid w:val="00F2470C"/>
    <w:rsid w:val="00F24858"/>
    <w:rsid w:val="00F249F8"/>
    <w:rsid w:val="00F24BDA"/>
    <w:rsid w:val="00F24C7E"/>
    <w:rsid w:val="00F24EF1"/>
    <w:rsid w:val="00F2525F"/>
    <w:rsid w:val="00F2536B"/>
    <w:rsid w:val="00F2545A"/>
    <w:rsid w:val="00F255AB"/>
    <w:rsid w:val="00F2577D"/>
    <w:rsid w:val="00F2583E"/>
    <w:rsid w:val="00F259AE"/>
    <w:rsid w:val="00F25BBF"/>
    <w:rsid w:val="00F25D8A"/>
    <w:rsid w:val="00F25E5C"/>
    <w:rsid w:val="00F25E7C"/>
    <w:rsid w:val="00F2630E"/>
    <w:rsid w:val="00F26507"/>
    <w:rsid w:val="00F26766"/>
    <w:rsid w:val="00F26883"/>
    <w:rsid w:val="00F26A9F"/>
    <w:rsid w:val="00F26D45"/>
    <w:rsid w:val="00F26DC9"/>
    <w:rsid w:val="00F26F30"/>
    <w:rsid w:val="00F271EB"/>
    <w:rsid w:val="00F271F1"/>
    <w:rsid w:val="00F27527"/>
    <w:rsid w:val="00F27590"/>
    <w:rsid w:val="00F275C7"/>
    <w:rsid w:val="00F27AA3"/>
    <w:rsid w:val="00F27C7A"/>
    <w:rsid w:val="00F27D48"/>
    <w:rsid w:val="00F27DD6"/>
    <w:rsid w:val="00F27EAD"/>
    <w:rsid w:val="00F3008B"/>
    <w:rsid w:val="00F300B3"/>
    <w:rsid w:val="00F3018D"/>
    <w:rsid w:val="00F301B6"/>
    <w:rsid w:val="00F30581"/>
    <w:rsid w:val="00F3081C"/>
    <w:rsid w:val="00F30CA8"/>
    <w:rsid w:val="00F30DD1"/>
    <w:rsid w:val="00F30DF1"/>
    <w:rsid w:val="00F30F30"/>
    <w:rsid w:val="00F30FE5"/>
    <w:rsid w:val="00F31249"/>
    <w:rsid w:val="00F3148B"/>
    <w:rsid w:val="00F3150F"/>
    <w:rsid w:val="00F31552"/>
    <w:rsid w:val="00F31676"/>
    <w:rsid w:val="00F31A0A"/>
    <w:rsid w:val="00F31B66"/>
    <w:rsid w:val="00F31CD0"/>
    <w:rsid w:val="00F31E16"/>
    <w:rsid w:val="00F31FBC"/>
    <w:rsid w:val="00F320F7"/>
    <w:rsid w:val="00F32125"/>
    <w:rsid w:val="00F3215C"/>
    <w:rsid w:val="00F3226B"/>
    <w:rsid w:val="00F32459"/>
    <w:rsid w:val="00F32514"/>
    <w:rsid w:val="00F32718"/>
    <w:rsid w:val="00F329AC"/>
    <w:rsid w:val="00F32D7E"/>
    <w:rsid w:val="00F3302C"/>
    <w:rsid w:val="00F33044"/>
    <w:rsid w:val="00F3326F"/>
    <w:rsid w:val="00F3346F"/>
    <w:rsid w:val="00F33579"/>
    <w:rsid w:val="00F3389E"/>
    <w:rsid w:val="00F338E5"/>
    <w:rsid w:val="00F338E9"/>
    <w:rsid w:val="00F339FC"/>
    <w:rsid w:val="00F33A25"/>
    <w:rsid w:val="00F33ACF"/>
    <w:rsid w:val="00F33DED"/>
    <w:rsid w:val="00F3403B"/>
    <w:rsid w:val="00F340BF"/>
    <w:rsid w:val="00F34151"/>
    <w:rsid w:val="00F341AF"/>
    <w:rsid w:val="00F341E9"/>
    <w:rsid w:val="00F342AD"/>
    <w:rsid w:val="00F344EB"/>
    <w:rsid w:val="00F345DF"/>
    <w:rsid w:val="00F3466A"/>
    <w:rsid w:val="00F346AA"/>
    <w:rsid w:val="00F34BE4"/>
    <w:rsid w:val="00F34D4C"/>
    <w:rsid w:val="00F34E36"/>
    <w:rsid w:val="00F34F9B"/>
    <w:rsid w:val="00F35135"/>
    <w:rsid w:val="00F353A2"/>
    <w:rsid w:val="00F355F0"/>
    <w:rsid w:val="00F35651"/>
    <w:rsid w:val="00F35836"/>
    <w:rsid w:val="00F359E2"/>
    <w:rsid w:val="00F35C7D"/>
    <w:rsid w:val="00F35D04"/>
    <w:rsid w:val="00F35E71"/>
    <w:rsid w:val="00F363AE"/>
    <w:rsid w:val="00F3667C"/>
    <w:rsid w:val="00F3695F"/>
    <w:rsid w:val="00F36971"/>
    <w:rsid w:val="00F36A0E"/>
    <w:rsid w:val="00F36B7D"/>
    <w:rsid w:val="00F36F6B"/>
    <w:rsid w:val="00F3715D"/>
    <w:rsid w:val="00F37165"/>
    <w:rsid w:val="00F371D6"/>
    <w:rsid w:val="00F37391"/>
    <w:rsid w:val="00F374D9"/>
    <w:rsid w:val="00F3772F"/>
    <w:rsid w:val="00F3789C"/>
    <w:rsid w:val="00F37931"/>
    <w:rsid w:val="00F37C70"/>
    <w:rsid w:val="00F37C97"/>
    <w:rsid w:val="00F37CB6"/>
    <w:rsid w:val="00F37F6A"/>
    <w:rsid w:val="00F40029"/>
    <w:rsid w:val="00F400C2"/>
    <w:rsid w:val="00F40127"/>
    <w:rsid w:val="00F401EE"/>
    <w:rsid w:val="00F40227"/>
    <w:rsid w:val="00F40257"/>
    <w:rsid w:val="00F4064F"/>
    <w:rsid w:val="00F40D67"/>
    <w:rsid w:val="00F4133E"/>
    <w:rsid w:val="00F41458"/>
    <w:rsid w:val="00F41595"/>
    <w:rsid w:val="00F417D2"/>
    <w:rsid w:val="00F418A4"/>
    <w:rsid w:val="00F419E3"/>
    <w:rsid w:val="00F41B39"/>
    <w:rsid w:val="00F41D1D"/>
    <w:rsid w:val="00F41EEA"/>
    <w:rsid w:val="00F42181"/>
    <w:rsid w:val="00F4221A"/>
    <w:rsid w:val="00F42309"/>
    <w:rsid w:val="00F423B2"/>
    <w:rsid w:val="00F42708"/>
    <w:rsid w:val="00F42D74"/>
    <w:rsid w:val="00F42DD7"/>
    <w:rsid w:val="00F42FFA"/>
    <w:rsid w:val="00F431C2"/>
    <w:rsid w:val="00F43253"/>
    <w:rsid w:val="00F4367C"/>
    <w:rsid w:val="00F43683"/>
    <w:rsid w:val="00F436CB"/>
    <w:rsid w:val="00F43749"/>
    <w:rsid w:val="00F43876"/>
    <w:rsid w:val="00F438A2"/>
    <w:rsid w:val="00F439E2"/>
    <w:rsid w:val="00F43ACD"/>
    <w:rsid w:val="00F43C20"/>
    <w:rsid w:val="00F43C8E"/>
    <w:rsid w:val="00F43F25"/>
    <w:rsid w:val="00F43F54"/>
    <w:rsid w:val="00F43FB3"/>
    <w:rsid w:val="00F4421E"/>
    <w:rsid w:val="00F442EF"/>
    <w:rsid w:val="00F443E2"/>
    <w:rsid w:val="00F445E4"/>
    <w:rsid w:val="00F447B4"/>
    <w:rsid w:val="00F447B5"/>
    <w:rsid w:val="00F448EC"/>
    <w:rsid w:val="00F44BE2"/>
    <w:rsid w:val="00F44C0A"/>
    <w:rsid w:val="00F44F55"/>
    <w:rsid w:val="00F45109"/>
    <w:rsid w:val="00F4511A"/>
    <w:rsid w:val="00F45159"/>
    <w:rsid w:val="00F45293"/>
    <w:rsid w:val="00F453B1"/>
    <w:rsid w:val="00F453FF"/>
    <w:rsid w:val="00F45605"/>
    <w:rsid w:val="00F45707"/>
    <w:rsid w:val="00F45721"/>
    <w:rsid w:val="00F45ADE"/>
    <w:rsid w:val="00F4617E"/>
    <w:rsid w:val="00F463D2"/>
    <w:rsid w:val="00F4663B"/>
    <w:rsid w:val="00F469AC"/>
    <w:rsid w:val="00F46A0B"/>
    <w:rsid w:val="00F46ACA"/>
    <w:rsid w:val="00F46DBD"/>
    <w:rsid w:val="00F46E81"/>
    <w:rsid w:val="00F46F20"/>
    <w:rsid w:val="00F47311"/>
    <w:rsid w:val="00F47314"/>
    <w:rsid w:val="00F4778A"/>
    <w:rsid w:val="00F47954"/>
    <w:rsid w:val="00F47989"/>
    <w:rsid w:val="00F47AD4"/>
    <w:rsid w:val="00F47ADD"/>
    <w:rsid w:val="00F47AE4"/>
    <w:rsid w:val="00F47C91"/>
    <w:rsid w:val="00F47DBA"/>
    <w:rsid w:val="00F47E18"/>
    <w:rsid w:val="00F47FCB"/>
    <w:rsid w:val="00F50082"/>
    <w:rsid w:val="00F500A6"/>
    <w:rsid w:val="00F500BB"/>
    <w:rsid w:val="00F501B3"/>
    <w:rsid w:val="00F5027C"/>
    <w:rsid w:val="00F502ED"/>
    <w:rsid w:val="00F505C7"/>
    <w:rsid w:val="00F506EF"/>
    <w:rsid w:val="00F50830"/>
    <w:rsid w:val="00F50B83"/>
    <w:rsid w:val="00F51244"/>
    <w:rsid w:val="00F513A5"/>
    <w:rsid w:val="00F5140D"/>
    <w:rsid w:val="00F514AC"/>
    <w:rsid w:val="00F516D9"/>
    <w:rsid w:val="00F519AA"/>
    <w:rsid w:val="00F51B97"/>
    <w:rsid w:val="00F51BC9"/>
    <w:rsid w:val="00F51D15"/>
    <w:rsid w:val="00F51F95"/>
    <w:rsid w:val="00F5216D"/>
    <w:rsid w:val="00F52221"/>
    <w:rsid w:val="00F523F6"/>
    <w:rsid w:val="00F52539"/>
    <w:rsid w:val="00F525E9"/>
    <w:rsid w:val="00F5282A"/>
    <w:rsid w:val="00F52929"/>
    <w:rsid w:val="00F529AF"/>
    <w:rsid w:val="00F530A9"/>
    <w:rsid w:val="00F530E5"/>
    <w:rsid w:val="00F53116"/>
    <w:rsid w:val="00F531BA"/>
    <w:rsid w:val="00F531EA"/>
    <w:rsid w:val="00F53214"/>
    <w:rsid w:val="00F5394B"/>
    <w:rsid w:val="00F53972"/>
    <w:rsid w:val="00F53C16"/>
    <w:rsid w:val="00F53D00"/>
    <w:rsid w:val="00F54140"/>
    <w:rsid w:val="00F5421C"/>
    <w:rsid w:val="00F5462B"/>
    <w:rsid w:val="00F552D4"/>
    <w:rsid w:val="00F5552B"/>
    <w:rsid w:val="00F55559"/>
    <w:rsid w:val="00F5555A"/>
    <w:rsid w:val="00F555C9"/>
    <w:rsid w:val="00F555D5"/>
    <w:rsid w:val="00F55761"/>
    <w:rsid w:val="00F55831"/>
    <w:rsid w:val="00F5586A"/>
    <w:rsid w:val="00F558D2"/>
    <w:rsid w:val="00F558E9"/>
    <w:rsid w:val="00F55A74"/>
    <w:rsid w:val="00F55F2F"/>
    <w:rsid w:val="00F560D6"/>
    <w:rsid w:val="00F56264"/>
    <w:rsid w:val="00F565A3"/>
    <w:rsid w:val="00F5687E"/>
    <w:rsid w:val="00F56953"/>
    <w:rsid w:val="00F56A13"/>
    <w:rsid w:val="00F56A4E"/>
    <w:rsid w:val="00F56C5C"/>
    <w:rsid w:val="00F56C90"/>
    <w:rsid w:val="00F56CE8"/>
    <w:rsid w:val="00F56CF7"/>
    <w:rsid w:val="00F56D3B"/>
    <w:rsid w:val="00F56E8D"/>
    <w:rsid w:val="00F56FA7"/>
    <w:rsid w:val="00F56FDF"/>
    <w:rsid w:val="00F5738C"/>
    <w:rsid w:val="00F574E4"/>
    <w:rsid w:val="00F5794A"/>
    <w:rsid w:val="00F579AC"/>
    <w:rsid w:val="00F57A0B"/>
    <w:rsid w:val="00F57AB0"/>
    <w:rsid w:val="00F57ADB"/>
    <w:rsid w:val="00F57B87"/>
    <w:rsid w:val="00F57BD2"/>
    <w:rsid w:val="00F57E88"/>
    <w:rsid w:val="00F57F1C"/>
    <w:rsid w:val="00F600C8"/>
    <w:rsid w:val="00F603B1"/>
    <w:rsid w:val="00F6046D"/>
    <w:rsid w:val="00F604B2"/>
    <w:rsid w:val="00F60646"/>
    <w:rsid w:val="00F60664"/>
    <w:rsid w:val="00F60701"/>
    <w:rsid w:val="00F60763"/>
    <w:rsid w:val="00F6084D"/>
    <w:rsid w:val="00F60850"/>
    <w:rsid w:val="00F609F6"/>
    <w:rsid w:val="00F60A54"/>
    <w:rsid w:val="00F60D81"/>
    <w:rsid w:val="00F60F97"/>
    <w:rsid w:val="00F60FFF"/>
    <w:rsid w:val="00F614D8"/>
    <w:rsid w:val="00F61837"/>
    <w:rsid w:val="00F618CA"/>
    <w:rsid w:val="00F6192A"/>
    <w:rsid w:val="00F619CD"/>
    <w:rsid w:val="00F61A63"/>
    <w:rsid w:val="00F61B3D"/>
    <w:rsid w:val="00F61B6F"/>
    <w:rsid w:val="00F61C74"/>
    <w:rsid w:val="00F61D11"/>
    <w:rsid w:val="00F61DD8"/>
    <w:rsid w:val="00F61E1A"/>
    <w:rsid w:val="00F61E83"/>
    <w:rsid w:val="00F623C5"/>
    <w:rsid w:val="00F6245B"/>
    <w:rsid w:val="00F62470"/>
    <w:rsid w:val="00F626A8"/>
    <w:rsid w:val="00F62765"/>
    <w:rsid w:val="00F627F5"/>
    <w:rsid w:val="00F628BC"/>
    <w:rsid w:val="00F62A50"/>
    <w:rsid w:val="00F62AA1"/>
    <w:rsid w:val="00F62D3B"/>
    <w:rsid w:val="00F62D9A"/>
    <w:rsid w:val="00F62F36"/>
    <w:rsid w:val="00F631BA"/>
    <w:rsid w:val="00F63263"/>
    <w:rsid w:val="00F63406"/>
    <w:rsid w:val="00F63485"/>
    <w:rsid w:val="00F63942"/>
    <w:rsid w:val="00F63B5E"/>
    <w:rsid w:val="00F63E2A"/>
    <w:rsid w:val="00F63EF3"/>
    <w:rsid w:val="00F6406C"/>
    <w:rsid w:val="00F64334"/>
    <w:rsid w:val="00F64365"/>
    <w:rsid w:val="00F64406"/>
    <w:rsid w:val="00F644CF"/>
    <w:rsid w:val="00F6455C"/>
    <w:rsid w:val="00F6459E"/>
    <w:rsid w:val="00F64988"/>
    <w:rsid w:val="00F64C56"/>
    <w:rsid w:val="00F64D4F"/>
    <w:rsid w:val="00F64E7A"/>
    <w:rsid w:val="00F6506D"/>
    <w:rsid w:val="00F651F6"/>
    <w:rsid w:val="00F6534B"/>
    <w:rsid w:val="00F65637"/>
    <w:rsid w:val="00F656E0"/>
    <w:rsid w:val="00F657C1"/>
    <w:rsid w:val="00F659C5"/>
    <w:rsid w:val="00F65DE9"/>
    <w:rsid w:val="00F65FBA"/>
    <w:rsid w:val="00F66050"/>
    <w:rsid w:val="00F662AA"/>
    <w:rsid w:val="00F6662A"/>
    <w:rsid w:val="00F666A8"/>
    <w:rsid w:val="00F666F9"/>
    <w:rsid w:val="00F6677B"/>
    <w:rsid w:val="00F667EC"/>
    <w:rsid w:val="00F6689C"/>
    <w:rsid w:val="00F668DB"/>
    <w:rsid w:val="00F66A2E"/>
    <w:rsid w:val="00F66AE1"/>
    <w:rsid w:val="00F66BA1"/>
    <w:rsid w:val="00F66BC8"/>
    <w:rsid w:val="00F670FA"/>
    <w:rsid w:val="00F6729E"/>
    <w:rsid w:val="00F672D3"/>
    <w:rsid w:val="00F67365"/>
    <w:rsid w:val="00F6737A"/>
    <w:rsid w:val="00F675B6"/>
    <w:rsid w:val="00F6771E"/>
    <w:rsid w:val="00F679C2"/>
    <w:rsid w:val="00F67C6D"/>
    <w:rsid w:val="00F67EEA"/>
    <w:rsid w:val="00F702CB"/>
    <w:rsid w:val="00F703AB"/>
    <w:rsid w:val="00F70573"/>
    <w:rsid w:val="00F706CE"/>
    <w:rsid w:val="00F709A1"/>
    <w:rsid w:val="00F70BFA"/>
    <w:rsid w:val="00F70BFD"/>
    <w:rsid w:val="00F70C17"/>
    <w:rsid w:val="00F70D5A"/>
    <w:rsid w:val="00F70F0E"/>
    <w:rsid w:val="00F70FB7"/>
    <w:rsid w:val="00F71002"/>
    <w:rsid w:val="00F71767"/>
    <w:rsid w:val="00F71831"/>
    <w:rsid w:val="00F71839"/>
    <w:rsid w:val="00F7190F"/>
    <w:rsid w:val="00F71D57"/>
    <w:rsid w:val="00F71E45"/>
    <w:rsid w:val="00F72325"/>
    <w:rsid w:val="00F72373"/>
    <w:rsid w:val="00F723EE"/>
    <w:rsid w:val="00F72CB2"/>
    <w:rsid w:val="00F72CC9"/>
    <w:rsid w:val="00F72E2D"/>
    <w:rsid w:val="00F732C7"/>
    <w:rsid w:val="00F7345A"/>
    <w:rsid w:val="00F7362A"/>
    <w:rsid w:val="00F73724"/>
    <w:rsid w:val="00F738F3"/>
    <w:rsid w:val="00F739A2"/>
    <w:rsid w:val="00F73B5C"/>
    <w:rsid w:val="00F73C71"/>
    <w:rsid w:val="00F73F7C"/>
    <w:rsid w:val="00F7405A"/>
    <w:rsid w:val="00F742E3"/>
    <w:rsid w:val="00F7435C"/>
    <w:rsid w:val="00F747C7"/>
    <w:rsid w:val="00F74B3A"/>
    <w:rsid w:val="00F74C07"/>
    <w:rsid w:val="00F74EA4"/>
    <w:rsid w:val="00F75095"/>
    <w:rsid w:val="00F75183"/>
    <w:rsid w:val="00F75483"/>
    <w:rsid w:val="00F75654"/>
    <w:rsid w:val="00F756EB"/>
    <w:rsid w:val="00F75860"/>
    <w:rsid w:val="00F7589F"/>
    <w:rsid w:val="00F759C8"/>
    <w:rsid w:val="00F759E3"/>
    <w:rsid w:val="00F75BCF"/>
    <w:rsid w:val="00F76028"/>
    <w:rsid w:val="00F76825"/>
    <w:rsid w:val="00F76940"/>
    <w:rsid w:val="00F76C96"/>
    <w:rsid w:val="00F76E49"/>
    <w:rsid w:val="00F76ED2"/>
    <w:rsid w:val="00F772EE"/>
    <w:rsid w:val="00F77356"/>
    <w:rsid w:val="00F7747E"/>
    <w:rsid w:val="00F775B2"/>
    <w:rsid w:val="00F7768B"/>
    <w:rsid w:val="00F77AE6"/>
    <w:rsid w:val="00F77BAE"/>
    <w:rsid w:val="00F77BFE"/>
    <w:rsid w:val="00F77C5B"/>
    <w:rsid w:val="00F77C5F"/>
    <w:rsid w:val="00F77C8D"/>
    <w:rsid w:val="00F77D69"/>
    <w:rsid w:val="00F77D7F"/>
    <w:rsid w:val="00F77EA7"/>
    <w:rsid w:val="00F77FCA"/>
    <w:rsid w:val="00F805FE"/>
    <w:rsid w:val="00F806D3"/>
    <w:rsid w:val="00F806D6"/>
    <w:rsid w:val="00F806FB"/>
    <w:rsid w:val="00F809BB"/>
    <w:rsid w:val="00F80B0E"/>
    <w:rsid w:val="00F80C47"/>
    <w:rsid w:val="00F80E29"/>
    <w:rsid w:val="00F810BE"/>
    <w:rsid w:val="00F818FB"/>
    <w:rsid w:val="00F81DDC"/>
    <w:rsid w:val="00F8203B"/>
    <w:rsid w:val="00F8285A"/>
    <w:rsid w:val="00F828F7"/>
    <w:rsid w:val="00F82A34"/>
    <w:rsid w:val="00F82B49"/>
    <w:rsid w:val="00F82EBD"/>
    <w:rsid w:val="00F8309F"/>
    <w:rsid w:val="00F830C6"/>
    <w:rsid w:val="00F830D7"/>
    <w:rsid w:val="00F83149"/>
    <w:rsid w:val="00F832E1"/>
    <w:rsid w:val="00F83381"/>
    <w:rsid w:val="00F834F5"/>
    <w:rsid w:val="00F83713"/>
    <w:rsid w:val="00F83BD6"/>
    <w:rsid w:val="00F83C32"/>
    <w:rsid w:val="00F83DE1"/>
    <w:rsid w:val="00F83DEB"/>
    <w:rsid w:val="00F83EB6"/>
    <w:rsid w:val="00F83EDC"/>
    <w:rsid w:val="00F83F95"/>
    <w:rsid w:val="00F8417E"/>
    <w:rsid w:val="00F84275"/>
    <w:rsid w:val="00F842E8"/>
    <w:rsid w:val="00F843DB"/>
    <w:rsid w:val="00F84483"/>
    <w:rsid w:val="00F844E1"/>
    <w:rsid w:val="00F845CB"/>
    <w:rsid w:val="00F8470B"/>
    <w:rsid w:val="00F84828"/>
    <w:rsid w:val="00F84BB5"/>
    <w:rsid w:val="00F84C56"/>
    <w:rsid w:val="00F84D71"/>
    <w:rsid w:val="00F84DC7"/>
    <w:rsid w:val="00F85151"/>
    <w:rsid w:val="00F853FC"/>
    <w:rsid w:val="00F857FC"/>
    <w:rsid w:val="00F85AFB"/>
    <w:rsid w:val="00F85E08"/>
    <w:rsid w:val="00F86311"/>
    <w:rsid w:val="00F8644E"/>
    <w:rsid w:val="00F86568"/>
    <w:rsid w:val="00F86582"/>
    <w:rsid w:val="00F86587"/>
    <w:rsid w:val="00F866C5"/>
    <w:rsid w:val="00F86AA7"/>
    <w:rsid w:val="00F86BEE"/>
    <w:rsid w:val="00F86DC7"/>
    <w:rsid w:val="00F86EEE"/>
    <w:rsid w:val="00F87167"/>
    <w:rsid w:val="00F872F6"/>
    <w:rsid w:val="00F875E7"/>
    <w:rsid w:val="00F878D0"/>
    <w:rsid w:val="00F87DAA"/>
    <w:rsid w:val="00F87DEB"/>
    <w:rsid w:val="00F87E24"/>
    <w:rsid w:val="00F901A4"/>
    <w:rsid w:val="00F903EA"/>
    <w:rsid w:val="00F90735"/>
    <w:rsid w:val="00F907A1"/>
    <w:rsid w:val="00F908FC"/>
    <w:rsid w:val="00F909BC"/>
    <w:rsid w:val="00F90BB6"/>
    <w:rsid w:val="00F90C99"/>
    <w:rsid w:val="00F90E3E"/>
    <w:rsid w:val="00F9113D"/>
    <w:rsid w:val="00F9119D"/>
    <w:rsid w:val="00F911B3"/>
    <w:rsid w:val="00F9136B"/>
    <w:rsid w:val="00F9171B"/>
    <w:rsid w:val="00F919DE"/>
    <w:rsid w:val="00F91B9C"/>
    <w:rsid w:val="00F91BB4"/>
    <w:rsid w:val="00F91C69"/>
    <w:rsid w:val="00F91DB7"/>
    <w:rsid w:val="00F921AA"/>
    <w:rsid w:val="00F923B1"/>
    <w:rsid w:val="00F923EF"/>
    <w:rsid w:val="00F928C9"/>
    <w:rsid w:val="00F92FB1"/>
    <w:rsid w:val="00F93034"/>
    <w:rsid w:val="00F93301"/>
    <w:rsid w:val="00F934E8"/>
    <w:rsid w:val="00F936AF"/>
    <w:rsid w:val="00F93865"/>
    <w:rsid w:val="00F93CEA"/>
    <w:rsid w:val="00F93D03"/>
    <w:rsid w:val="00F93D1E"/>
    <w:rsid w:val="00F93D93"/>
    <w:rsid w:val="00F93E0B"/>
    <w:rsid w:val="00F94207"/>
    <w:rsid w:val="00F9424F"/>
    <w:rsid w:val="00F9435F"/>
    <w:rsid w:val="00F943C1"/>
    <w:rsid w:val="00F94442"/>
    <w:rsid w:val="00F94516"/>
    <w:rsid w:val="00F9467C"/>
    <w:rsid w:val="00F94852"/>
    <w:rsid w:val="00F949CF"/>
    <w:rsid w:val="00F94A15"/>
    <w:rsid w:val="00F94A9A"/>
    <w:rsid w:val="00F94AAB"/>
    <w:rsid w:val="00F94AEA"/>
    <w:rsid w:val="00F94BD0"/>
    <w:rsid w:val="00F94C6C"/>
    <w:rsid w:val="00F94CE9"/>
    <w:rsid w:val="00F94DD1"/>
    <w:rsid w:val="00F94E3B"/>
    <w:rsid w:val="00F94F58"/>
    <w:rsid w:val="00F94F91"/>
    <w:rsid w:val="00F951F4"/>
    <w:rsid w:val="00F951F9"/>
    <w:rsid w:val="00F9543A"/>
    <w:rsid w:val="00F9551A"/>
    <w:rsid w:val="00F9560E"/>
    <w:rsid w:val="00F958AA"/>
    <w:rsid w:val="00F95911"/>
    <w:rsid w:val="00F95C36"/>
    <w:rsid w:val="00F95C80"/>
    <w:rsid w:val="00F95CAA"/>
    <w:rsid w:val="00F96059"/>
    <w:rsid w:val="00F962DA"/>
    <w:rsid w:val="00F96563"/>
    <w:rsid w:val="00F96779"/>
    <w:rsid w:val="00F96801"/>
    <w:rsid w:val="00F96854"/>
    <w:rsid w:val="00F9694B"/>
    <w:rsid w:val="00F96A2C"/>
    <w:rsid w:val="00F96BFF"/>
    <w:rsid w:val="00F96C66"/>
    <w:rsid w:val="00F96D21"/>
    <w:rsid w:val="00F96EDB"/>
    <w:rsid w:val="00F96F29"/>
    <w:rsid w:val="00F96F9C"/>
    <w:rsid w:val="00F971C6"/>
    <w:rsid w:val="00F973A5"/>
    <w:rsid w:val="00F973D7"/>
    <w:rsid w:val="00F97413"/>
    <w:rsid w:val="00F97A2C"/>
    <w:rsid w:val="00F97AAE"/>
    <w:rsid w:val="00F97E5F"/>
    <w:rsid w:val="00F97EA1"/>
    <w:rsid w:val="00FA00C8"/>
    <w:rsid w:val="00FA0193"/>
    <w:rsid w:val="00FA01F0"/>
    <w:rsid w:val="00FA03C9"/>
    <w:rsid w:val="00FA0424"/>
    <w:rsid w:val="00FA050F"/>
    <w:rsid w:val="00FA061E"/>
    <w:rsid w:val="00FA0671"/>
    <w:rsid w:val="00FA0848"/>
    <w:rsid w:val="00FA0890"/>
    <w:rsid w:val="00FA0A68"/>
    <w:rsid w:val="00FA0AAD"/>
    <w:rsid w:val="00FA0F1C"/>
    <w:rsid w:val="00FA1173"/>
    <w:rsid w:val="00FA168C"/>
    <w:rsid w:val="00FA1939"/>
    <w:rsid w:val="00FA197A"/>
    <w:rsid w:val="00FA1CC9"/>
    <w:rsid w:val="00FA1CE2"/>
    <w:rsid w:val="00FA1D4D"/>
    <w:rsid w:val="00FA1F29"/>
    <w:rsid w:val="00FA1F40"/>
    <w:rsid w:val="00FA2268"/>
    <w:rsid w:val="00FA2474"/>
    <w:rsid w:val="00FA2590"/>
    <w:rsid w:val="00FA26A2"/>
    <w:rsid w:val="00FA27CE"/>
    <w:rsid w:val="00FA27E7"/>
    <w:rsid w:val="00FA2CA3"/>
    <w:rsid w:val="00FA2D55"/>
    <w:rsid w:val="00FA2E0B"/>
    <w:rsid w:val="00FA2E3B"/>
    <w:rsid w:val="00FA2F25"/>
    <w:rsid w:val="00FA32D1"/>
    <w:rsid w:val="00FA33DB"/>
    <w:rsid w:val="00FA362A"/>
    <w:rsid w:val="00FA375F"/>
    <w:rsid w:val="00FA398C"/>
    <w:rsid w:val="00FA3AB9"/>
    <w:rsid w:val="00FA3CB3"/>
    <w:rsid w:val="00FA3CDB"/>
    <w:rsid w:val="00FA3D21"/>
    <w:rsid w:val="00FA3E2D"/>
    <w:rsid w:val="00FA400B"/>
    <w:rsid w:val="00FA4652"/>
    <w:rsid w:val="00FA47F2"/>
    <w:rsid w:val="00FA4BBC"/>
    <w:rsid w:val="00FA4C61"/>
    <w:rsid w:val="00FA4E89"/>
    <w:rsid w:val="00FA4F4A"/>
    <w:rsid w:val="00FA5851"/>
    <w:rsid w:val="00FA5921"/>
    <w:rsid w:val="00FA5BA0"/>
    <w:rsid w:val="00FA5BDC"/>
    <w:rsid w:val="00FA5C3C"/>
    <w:rsid w:val="00FA608F"/>
    <w:rsid w:val="00FA627D"/>
    <w:rsid w:val="00FA62CD"/>
    <w:rsid w:val="00FA6570"/>
    <w:rsid w:val="00FA6765"/>
    <w:rsid w:val="00FA6A86"/>
    <w:rsid w:val="00FA6A90"/>
    <w:rsid w:val="00FA6AC6"/>
    <w:rsid w:val="00FA6BDA"/>
    <w:rsid w:val="00FA6CEA"/>
    <w:rsid w:val="00FA6EC4"/>
    <w:rsid w:val="00FA6FFC"/>
    <w:rsid w:val="00FA70C7"/>
    <w:rsid w:val="00FA72A8"/>
    <w:rsid w:val="00FA73CD"/>
    <w:rsid w:val="00FA7590"/>
    <w:rsid w:val="00FA767C"/>
    <w:rsid w:val="00FA7816"/>
    <w:rsid w:val="00FA7BDD"/>
    <w:rsid w:val="00FA7CD6"/>
    <w:rsid w:val="00FA7FCE"/>
    <w:rsid w:val="00FA7FEA"/>
    <w:rsid w:val="00FB025A"/>
    <w:rsid w:val="00FB0302"/>
    <w:rsid w:val="00FB0413"/>
    <w:rsid w:val="00FB05AC"/>
    <w:rsid w:val="00FB072A"/>
    <w:rsid w:val="00FB07FE"/>
    <w:rsid w:val="00FB086E"/>
    <w:rsid w:val="00FB089C"/>
    <w:rsid w:val="00FB0B39"/>
    <w:rsid w:val="00FB0BD5"/>
    <w:rsid w:val="00FB0CEB"/>
    <w:rsid w:val="00FB0CF7"/>
    <w:rsid w:val="00FB0D48"/>
    <w:rsid w:val="00FB0E2A"/>
    <w:rsid w:val="00FB0FBC"/>
    <w:rsid w:val="00FB1262"/>
    <w:rsid w:val="00FB1299"/>
    <w:rsid w:val="00FB1427"/>
    <w:rsid w:val="00FB1587"/>
    <w:rsid w:val="00FB17F0"/>
    <w:rsid w:val="00FB1810"/>
    <w:rsid w:val="00FB1826"/>
    <w:rsid w:val="00FB1E26"/>
    <w:rsid w:val="00FB1ED9"/>
    <w:rsid w:val="00FB1F84"/>
    <w:rsid w:val="00FB22C1"/>
    <w:rsid w:val="00FB253D"/>
    <w:rsid w:val="00FB25C1"/>
    <w:rsid w:val="00FB2BA2"/>
    <w:rsid w:val="00FB2C3E"/>
    <w:rsid w:val="00FB2EFD"/>
    <w:rsid w:val="00FB30C7"/>
    <w:rsid w:val="00FB3292"/>
    <w:rsid w:val="00FB3293"/>
    <w:rsid w:val="00FB347F"/>
    <w:rsid w:val="00FB34E8"/>
    <w:rsid w:val="00FB3541"/>
    <w:rsid w:val="00FB35D3"/>
    <w:rsid w:val="00FB3626"/>
    <w:rsid w:val="00FB36C8"/>
    <w:rsid w:val="00FB370E"/>
    <w:rsid w:val="00FB371B"/>
    <w:rsid w:val="00FB3C15"/>
    <w:rsid w:val="00FB3C2F"/>
    <w:rsid w:val="00FB3C4E"/>
    <w:rsid w:val="00FB3C95"/>
    <w:rsid w:val="00FB3E25"/>
    <w:rsid w:val="00FB3F1E"/>
    <w:rsid w:val="00FB3F35"/>
    <w:rsid w:val="00FB41E5"/>
    <w:rsid w:val="00FB4C7A"/>
    <w:rsid w:val="00FB4D05"/>
    <w:rsid w:val="00FB51B7"/>
    <w:rsid w:val="00FB527A"/>
    <w:rsid w:val="00FB535B"/>
    <w:rsid w:val="00FB54A6"/>
    <w:rsid w:val="00FB5506"/>
    <w:rsid w:val="00FB55B7"/>
    <w:rsid w:val="00FB5641"/>
    <w:rsid w:val="00FB56B3"/>
    <w:rsid w:val="00FB56CA"/>
    <w:rsid w:val="00FB58FB"/>
    <w:rsid w:val="00FB5B38"/>
    <w:rsid w:val="00FB5F49"/>
    <w:rsid w:val="00FB604E"/>
    <w:rsid w:val="00FB60EB"/>
    <w:rsid w:val="00FB627F"/>
    <w:rsid w:val="00FB6616"/>
    <w:rsid w:val="00FB683D"/>
    <w:rsid w:val="00FB6AA0"/>
    <w:rsid w:val="00FB6AE1"/>
    <w:rsid w:val="00FB6C38"/>
    <w:rsid w:val="00FB6F4C"/>
    <w:rsid w:val="00FB7434"/>
    <w:rsid w:val="00FB7494"/>
    <w:rsid w:val="00FB74E5"/>
    <w:rsid w:val="00FB75A9"/>
    <w:rsid w:val="00FB760B"/>
    <w:rsid w:val="00FB762C"/>
    <w:rsid w:val="00FB77B7"/>
    <w:rsid w:val="00FB784E"/>
    <w:rsid w:val="00FB7A65"/>
    <w:rsid w:val="00FB7CEE"/>
    <w:rsid w:val="00FB7D1F"/>
    <w:rsid w:val="00FB7E2B"/>
    <w:rsid w:val="00FB7F41"/>
    <w:rsid w:val="00FC05C5"/>
    <w:rsid w:val="00FC05F2"/>
    <w:rsid w:val="00FC06A7"/>
    <w:rsid w:val="00FC07D6"/>
    <w:rsid w:val="00FC08A0"/>
    <w:rsid w:val="00FC09B7"/>
    <w:rsid w:val="00FC0AB4"/>
    <w:rsid w:val="00FC0D94"/>
    <w:rsid w:val="00FC0EDB"/>
    <w:rsid w:val="00FC1141"/>
    <w:rsid w:val="00FC1203"/>
    <w:rsid w:val="00FC1896"/>
    <w:rsid w:val="00FC18A1"/>
    <w:rsid w:val="00FC1A9D"/>
    <w:rsid w:val="00FC1B4E"/>
    <w:rsid w:val="00FC1C1C"/>
    <w:rsid w:val="00FC1CC3"/>
    <w:rsid w:val="00FC1FF2"/>
    <w:rsid w:val="00FC20D1"/>
    <w:rsid w:val="00FC2104"/>
    <w:rsid w:val="00FC2181"/>
    <w:rsid w:val="00FC2326"/>
    <w:rsid w:val="00FC245B"/>
    <w:rsid w:val="00FC25E3"/>
    <w:rsid w:val="00FC26DA"/>
    <w:rsid w:val="00FC27CA"/>
    <w:rsid w:val="00FC2B0D"/>
    <w:rsid w:val="00FC2B46"/>
    <w:rsid w:val="00FC2B7D"/>
    <w:rsid w:val="00FC2C62"/>
    <w:rsid w:val="00FC2CF9"/>
    <w:rsid w:val="00FC2DFA"/>
    <w:rsid w:val="00FC344D"/>
    <w:rsid w:val="00FC344E"/>
    <w:rsid w:val="00FC3573"/>
    <w:rsid w:val="00FC37C7"/>
    <w:rsid w:val="00FC380A"/>
    <w:rsid w:val="00FC3823"/>
    <w:rsid w:val="00FC3978"/>
    <w:rsid w:val="00FC39D1"/>
    <w:rsid w:val="00FC3A2F"/>
    <w:rsid w:val="00FC3A87"/>
    <w:rsid w:val="00FC3D5B"/>
    <w:rsid w:val="00FC3E13"/>
    <w:rsid w:val="00FC3F0C"/>
    <w:rsid w:val="00FC409E"/>
    <w:rsid w:val="00FC4247"/>
    <w:rsid w:val="00FC4350"/>
    <w:rsid w:val="00FC4980"/>
    <w:rsid w:val="00FC4E60"/>
    <w:rsid w:val="00FC4FF1"/>
    <w:rsid w:val="00FC5180"/>
    <w:rsid w:val="00FC57D7"/>
    <w:rsid w:val="00FC5985"/>
    <w:rsid w:val="00FC5C06"/>
    <w:rsid w:val="00FC603E"/>
    <w:rsid w:val="00FC6122"/>
    <w:rsid w:val="00FC6170"/>
    <w:rsid w:val="00FC66BA"/>
    <w:rsid w:val="00FC6735"/>
    <w:rsid w:val="00FC68B7"/>
    <w:rsid w:val="00FC6F9C"/>
    <w:rsid w:val="00FC712B"/>
    <w:rsid w:val="00FC71EB"/>
    <w:rsid w:val="00FC75D8"/>
    <w:rsid w:val="00FC7B36"/>
    <w:rsid w:val="00FC7BBE"/>
    <w:rsid w:val="00FC7CA6"/>
    <w:rsid w:val="00FC7CBF"/>
    <w:rsid w:val="00FC7D2C"/>
    <w:rsid w:val="00FC7D60"/>
    <w:rsid w:val="00FD0072"/>
    <w:rsid w:val="00FD0318"/>
    <w:rsid w:val="00FD034D"/>
    <w:rsid w:val="00FD043B"/>
    <w:rsid w:val="00FD0583"/>
    <w:rsid w:val="00FD0972"/>
    <w:rsid w:val="00FD0A1E"/>
    <w:rsid w:val="00FD0ECB"/>
    <w:rsid w:val="00FD0F3F"/>
    <w:rsid w:val="00FD1015"/>
    <w:rsid w:val="00FD10F1"/>
    <w:rsid w:val="00FD10FD"/>
    <w:rsid w:val="00FD16F6"/>
    <w:rsid w:val="00FD1741"/>
    <w:rsid w:val="00FD185C"/>
    <w:rsid w:val="00FD193E"/>
    <w:rsid w:val="00FD1B0D"/>
    <w:rsid w:val="00FD1C2F"/>
    <w:rsid w:val="00FD2009"/>
    <w:rsid w:val="00FD203E"/>
    <w:rsid w:val="00FD2138"/>
    <w:rsid w:val="00FD2147"/>
    <w:rsid w:val="00FD21A4"/>
    <w:rsid w:val="00FD2449"/>
    <w:rsid w:val="00FD255F"/>
    <w:rsid w:val="00FD2592"/>
    <w:rsid w:val="00FD27AD"/>
    <w:rsid w:val="00FD27F9"/>
    <w:rsid w:val="00FD2949"/>
    <w:rsid w:val="00FD2ACB"/>
    <w:rsid w:val="00FD2B02"/>
    <w:rsid w:val="00FD2B72"/>
    <w:rsid w:val="00FD2BD4"/>
    <w:rsid w:val="00FD2D64"/>
    <w:rsid w:val="00FD2E8F"/>
    <w:rsid w:val="00FD316C"/>
    <w:rsid w:val="00FD3454"/>
    <w:rsid w:val="00FD3680"/>
    <w:rsid w:val="00FD3928"/>
    <w:rsid w:val="00FD3DE4"/>
    <w:rsid w:val="00FD4049"/>
    <w:rsid w:val="00FD4200"/>
    <w:rsid w:val="00FD46A5"/>
    <w:rsid w:val="00FD4886"/>
    <w:rsid w:val="00FD4B86"/>
    <w:rsid w:val="00FD4CA1"/>
    <w:rsid w:val="00FD4E71"/>
    <w:rsid w:val="00FD505C"/>
    <w:rsid w:val="00FD5093"/>
    <w:rsid w:val="00FD51D6"/>
    <w:rsid w:val="00FD5421"/>
    <w:rsid w:val="00FD5458"/>
    <w:rsid w:val="00FD548B"/>
    <w:rsid w:val="00FD54F7"/>
    <w:rsid w:val="00FD557A"/>
    <w:rsid w:val="00FD56C2"/>
    <w:rsid w:val="00FD585D"/>
    <w:rsid w:val="00FD58C4"/>
    <w:rsid w:val="00FD58F2"/>
    <w:rsid w:val="00FD5946"/>
    <w:rsid w:val="00FD59B1"/>
    <w:rsid w:val="00FD59DB"/>
    <w:rsid w:val="00FD5D9D"/>
    <w:rsid w:val="00FD5E32"/>
    <w:rsid w:val="00FD5F41"/>
    <w:rsid w:val="00FD6066"/>
    <w:rsid w:val="00FD609A"/>
    <w:rsid w:val="00FD61F3"/>
    <w:rsid w:val="00FD6283"/>
    <w:rsid w:val="00FD6324"/>
    <w:rsid w:val="00FD635D"/>
    <w:rsid w:val="00FD63F8"/>
    <w:rsid w:val="00FD6482"/>
    <w:rsid w:val="00FD6645"/>
    <w:rsid w:val="00FD6B40"/>
    <w:rsid w:val="00FD6C3A"/>
    <w:rsid w:val="00FD6CF9"/>
    <w:rsid w:val="00FD6D29"/>
    <w:rsid w:val="00FD6DD6"/>
    <w:rsid w:val="00FD6F4F"/>
    <w:rsid w:val="00FD7178"/>
    <w:rsid w:val="00FD74F9"/>
    <w:rsid w:val="00FD75B2"/>
    <w:rsid w:val="00FD75C2"/>
    <w:rsid w:val="00FD766A"/>
    <w:rsid w:val="00FD78B7"/>
    <w:rsid w:val="00FD78E0"/>
    <w:rsid w:val="00FD78ED"/>
    <w:rsid w:val="00FD7B39"/>
    <w:rsid w:val="00FD7BB9"/>
    <w:rsid w:val="00FD7CBD"/>
    <w:rsid w:val="00FD7CDB"/>
    <w:rsid w:val="00FD7D65"/>
    <w:rsid w:val="00FD7D79"/>
    <w:rsid w:val="00FD7F1B"/>
    <w:rsid w:val="00FD7F61"/>
    <w:rsid w:val="00FE0214"/>
    <w:rsid w:val="00FE036E"/>
    <w:rsid w:val="00FE03E4"/>
    <w:rsid w:val="00FE0772"/>
    <w:rsid w:val="00FE0950"/>
    <w:rsid w:val="00FE09DF"/>
    <w:rsid w:val="00FE0ADC"/>
    <w:rsid w:val="00FE0AF3"/>
    <w:rsid w:val="00FE0BD6"/>
    <w:rsid w:val="00FE0BF4"/>
    <w:rsid w:val="00FE10FF"/>
    <w:rsid w:val="00FE11E9"/>
    <w:rsid w:val="00FE1468"/>
    <w:rsid w:val="00FE151C"/>
    <w:rsid w:val="00FE1777"/>
    <w:rsid w:val="00FE18EC"/>
    <w:rsid w:val="00FE1954"/>
    <w:rsid w:val="00FE19F9"/>
    <w:rsid w:val="00FE1D82"/>
    <w:rsid w:val="00FE1F78"/>
    <w:rsid w:val="00FE218D"/>
    <w:rsid w:val="00FE275F"/>
    <w:rsid w:val="00FE2760"/>
    <w:rsid w:val="00FE27BF"/>
    <w:rsid w:val="00FE28CF"/>
    <w:rsid w:val="00FE29D3"/>
    <w:rsid w:val="00FE2CEE"/>
    <w:rsid w:val="00FE2E35"/>
    <w:rsid w:val="00FE3424"/>
    <w:rsid w:val="00FE3479"/>
    <w:rsid w:val="00FE37A8"/>
    <w:rsid w:val="00FE3A74"/>
    <w:rsid w:val="00FE4248"/>
    <w:rsid w:val="00FE4472"/>
    <w:rsid w:val="00FE4535"/>
    <w:rsid w:val="00FE45E7"/>
    <w:rsid w:val="00FE48AD"/>
    <w:rsid w:val="00FE48DC"/>
    <w:rsid w:val="00FE49EB"/>
    <w:rsid w:val="00FE4ABD"/>
    <w:rsid w:val="00FE4C44"/>
    <w:rsid w:val="00FE4C5C"/>
    <w:rsid w:val="00FE4CEF"/>
    <w:rsid w:val="00FE4D17"/>
    <w:rsid w:val="00FE503F"/>
    <w:rsid w:val="00FE51CC"/>
    <w:rsid w:val="00FE5469"/>
    <w:rsid w:val="00FE5538"/>
    <w:rsid w:val="00FE55E6"/>
    <w:rsid w:val="00FE57E6"/>
    <w:rsid w:val="00FE58DA"/>
    <w:rsid w:val="00FE5B40"/>
    <w:rsid w:val="00FE5E7D"/>
    <w:rsid w:val="00FE5F00"/>
    <w:rsid w:val="00FE5FA5"/>
    <w:rsid w:val="00FE6111"/>
    <w:rsid w:val="00FE6381"/>
    <w:rsid w:val="00FE67F4"/>
    <w:rsid w:val="00FE6887"/>
    <w:rsid w:val="00FE6950"/>
    <w:rsid w:val="00FE6A0A"/>
    <w:rsid w:val="00FE6A11"/>
    <w:rsid w:val="00FE6AD3"/>
    <w:rsid w:val="00FE6B9F"/>
    <w:rsid w:val="00FE6BD9"/>
    <w:rsid w:val="00FE6E0A"/>
    <w:rsid w:val="00FE709B"/>
    <w:rsid w:val="00FE7157"/>
    <w:rsid w:val="00FE72B4"/>
    <w:rsid w:val="00FE72EE"/>
    <w:rsid w:val="00FE736F"/>
    <w:rsid w:val="00FE7516"/>
    <w:rsid w:val="00FE794E"/>
    <w:rsid w:val="00FE7A29"/>
    <w:rsid w:val="00FE7B5D"/>
    <w:rsid w:val="00FE7C57"/>
    <w:rsid w:val="00FE7D73"/>
    <w:rsid w:val="00FE7E6F"/>
    <w:rsid w:val="00FE7F6C"/>
    <w:rsid w:val="00FF025D"/>
    <w:rsid w:val="00FF03D8"/>
    <w:rsid w:val="00FF04E1"/>
    <w:rsid w:val="00FF0881"/>
    <w:rsid w:val="00FF08AB"/>
    <w:rsid w:val="00FF0A89"/>
    <w:rsid w:val="00FF0D6E"/>
    <w:rsid w:val="00FF0F52"/>
    <w:rsid w:val="00FF1051"/>
    <w:rsid w:val="00FF10E3"/>
    <w:rsid w:val="00FF1285"/>
    <w:rsid w:val="00FF1394"/>
    <w:rsid w:val="00FF1649"/>
    <w:rsid w:val="00FF1997"/>
    <w:rsid w:val="00FF19C3"/>
    <w:rsid w:val="00FF1A0B"/>
    <w:rsid w:val="00FF1A79"/>
    <w:rsid w:val="00FF1AF0"/>
    <w:rsid w:val="00FF1B86"/>
    <w:rsid w:val="00FF1E8D"/>
    <w:rsid w:val="00FF1EC9"/>
    <w:rsid w:val="00FF1F04"/>
    <w:rsid w:val="00FF205F"/>
    <w:rsid w:val="00FF21D2"/>
    <w:rsid w:val="00FF2419"/>
    <w:rsid w:val="00FF26AA"/>
    <w:rsid w:val="00FF2C77"/>
    <w:rsid w:val="00FF2EB5"/>
    <w:rsid w:val="00FF3079"/>
    <w:rsid w:val="00FF3082"/>
    <w:rsid w:val="00FF30CE"/>
    <w:rsid w:val="00FF30DE"/>
    <w:rsid w:val="00FF31E5"/>
    <w:rsid w:val="00FF3343"/>
    <w:rsid w:val="00FF35AC"/>
    <w:rsid w:val="00FF37D6"/>
    <w:rsid w:val="00FF38EB"/>
    <w:rsid w:val="00FF3988"/>
    <w:rsid w:val="00FF3BC0"/>
    <w:rsid w:val="00FF3C9C"/>
    <w:rsid w:val="00FF3E8E"/>
    <w:rsid w:val="00FF4085"/>
    <w:rsid w:val="00FF42FA"/>
    <w:rsid w:val="00FF4551"/>
    <w:rsid w:val="00FF459C"/>
    <w:rsid w:val="00FF46FB"/>
    <w:rsid w:val="00FF47F7"/>
    <w:rsid w:val="00FF484D"/>
    <w:rsid w:val="00FF4956"/>
    <w:rsid w:val="00FF4C10"/>
    <w:rsid w:val="00FF4C22"/>
    <w:rsid w:val="00FF4C33"/>
    <w:rsid w:val="00FF4CED"/>
    <w:rsid w:val="00FF4E35"/>
    <w:rsid w:val="00FF5117"/>
    <w:rsid w:val="00FF5211"/>
    <w:rsid w:val="00FF536B"/>
    <w:rsid w:val="00FF57ED"/>
    <w:rsid w:val="00FF5B1A"/>
    <w:rsid w:val="00FF5BFF"/>
    <w:rsid w:val="00FF5CC1"/>
    <w:rsid w:val="00FF5F14"/>
    <w:rsid w:val="00FF6059"/>
    <w:rsid w:val="00FF615F"/>
    <w:rsid w:val="00FF63A8"/>
    <w:rsid w:val="00FF63F7"/>
    <w:rsid w:val="00FF657D"/>
    <w:rsid w:val="00FF65AE"/>
    <w:rsid w:val="00FF681F"/>
    <w:rsid w:val="00FF6834"/>
    <w:rsid w:val="00FF68E7"/>
    <w:rsid w:val="00FF69A5"/>
    <w:rsid w:val="00FF6B64"/>
    <w:rsid w:val="00FF6B9D"/>
    <w:rsid w:val="00FF6DFE"/>
    <w:rsid w:val="00FF7087"/>
    <w:rsid w:val="00FF70A3"/>
    <w:rsid w:val="00FF7328"/>
    <w:rsid w:val="00FF738C"/>
    <w:rsid w:val="00FF75BE"/>
    <w:rsid w:val="00FF762F"/>
    <w:rsid w:val="00FF777A"/>
    <w:rsid w:val="00FF778A"/>
    <w:rsid w:val="00FF7D51"/>
    <w:rsid w:val="00FF7D96"/>
    <w:rsid w:val="00FF7E8D"/>
    <w:rsid w:val="0124AFF9"/>
    <w:rsid w:val="028E0567"/>
    <w:rsid w:val="0532C804"/>
    <w:rsid w:val="063BE91B"/>
    <w:rsid w:val="06E3F689"/>
    <w:rsid w:val="09AF6456"/>
    <w:rsid w:val="0B87DA74"/>
    <w:rsid w:val="0D0C7CD5"/>
    <w:rsid w:val="0DB28FE6"/>
    <w:rsid w:val="0E2DD2A3"/>
    <w:rsid w:val="0E46FB00"/>
    <w:rsid w:val="0EB1DE69"/>
    <w:rsid w:val="0F1D7249"/>
    <w:rsid w:val="0FE2CB61"/>
    <w:rsid w:val="115E052E"/>
    <w:rsid w:val="12440C3E"/>
    <w:rsid w:val="12E7F130"/>
    <w:rsid w:val="13A5D3D3"/>
    <w:rsid w:val="15629036"/>
    <w:rsid w:val="1B6D3534"/>
    <w:rsid w:val="1BBC509F"/>
    <w:rsid w:val="1D171524"/>
    <w:rsid w:val="1D66723E"/>
    <w:rsid w:val="1EACB21E"/>
    <w:rsid w:val="1EF3F161"/>
    <w:rsid w:val="1FF9FD7F"/>
    <w:rsid w:val="2064CEB3"/>
    <w:rsid w:val="226C0023"/>
    <w:rsid w:val="22E7DA58"/>
    <w:rsid w:val="23490036"/>
    <w:rsid w:val="2423FF73"/>
    <w:rsid w:val="25340A54"/>
    <w:rsid w:val="2583C28A"/>
    <w:rsid w:val="26AECD6A"/>
    <w:rsid w:val="26DCF23F"/>
    <w:rsid w:val="27E74CDE"/>
    <w:rsid w:val="286B466F"/>
    <w:rsid w:val="2970E649"/>
    <w:rsid w:val="29DE4ED0"/>
    <w:rsid w:val="2B2A66FB"/>
    <w:rsid w:val="2BCD58A3"/>
    <w:rsid w:val="2CC15163"/>
    <w:rsid w:val="2D307BB0"/>
    <w:rsid w:val="2DCFA8C1"/>
    <w:rsid w:val="302590F8"/>
    <w:rsid w:val="32464974"/>
    <w:rsid w:val="32AC34AF"/>
    <w:rsid w:val="33D1075D"/>
    <w:rsid w:val="35A3F651"/>
    <w:rsid w:val="3897CF14"/>
    <w:rsid w:val="3A3832FC"/>
    <w:rsid w:val="3C409AF9"/>
    <w:rsid w:val="3C8F120A"/>
    <w:rsid w:val="3DEF1CAD"/>
    <w:rsid w:val="3F338FAE"/>
    <w:rsid w:val="3F7643ED"/>
    <w:rsid w:val="3F915B09"/>
    <w:rsid w:val="3FDC4E59"/>
    <w:rsid w:val="4032E5C1"/>
    <w:rsid w:val="412CC241"/>
    <w:rsid w:val="422789F3"/>
    <w:rsid w:val="44CE44AE"/>
    <w:rsid w:val="46E5CEA8"/>
    <w:rsid w:val="4B8A426E"/>
    <w:rsid w:val="5083292F"/>
    <w:rsid w:val="5143000E"/>
    <w:rsid w:val="55AD64C9"/>
    <w:rsid w:val="561BF36A"/>
    <w:rsid w:val="5A90DFF6"/>
    <w:rsid w:val="5C0FB9BE"/>
    <w:rsid w:val="5C29592C"/>
    <w:rsid w:val="5D06570F"/>
    <w:rsid w:val="5F3B79BC"/>
    <w:rsid w:val="5FCE8C74"/>
    <w:rsid w:val="5FD6ABD0"/>
    <w:rsid w:val="610C1255"/>
    <w:rsid w:val="62819323"/>
    <w:rsid w:val="6329D6FF"/>
    <w:rsid w:val="6621E314"/>
    <w:rsid w:val="68B2D962"/>
    <w:rsid w:val="6C4C55E2"/>
    <w:rsid w:val="6D089E17"/>
    <w:rsid w:val="6F931104"/>
    <w:rsid w:val="72B4538D"/>
    <w:rsid w:val="735370B4"/>
    <w:rsid w:val="73753AB1"/>
    <w:rsid w:val="73AC005A"/>
    <w:rsid w:val="7741BF6D"/>
    <w:rsid w:val="794A82C4"/>
    <w:rsid w:val="7DED0F36"/>
    <w:rsid w:val="7F923F1D"/>
    <w:rsid w:val="7FEE0095"/>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9221BE"/>
  <w15:docId w15:val="{11346F9F-ABCA-433A-96AB-7FF2376E4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qFormat="1"/>
    <w:lsdException w:name="heading 4" w:uiPriority="1" w:qFormat="1"/>
    <w:lsdException w:name="heading 5" w:semiHidden="1" w:uiPriority="1" w:qFormat="1"/>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8" w:unhideWhenUsed="1" w:qFormat="1"/>
    <w:lsdException w:name="annotation text" w:semiHidden="1" w:unhideWhenUsed="1"/>
    <w:lsdException w:name="header" w:uiPriority="10" w:unhideWhenUsed="1"/>
    <w:lsdException w:name="footer" w:unhideWhenUsed="1" w:qFormat="1"/>
    <w:lsdException w:name="index heading" w:semiHidden="1" w:unhideWhenUsed="1"/>
    <w:lsdException w:name="caption" w:uiPriority="3" w:unhideWhenUsed="1" w:qFormat="1"/>
    <w:lsdException w:name="table of figures" w:semiHidden="1" w:unhideWhenUsed="1"/>
    <w:lsdException w:name="envelope address" w:semiHidden="1" w:unhideWhenUsed="1"/>
    <w:lsdException w:name="envelope return" w:semiHidden="1" w:unhideWhenUsed="1"/>
    <w:lsdException w:name="footnote reference" w:uiPriority="8"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iPriority="3"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10"/>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AF1"/>
    <w:pPr>
      <w:spacing w:after="170"/>
    </w:pPr>
    <w:rPr>
      <w:lang w:val="en-AU"/>
    </w:rPr>
  </w:style>
  <w:style w:type="paragraph" w:styleId="Heading1">
    <w:name w:val="heading 1"/>
    <w:basedOn w:val="Normal"/>
    <w:next w:val="Normal"/>
    <w:link w:val="Heading1Char"/>
    <w:uiPriority w:val="1"/>
    <w:qFormat/>
    <w:rsid w:val="00DB27EB"/>
    <w:pPr>
      <w:keepNext/>
      <w:keepLines/>
      <w:pageBreakBefore/>
      <w:numPr>
        <w:numId w:val="172"/>
      </w:numPr>
      <w:spacing w:after="480" w:line="720" w:lineRule="atLeast"/>
      <w:contextualSpacing/>
      <w:outlineLvl w:val="0"/>
    </w:pPr>
    <w:rPr>
      <w:rFonts w:eastAsiaTheme="majorEastAsia" w:cstheme="majorBidi"/>
      <w:bCs/>
      <w:sz w:val="60"/>
      <w:szCs w:val="28"/>
    </w:rPr>
  </w:style>
  <w:style w:type="paragraph" w:styleId="Heading2">
    <w:name w:val="heading 2"/>
    <w:basedOn w:val="Normal"/>
    <w:next w:val="Normal"/>
    <w:link w:val="Heading2Char"/>
    <w:autoRedefine/>
    <w:uiPriority w:val="1"/>
    <w:qFormat/>
    <w:rsid w:val="00312761"/>
    <w:pPr>
      <w:keepNext/>
      <w:keepLines/>
      <w:spacing w:after="0"/>
      <w:outlineLvl w:val="1"/>
    </w:pPr>
    <w:rPr>
      <w:rFonts w:eastAsiaTheme="majorEastAsia" w:cstheme="majorBidi"/>
      <w:b/>
      <w:bCs/>
      <w:color w:val="62B5E5" w:themeColor="accent3"/>
      <w:szCs w:val="26"/>
    </w:rPr>
  </w:style>
  <w:style w:type="paragraph" w:styleId="Heading3">
    <w:name w:val="heading 3"/>
    <w:basedOn w:val="Normal"/>
    <w:next w:val="Normal"/>
    <w:link w:val="Heading3Char"/>
    <w:uiPriority w:val="1"/>
    <w:qFormat/>
    <w:rsid w:val="00AD3159"/>
    <w:pPr>
      <w:keepNext/>
      <w:keepLines/>
      <w:numPr>
        <w:ilvl w:val="2"/>
        <w:numId w:val="172"/>
      </w:numPr>
      <w:spacing w:after="0"/>
      <w:outlineLvl w:val="2"/>
    </w:pPr>
    <w:rPr>
      <w:rFonts w:eastAsiaTheme="majorEastAsia" w:cstheme="majorBidi"/>
      <w:b/>
      <w:bCs/>
    </w:rPr>
  </w:style>
  <w:style w:type="paragraph" w:styleId="Heading4">
    <w:name w:val="heading 4"/>
    <w:basedOn w:val="Normal"/>
    <w:next w:val="Normal"/>
    <w:link w:val="Heading4Char"/>
    <w:uiPriority w:val="1"/>
    <w:qFormat/>
    <w:rsid w:val="00AD3159"/>
    <w:pPr>
      <w:keepNext/>
      <w:keepLines/>
      <w:numPr>
        <w:ilvl w:val="3"/>
        <w:numId w:val="172"/>
      </w:numPr>
      <w:tabs>
        <w:tab w:val="left" w:pos="340"/>
      </w:tabs>
      <w:spacing w:after="0"/>
      <w:outlineLvl w:val="3"/>
    </w:pPr>
    <w:rPr>
      <w:rFonts w:eastAsiaTheme="majorEastAsia" w:cstheme="majorBidi"/>
      <w:b/>
      <w:bCs/>
      <w:iCs/>
      <w:color w:val="75787B" w:themeColor="accent6"/>
    </w:rPr>
  </w:style>
  <w:style w:type="paragraph" w:styleId="Heading5">
    <w:name w:val="heading 5"/>
    <w:basedOn w:val="Normal"/>
    <w:next w:val="Normal"/>
    <w:link w:val="Heading5Char"/>
    <w:uiPriority w:val="1"/>
    <w:qFormat/>
    <w:rsid w:val="001816EF"/>
    <w:pPr>
      <w:numPr>
        <w:ilvl w:val="4"/>
        <w:numId w:val="172"/>
      </w:numPr>
      <w:outlineLvl w:val="4"/>
    </w:pPr>
    <w:rPr>
      <w:u w:val="single"/>
    </w:rPr>
  </w:style>
  <w:style w:type="paragraph" w:styleId="Heading6">
    <w:name w:val="heading 6"/>
    <w:basedOn w:val="Normal"/>
    <w:next w:val="Normal"/>
    <w:link w:val="Heading6Char"/>
    <w:uiPriority w:val="1"/>
    <w:semiHidden/>
    <w:qFormat/>
    <w:rsid w:val="00F9113D"/>
    <w:pPr>
      <w:keepNext/>
      <w:keepLines/>
      <w:numPr>
        <w:ilvl w:val="5"/>
        <w:numId w:val="172"/>
      </w:numPr>
      <w:spacing w:after="0"/>
      <w:outlineLvl w:val="5"/>
    </w:pPr>
    <w:rPr>
      <w:rFonts w:eastAsiaTheme="majorEastAsia" w:cstheme="majorBidi"/>
      <w:b/>
      <w:iCs/>
    </w:rPr>
  </w:style>
  <w:style w:type="paragraph" w:styleId="Heading7">
    <w:name w:val="heading 7"/>
    <w:basedOn w:val="Normal"/>
    <w:next w:val="Normal"/>
    <w:link w:val="Heading7Char"/>
    <w:uiPriority w:val="1"/>
    <w:semiHidden/>
    <w:qFormat/>
    <w:rsid w:val="00F9113D"/>
    <w:pPr>
      <w:keepNext/>
      <w:keepLines/>
      <w:numPr>
        <w:ilvl w:val="6"/>
        <w:numId w:val="172"/>
      </w:numPr>
      <w:spacing w:after="0"/>
      <w:outlineLvl w:val="6"/>
    </w:pPr>
    <w:rPr>
      <w:rFonts w:eastAsiaTheme="majorEastAsia" w:cstheme="majorBidi"/>
      <w:b/>
      <w:iCs/>
    </w:rPr>
  </w:style>
  <w:style w:type="paragraph" w:styleId="Heading8">
    <w:name w:val="heading 8"/>
    <w:basedOn w:val="Normal"/>
    <w:next w:val="Normal"/>
    <w:link w:val="Heading8Char"/>
    <w:uiPriority w:val="1"/>
    <w:semiHidden/>
    <w:qFormat/>
    <w:rsid w:val="00F9113D"/>
    <w:pPr>
      <w:keepNext/>
      <w:keepLines/>
      <w:numPr>
        <w:ilvl w:val="7"/>
        <w:numId w:val="172"/>
      </w:numPr>
      <w:spacing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F9113D"/>
    <w:pPr>
      <w:keepNext/>
      <w:keepLines/>
      <w:numPr>
        <w:ilvl w:val="8"/>
        <w:numId w:val="172"/>
      </w:numPr>
      <w:spacing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24028"/>
    <w:rPr>
      <w:rFonts w:eastAsiaTheme="majorEastAsia" w:cstheme="majorBidi"/>
      <w:bCs/>
      <w:sz w:val="60"/>
      <w:szCs w:val="28"/>
      <w:lang w:val="en-AU"/>
    </w:rPr>
  </w:style>
  <w:style w:type="character" w:customStyle="1" w:styleId="Heading2Char">
    <w:name w:val="Heading 2 Char"/>
    <w:basedOn w:val="DefaultParagraphFont"/>
    <w:link w:val="Heading2"/>
    <w:uiPriority w:val="1"/>
    <w:rsid w:val="00312761"/>
    <w:rPr>
      <w:rFonts w:eastAsiaTheme="majorEastAsia" w:cstheme="majorBidi"/>
      <w:b/>
      <w:bCs/>
      <w:color w:val="62B5E5" w:themeColor="accent3"/>
      <w:szCs w:val="26"/>
      <w:lang w:val="en-AU"/>
    </w:rPr>
  </w:style>
  <w:style w:type="table" w:styleId="TableGrid">
    <w:name w:val="Table Grid"/>
    <w:basedOn w:val="TableNormal"/>
    <w:uiPriority w:val="59"/>
    <w:rsid w:val="00D93FF0"/>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rsid w:val="000116B0"/>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10"/>
    <w:rsid w:val="000116B0"/>
    <w:rPr>
      <w:sz w:val="14"/>
      <w:lang w:val="en-AU"/>
    </w:rPr>
  </w:style>
  <w:style w:type="paragraph" w:styleId="Footer">
    <w:name w:val="footer"/>
    <w:basedOn w:val="Normal"/>
    <w:link w:val="FooterChar"/>
    <w:uiPriority w:val="99"/>
    <w:qFormat/>
    <w:rsid w:val="00F9113D"/>
    <w:pPr>
      <w:tabs>
        <w:tab w:val="right" w:pos="7371"/>
      </w:tabs>
      <w:spacing w:after="0" w:line="200" w:lineRule="atLeast"/>
    </w:pPr>
    <w:rPr>
      <w:sz w:val="16"/>
    </w:rPr>
  </w:style>
  <w:style w:type="character" w:customStyle="1" w:styleId="FooterChar">
    <w:name w:val="Footer Char"/>
    <w:basedOn w:val="DefaultParagraphFont"/>
    <w:link w:val="Footer"/>
    <w:uiPriority w:val="99"/>
    <w:rsid w:val="00F9113D"/>
    <w:rPr>
      <w:sz w:val="16"/>
    </w:rPr>
  </w:style>
  <w:style w:type="paragraph" w:styleId="BalloonText">
    <w:name w:val="Balloon Text"/>
    <w:basedOn w:val="Normal"/>
    <w:link w:val="BalloonTextChar"/>
    <w:uiPriority w:val="99"/>
    <w:semiHidden/>
    <w:rsid w:val="00F91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13D"/>
    <w:rPr>
      <w:rFonts w:ascii="Tahoma" w:hAnsi="Tahoma" w:cs="Tahoma"/>
      <w:sz w:val="16"/>
      <w:szCs w:val="16"/>
    </w:rPr>
  </w:style>
  <w:style w:type="paragraph" w:customStyle="1" w:styleId="Subject">
    <w:name w:val="Subject"/>
    <w:basedOn w:val="Normal"/>
    <w:uiPriority w:val="6"/>
    <w:semiHidden/>
    <w:qFormat/>
    <w:rsid w:val="00F9113D"/>
    <w:pPr>
      <w:spacing w:after="0"/>
    </w:pPr>
    <w:rPr>
      <w:b/>
    </w:rPr>
  </w:style>
  <w:style w:type="character" w:styleId="PlaceholderText">
    <w:name w:val="Placeholder Text"/>
    <w:basedOn w:val="DefaultParagraphFont"/>
    <w:uiPriority w:val="10"/>
    <w:semiHidden/>
    <w:rsid w:val="00F9113D"/>
    <w:rPr>
      <w:color w:val="808080"/>
      <w:lang w:val="en-AU"/>
    </w:rPr>
  </w:style>
  <w:style w:type="paragraph" w:styleId="ListBullet">
    <w:name w:val="List Bullet"/>
    <w:basedOn w:val="Normal"/>
    <w:uiPriority w:val="3"/>
    <w:qFormat/>
    <w:rsid w:val="00CC7525"/>
    <w:pPr>
      <w:numPr>
        <w:numId w:val="12"/>
      </w:numPr>
      <w:contextualSpacing/>
    </w:pPr>
    <w:rPr>
      <w:szCs w:val="17"/>
    </w:rPr>
  </w:style>
  <w:style w:type="paragraph" w:styleId="ListBullet2">
    <w:name w:val="List Bullet 2"/>
    <w:basedOn w:val="Normal"/>
    <w:uiPriority w:val="3"/>
    <w:rsid w:val="00CC7525"/>
    <w:pPr>
      <w:numPr>
        <w:numId w:val="14"/>
      </w:numPr>
      <w:contextualSpacing/>
    </w:pPr>
    <w:rPr>
      <w:szCs w:val="17"/>
    </w:rPr>
  </w:style>
  <w:style w:type="paragraph" w:styleId="ListNumber">
    <w:name w:val="List Number"/>
    <w:basedOn w:val="Normal"/>
    <w:uiPriority w:val="3"/>
    <w:qFormat/>
    <w:rsid w:val="007F7A8C"/>
    <w:pPr>
      <w:numPr>
        <w:numId w:val="13"/>
      </w:numPr>
      <w:spacing w:after="0"/>
      <w:contextualSpacing/>
    </w:pPr>
    <w:rPr>
      <w:szCs w:val="17"/>
    </w:rPr>
  </w:style>
  <w:style w:type="paragraph" w:styleId="ListNumber2">
    <w:name w:val="List Number 2"/>
    <w:basedOn w:val="Normal"/>
    <w:uiPriority w:val="3"/>
    <w:qFormat/>
    <w:rsid w:val="007F7A8C"/>
    <w:pPr>
      <w:numPr>
        <w:ilvl w:val="1"/>
        <w:numId w:val="13"/>
      </w:numPr>
      <w:spacing w:after="0"/>
      <w:contextualSpacing/>
    </w:pPr>
  </w:style>
  <w:style w:type="character" w:customStyle="1" w:styleId="Heading3Char">
    <w:name w:val="Heading 3 Char"/>
    <w:basedOn w:val="DefaultParagraphFont"/>
    <w:link w:val="Heading3"/>
    <w:uiPriority w:val="1"/>
    <w:rsid w:val="00AD3159"/>
    <w:rPr>
      <w:rFonts w:eastAsiaTheme="majorEastAsia" w:cstheme="majorBidi"/>
      <w:b/>
      <w:bCs/>
      <w:lang w:val="en-AU"/>
    </w:rPr>
  </w:style>
  <w:style w:type="character" w:customStyle="1" w:styleId="Heading4Char">
    <w:name w:val="Heading 4 Char"/>
    <w:basedOn w:val="DefaultParagraphFont"/>
    <w:link w:val="Heading4"/>
    <w:uiPriority w:val="1"/>
    <w:rsid w:val="00AD3159"/>
    <w:rPr>
      <w:rFonts w:eastAsiaTheme="majorEastAsia" w:cstheme="majorBidi"/>
      <w:b/>
      <w:bCs/>
      <w:iCs/>
      <w:color w:val="75787B" w:themeColor="accent6"/>
      <w:lang w:val="en-AU"/>
    </w:rPr>
  </w:style>
  <w:style w:type="paragraph" w:styleId="FootnoteText">
    <w:name w:val="footnote text"/>
    <w:aliases w:val="Footnote Text Char1 Char,Footnote Text Char Char1 Char,Footnote Text Char Char Char Char Char1,Char Char,Footnote Text Char Char Char,Footnote Text Char Char Char Char,fn,FT,ft,SD Footnote Text,Footnote Text AG,(NECG) Footnote Text"/>
    <w:basedOn w:val="Normal"/>
    <w:link w:val="FootnoteTextChar"/>
    <w:uiPriority w:val="8"/>
    <w:qFormat/>
    <w:rsid w:val="00F9113D"/>
    <w:pPr>
      <w:spacing w:after="0" w:line="240" w:lineRule="auto"/>
    </w:pPr>
    <w:rPr>
      <w:sz w:val="16"/>
      <w:szCs w:val="20"/>
    </w:rPr>
  </w:style>
  <w:style w:type="character" w:customStyle="1" w:styleId="FootnoteTextChar">
    <w:name w:val="Footnote Text Char"/>
    <w:aliases w:val="Footnote Text Char1 Char Char,Footnote Text Char Char1 Char Char,Footnote Text Char Char Char Char Char1 Char,Char Char Char,Footnote Text Char Char Char Char1,Footnote Text Char Char Char Char Char,fn Char,FT Char,ft Char"/>
    <w:basedOn w:val="DefaultParagraphFont"/>
    <w:link w:val="FootnoteText"/>
    <w:uiPriority w:val="8"/>
    <w:rsid w:val="00F9113D"/>
    <w:rPr>
      <w:sz w:val="16"/>
      <w:szCs w:val="20"/>
    </w:rPr>
  </w:style>
  <w:style w:type="paragraph" w:customStyle="1" w:styleId="Documenttitle">
    <w:name w:val="Document title"/>
    <w:next w:val="Documentsubtitle"/>
    <w:uiPriority w:val="7"/>
    <w:rsid w:val="007C4146"/>
    <w:pPr>
      <w:spacing w:line="440" w:lineRule="atLeast"/>
    </w:pPr>
    <w:rPr>
      <w:rFonts w:eastAsiaTheme="majorEastAsia" w:cstheme="majorBidi"/>
      <w:b/>
      <w:bCs/>
      <w:color w:val="FFFFFF"/>
      <w:sz w:val="32"/>
      <w:szCs w:val="28"/>
      <w:lang w:val="en-AU"/>
    </w:rPr>
  </w:style>
  <w:style w:type="paragraph" w:customStyle="1" w:styleId="Subheading">
    <w:name w:val="Subheading"/>
    <w:basedOn w:val="Normal"/>
    <w:next w:val="Normal"/>
    <w:uiPriority w:val="6"/>
    <w:semiHidden/>
    <w:qFormat/>
    <w:rsid w:val="00F9113D"/>
    <w:pPr>
      <w:spacing w:after="0"/>
    </w:pPr>
    <w:rPr>
      <w:rFonts w:eastAsiaTheme="majorEastAsia" w:cstheme="majorBidi"/>
      <w:b/>
      <w:bCs/>
      <w:iCs/>
      <w:color w:val="000000" w:themeColor="text1"/>
    </w:rPr>
  </w:style>
  <w:style w:type="character" w:styleId="FootnoteReference">
    <w:name w:val="footnote reference"/>
    <w:aliases w:val="fr,(NECG) Footnote Reference,Ref,de nota al pie"/>
    <w:basedOn w:val="DefaultParagraphFont"/>
    <w:uiPriority w:val="8"/>
    <w:rsid w:val="00F9113D"/>
    <w:rPr>
      <w:vertAlign w:val="superscript"/>
      <w:lang w:val="en-AU"/>
    </w:rPr>
  </w:style>
  <w:style w:type="paragraph" w:customStyle="1" w:styleId="Sectionintro">
    <w:name w:val="Section intro"/>
    <w:basedOn w:val="Normal"/>
    <w:next w:val="Normal"/>
    <w:uiPriority w:val="2"/>
    <w:qFormat/>
    <w:rsid w:val="00F9113D"/>
    <w:pPr>
      <w:spacing w:after="360" w:line="360" w:lineRule="atLeast"/>
      <w:contextualSpacing/>
    </w:pPr>
    <w:rPr>
      <w:sz w:val="28"/>
    </w:rPr>
  </w:style>
  <w:style w:type="paragraph" w:customStyle="1" w:styleId="Documentdate">
    <w:name w:val="Document date"/>
    <w:uiPriority w:val="7"/>
    <w:rsid w:val="00F9113D"/>
    <w:rPr>
      <w:color w:val="FFFFFF"/>
      <w:lang w:val="en-AU"/>
    </w:rPr>
  </w:style>
  <w:style w:type="paragraph" w:customStyle="1" w:styleId="Heading1un-numbered">
    <w:name w:val="Heading 1 (un-numbered)"/>
    <w:basedOn w:val="Normal"/>
    <w:next w:val="Normal"/>
    <w:uiPriority w:val="2"/>
    <w:qFormat/>
    <w:rsid w:val="00F9113D"/>
    <w:pPr>
      <w:keepNext/>
      <w:keepLines/>
      <w:pageBreakBefore/>
      <w:spacing w:after="480" w:line="720" w:lineRule="atLeast"/>
      <w:outlineLvl w:val="0"/>
    </w:pPr>
    <w:rPr>
      <w:sz w:val="60"/>
    </w:rPr>
  </w:style>
  <w:style w:type="paragraph" w:customStyle="1" w:styleId="PulloutBlue">
    <w:name w:val="Pullout Blue"/>
    <w:basedOn w:val="Normal"/>
    <w:next w:val="Normal"/>
    <w:uiPriority w:val="6"/>
    <w:rsid w:val="00F9113D"/>
    <w:pPr>
      <w:spacing w:after="0" w:line="360" w:lineRule="atLeast"/>
    </w:pPr>
    <w:rPr>
      <w:color w:val="62B5E5" w:themeColor="accent3"/>
      <w:sz w:val="28"/>
    </w:rPr>
  </w:style>
  <w:style w:type="paragraph" w:customStyle="1" w:styleId="Contacttext">
    <w:name w:val="Contact text"/>
    <w:basedOn w:val="Normal"/>
    <w:uiPriority w:val="7"/>
    <w:semiHidden/>
    <w:rsid w:val="00F9113D"/>
    <w:pPr>
      <w:spacing w:after="0"/>
    </w:pPr>
  </w:style>
  <w:style w:type="paragraph" w:customStyle="1" w:styleId="Contactus">
    <w:name w:val="Contact us"/>
    <w:basedOn w:val="Contacttext"/>
    <w:next w:val="Contacttext"/>
    <w:uiPriority w:val="7"/>
    <w:semiHidden/>
    <w:rsid w:val="00F9113D"/>
    <w:pPr>
      <w:spacing w:after="240" w:line="340" w:lineRule="atLeast"/>
    </w:pPr>
    <w:rPr>
      <w:sz w:val="28"/>
    </w:rPr>
  </w:style>
  <w:style w:type="paragraph" w:styleId="Caption">
    <w:name w:val="caption"/>
    <w:basedOn w:val="Normal"/>
    <w:next w:val="Normal"/>
    <w:link w:val="CaptionChar"/>
    <w:uiPriority w:val="3"/>
    <w:qFormat/>
    <w:rsid w:val="005D6648"/>
    <w:pPr>
      <w:keepNext/>
      <w:keepLines/>
      <w:spacing w:before="240" w:after="240"/>
    </w:pPr>
    <w:rPr>
      <w:iCs/>
      <w:color w:val="75787B" w:themeColor="accent6"/>
      <w:sz w:val="17"/>
    </w:rPr>
  </w:style>
  <w:style w:type="character" w:styleId="Hyperlink">
    <w:name w:val="Hyperlink"/>
    <w:basedOn w:val="DefaultParagraphFont"/>
    <w:uiPriority w:val="99"/>
    <w:qFormat/>
    <w:rsid w:val="00F9113D"/>
    <w:rPr>
      <w:color w:val="00A3E0" w:themeColor="hyperlink"/>
      <w:u w:val="single"/>
      <w:lang w:val="en-AU"/>
    </w:rPr>
  </w:style>
  <w:style w:type="paragraph" w:customStyle="1" w:styleId="PulloutGreen">
    <w:name w:val="Pullout Green"/>
    <w:basedOn w:val="PulloutBlue"/>
    <w:next w:val="Normal"/>
    <w:uiPriority w:val="6"/>
    <w:rsid w:val="00F9113D"/>
    <w:rPr>
      <w:color w:val="86BC25" w:themeColor="accent1"/>
    </w:rPr>
  </w:style>
  <w:style w:type="paragraph" w:customStyle="1" w:styleId="QuotesourceBlue">
    <w:name w:val="Quote source Blue"/>
    <w:basedOn w:val="Normal"/>
    <w:next w:val="Normal"/>
    <w:uiPriority w:val="6"/>
    <w:rsid w:val="00F9113D"/>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F9113D"/>
    <w:rPr>
      <w:color w:val="86BC25" w:themeColor="accent1"/>
    </w:rPr>
  </w:style>
  <w:style w:type="paragraph" w:customStyle="1" w:styleId="Paneltext">
    <w:name w:val="Panel text"/>
    <w:basedOn w:val="Normal"/>
    <w:uiPriority w:val="6"/>
    <w:rsid w:val="00F9113D"/>
    <w:pPr>
      <w:spacing w:after="0"/>
    </w:pPr>
    <w:rPr>
      <w:color w:val="FFFFFF"/>
      <w:sz w:val="17"/>
    </w:rPr>
  </w:style>
  <w:style w:type="paragraph" w:customStyle="1" w:styleId="Paneltitle">
    <w:name w:val="Panel title"/>
    <w:basedOn w:val="Paneltext"/>
    <w:next w:val="Paneltext"/>
    <w:uiPriority w:val="6"/>
    <w:rsid w:val="00F9113D"/>
    <w:pPr>
      <w:spacing w:line="360" w:lineRule="atLeast"/>
    </w:pPr>
    <w:rPr>
      <w:b/>
      <w:sz w:val="28"/>
    </w:rPr>
  </w:style>
  <w:style w:type="paragraph" w:customStyle="1" w:styleId="Formoreinfocalloutwhite8512ptPullOutStyles">
    <w:name w:val="For more info call out (white 8.5/12pt) (Pull Out Styles)"/>
    <w:basedOn w:val="Normal"/>
    <w:uiPriority w:val="99"/>
    <w:semiHidden/>
    <w:rsid w:val="00F9113D"/>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uiPriority w:val="7"/>
    <w:rsid w:val="007C4146"/>
    <w:pPr>
      <w:spacing w:after="120" w:line="440" w:lineRule="atLeast"/>
    </w:pPr>
    <w:rPr>
      <w:color w:val="FFFFFF"/>
      <w:sz w:val="28"/>
    </w:rPr>
  </w:style>
  <w:style w:type="paragraph" w:customStyle="1" w:styleId="Contentstitle">
    <w:name w:val="Contents title"/>
    <w:basedOn w:val="Heading1un-numbered"/>
    <w:next w:val="Normal"/>
    <w:uiPriority w:val="7"/>
    <w:semiHidden/>
    <w:rsid w:val="00F9113D"/>
  </w:style>
  <w:style w:type="paragraph" w:styleId="TOC1">
    <w:name w:val="toc 1"/>
    <w:basedOn w:val="Normal"/>
    <w:next w:val="Normal"/>
    <w:uiPriority w:val="39"/>
    <w:rsid w:val="00271D10"/>
    <w:pPr>
      <w:tabs>
        <w:tab w:val="left" w:pos="567"/>
        <w:tab w:val="right" w:pos="8959"/>
      </w:tabs>
      <w:spacing w:after="120" w:line="320" w:lineRule="atLeast"/>
      <w:ind w:left="567" w:right="567" w:hanging="567"/>
    </w:pPr>
  </w:style>
  <w:style w:type="paragraph" w:customStyle="1" w:styleId="Quotetext">
    <w:name w:val="Quote text"/>
    <w:basedOn w:val="PulloutBlue"/>
    <w:uiPriority w:val="6"/>
    <w:rsid w:val="00F9113D"/>
    <w:pPr>
      <w:spacing w:line="720" w:lineRule="atLeast"/>
    </w:pPr>
    <w:rPr>
      <w:color w:val="FFFFFF"/>
      <w:sz w:val="60"/>
    </w:rPr>
  </w:style>
  <w:style w:type="paragraph" w:customStyle="1" w:styleId="Legaltext">
    <w:name w:val="Legal text"/>
    <w:basedOn w:val="Normal"/>
    <w:uiPriority w:val="7"/>
    <w:semiHidden/>
    <w:qFormat/>
    <w:rsid w:val="00F9113D"/>
    <w:pPr>
      <w:spacing w:after="0" w:line="180" w:lineRule="atLeast"/>
    </w:pPr>
    <w:rPr>
      <w:sz w:val="14"/>
    </w:rPr>
  </w:style>
  <w:style w:type="table" w:customStyle="1" w:styleId="Deloittetable">
    <w:name w:val="Deloitte table"/>
    <w:basedOn w:val="TableNormal"/>
    <w:uiPriority w:val="99"/>
    <w:rsid w:val="00D93FF0"/>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uiPriority w:val="5"/>
    <w:rsid w:val="00D93FF0"/>
    <w:pPr>
      <w:spacing w:after="0" w:line="200" w:lineRule="atLeast"/>
      <w:ind w:right="57"/>
    </w:pPr>
    <w:rPr>
      <w:sz w:val="17"/>
    </w:rPr>
  </w:style>
  <w:style w:type="paragraph" w:customStyle="1" w:styleId="TableHeadingLeft">
    <w:name w:val="Table Heading Left"/>
    <w:basedOn w:val="TabletextLeft"/>
    <w:uiPriority w:val="5"/>
    <w:rsid w:val="00F9113D"/>
    <w:rPr>
      <w:b/>
      <w:color w:val="62B5E5" w:themeColor="accent3"/>
    </w:rPr>
  </w:style>
  <w:style w:type="paragraph" w:customStyle="1" w:styleId="Source">
    <w:name w:val="Source"/>
    <w:basedOn w:val="Caption"/>
    <w:next w:val="Normal"/>
    <w:uiPriority w:val="6"/>
    <w:rsid w:val="00B5479F"/>
    <w:pPr>
      <w:keepNext w:val="0"/>
      <w:keepLines w:val="0"/>
      <w:spacing w:before="120"/>
    </w:pPr>
    <w:rPr>
      <w:sz w:val="14"/>
    </w:rPr>
  </w:style>
  <w:style w:type="paragraph" w:customStyle="1" w:styleId="Tablebullets">
    <w:name w:val="Table bullets"/>
    <w:basedOn w:val="TabletextLeft"/>
    <w:uiPriority w:val="5"/>
    <w:rsid w:val="00F9113D"/>
    <w:pPr>
      <w:framePr w:hSpace="180" w:wrap="around" w:vAnchor="text" w:hAnchor="text" w:y="1"/>
      <w:numPr>
        <w:numId w:val="7"/>
      </w:numPr>
      <w:suppressOverlap/>
    </w:pPr>
  </w:style>
  <w:style w:type="paragraph" w:customStyle="1" w:styleId="Tablenumbered">
    <w:name w:val="Table numbered"/>
    <w:basedOn w:val="TabletextLeft"/>
    <w:uiPriority w:val="5"/>
    <w:rsid w:val="00F9113D"/>
    <w:pPr>
      <w:framePr w:hSpace="180" w:wrap="around" w:vAnchor="text" w:hAnchor="text" w:y="1"/>
      <w:numPr>
        <w:numId w:val="8"/>
      </w:numPr>
      <w:suppressOverlap/>
    </w:pPr>
  </w:style>
  <w:style w:type="paragraph" w:customStyle="1" w:styleId="Charttitle">
    <w:name w:val="Chart title"/>
    <w:uiPriority w:val="7"/>
    <w:rsid w:val="00F9113D"/>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F9113D"/>
  </w:style>
  <w:style w:type="paragraph" w:styleId="BlockText">
    <w:name w:val="Block Text"/>
    <w:basedOn w:val="Normal"/>
    <w:uiPriority w:val="99"/>
    <w:semiHidden/>
    <w:rsid w:val="00F9113D"/>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semiHidden/>
    <w:rsid w:val="00F9113D"/>
    <w:pPr>
      <w:spacing w:after="240"/>
    </w:pPr>
  </w:style>
  <w:style w:type="character" w:customStyle="1" w:styleId="BodyTextChar">
    <w:name w:val="Body Text Char"/>
    <w:basedOn w:val="DefaultParagraphFont"/>
    <w:link w:val="BodyText"/>
    <w:semiHidden/>
    <w:rsid w:val="00D24870"/>
  </w:style>
  <w:style w:type="paragraph" w:styleId="BodyText2">
    <w:name w:val="Body Text 2"/>
    <w:basedOn w:val="Normal"/>
    <w:link w:val="BodyText2Char"/>
    <w:uiPriority w:val="99"/>
    <w:semiHidden/>
    <w:rsid w:val="00F9113D"/>
    <w:pPr>
      <w:spacing w:after="120" w:line="480" w:lineRule="auto"/>
    </w:pPr>
  </w:style>
  <w:style w:type="character" w:customStyle="1" w:styleId="BodyText2Char">
    <w:name w:val="Body Text 2 Char"/>
    <w:basedOn w:val="DefaultParagraphFont"/>
    <w:link w:val="BodyText2"/>
    <w:uiPriority w:val="99"/>
    <w:semiHidden/>
    <w:rsid w:val="00F9113D"/>
  </w:style>
  <w:style w:type="paragraph" w:styleId="BodyText3">
    <w:name w:val="Body Text 3"/>
    <w:basedOn w:val="Normal"/>
    <w:link w:val="BodyText3Char"/>
    <w:uiPriority w:val="99"/>
    <w:semiHidden/>
    <w:rsid w:val="00F9113D"/>
    <w:pPr>
      <w:spacing w:after="120"/>
    </w:pPr>
    <w:rPr>
      <w:sz w:val="16"/>
      <w:szCs w:val="16"/>
    </w:rPr>
  </w:style>
  <w:style w:type="character" w:customStyle="1" w:styleId="BodyText3Char">
    <w:name w:val="Body Text 3 Char"/>
    <w:basedOn w:val="DefaultParagraphFont"/>
    <w:link w:val="BodyText3"/>
    <w:uiPriority w:val="99"/>
    <w:semiHidden/>
    <w:rsid w:val="00F9113D"/>
    <w:rPr>
      <w:sz w:val="16"/>
      <w:szCs w:val="16"/>
    </w:rPr>
  </w:style>
  <w:style w:type="paragraph" w:styleId="BodyTextFirstIndent">
    <w:name w:val="Body Text First Indent"/>
    <w:basedOn w:val="BodyText"/>
    <w:link w:val="BodyTextFirstIndentChar"/>
    <w:uiPriority w:val="99"/>
    <w:semiHidden/>
    <w:rsid w:val="00F9113D"/>
    <w:pPr>
      <w:ind w:firstLine="360"/>
    </w:pPr>
  </w:style>
  <w:style w:type="character" w:customStyle="1" w:styleId="BodyTextFirstIndentChar">
    <w:name w:val="Body Text First Indent Char"/>
    <w:basedOn w:val="BodyTextChar"/>
    <w:link w:val="BodyTextFirstIndent"/>
    <w:uiPriority w:val="99"/>
    <w:semiHidden/>
    <w:rsid w:val="00F9113D"/>
  </w:style>
  <w:style w:type="paragraph" w:styleId="BodyTextIndent">
    <w:name w:val="Body Text Indent"/>
    <w:basedOn w:val="Normal"/>
    <w:link w:val="BodyTextIndentChar"/>
    <w:uiPriority w:val="99"/>
    <w:semiHidden/>
    <w:rsid w:val="00F9113D"/>
    <w:pPr>
      <w:spacing w:after="120"/>
      <w:ind w:left="283"/>
    </w:pPr>
  </w:style>
  <w:style w:type="character" w:customStyle="1" w:styleId="BodyTextIndentChar">
    <w:name w:val="Body Text Indent Char"/>
    <w:basedOn w:val="DefaultParagraphFont"/>
    <w:link w:val="BodyTextIndent"/>
    <w:uiPriority w:val="99"/>
    <w:semiHidden/>
    <w:rsid w:val="00F9113D"/>
  </w:style>
  <w:style w:type="paragraph" w:styleId="BodyTextFirstIndent2">
    <w:name w:val="Body Text First Indent 2"/>
    <w:basedOn w:val="BodyTextIndent"/>
    <w:link w:val="BodyTextFirstIndent2Char"/>
    <w:uiPriority w:val="99"/>
    <w:semiHidden/>
    <w:rsid w:val="00F9113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9113D"/>
  </w:style>
  <w:style w:type="paragraph" w:styleId="BodyTextIndent2">
    <w:name w:val="Body Text Indent 2"/>
    <w:basedOn w:val="Normal"/>
    <w:link w:val="BodyTextIndent2Char"/>
    <w:uiPriority w:val="99"/>
    <w:semiHidden/>
    <w:rsid w:val="00F9113D"/>
    <w:pPr>
      <w:spacing w:after="120" w:line="480" w:lineRule="auto"/>
      <w:ind w:left="283"/>
    </w:pPr>
  </w:style>
  <w:style w:type="character" w:customStyle="1" w:styleId="BodyTextIndent2Char">
    <w:name w:val="Body Text Indent 2 Char"/>
    <w:basedOn w:val="DefaultParagraphFont"/>
    <w:link w:val="BodyTextIndent2"/>
    <w:uiPriority w:val="99"/>
    <w:semiHidden/>
    <w:rsid w:val="00F9113D"/>
  </w:style>
  <w:style w:type="paragraph" w:styleId="BodyTextIndent3">
    <w:name w:val="Body Text Indent 3"/>
    <w:basedOn w:val="Normal"/>
    <w:link w:val="BodyTextIndent3Char"/>
    <w:uiPriority w:val="99"/>
    <w:semiHidden/>
    <w:rsid w:val="00F911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9113D"/>
    <w:rPr>
      <w:sz w:val="16"/>
      <w:szCs w:val="16"/>
    </w:rPr>
  </w:style>
  <w:style w:type="character" w:styleId="BookTitle">
    <w:name w:val="Book Title"/>
    <w:basedOn w:val="DefaultParagraphFont"/>
    <w:uiPriority w:val="99"/>
    <w:semiHidden/>
    <w:qFormat/>
    <w:rsid w:val="00F9113D"/>
    <w:rPr>
      <w:b/>
      <w:bCs/>
      <w:smallCaps/>
      <w:spacing w:val="5"/>
      <w:lang w:val="en-AU"/>
    </w:rPr>
  </w:style>
  <w:style w:type="paragraph" w:styleId="Closing">
    <w:name w:val="Closing"/>
    <w:basedOn w:val="Normal"/>
    <w:link w:val="ClosingChar"/>
    <w:uiPriority w:val="99"/>
    <w:semiHidden/>
    <w:rsid w:val="00F9113D"/>
    <w:pPr>
      <w:spacing w:line="240" w:lineRule="auto"/>
      <w:ind w:left="4252"/>
    </w:pPr>
  </w:style>
  <w:style w:type="character" w:customStyle="1" w:styleId="ClosingChar">
    <w:name w:val="Closing Char"/>
    <w:basedOn w:val="DefaultParagraphFont"/>
    <w:link w:val="Closing"/>
    <w:uiPriority w:val="99"/>
    <w:semiHidden/>
    <w:rsid w:val="00F9113D"/>
  </w:style>
  <w:style w:type="table" w:styleId="ColorfulGrid">
    <w:name w:val="Colorful Grid"/>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F9113D"/>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113D"/>
    <w:pPr>
      <w:spacing w:line="240" w:lineRule="auto"/>
    </w:pPr>
    <w:rPr>
      <w:color w:val="000000" w:themeColor="text1"/>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F9113D"/>
    <w:pPr>
      <w:spacing w:line="240" w:lineRule="auto"/>
    </w:pPr>
    <w:rPr>
      <w:color w:val="000000" w:themeColor="text1"/>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F9113D"/>
    <w:pPr>
      <w:spacing w:line="240" w:lineRule="auto"/>
    </w:pPr>
    <w:rPr>
      <w:color w:val="000000" w:themeColor="text1"/>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F9113D"/>
    <w:pPr>
      <w:spacing w:line="240" w:lineRule="auto"/>
    </w:pPr>
    <w:rPr>
      <w:color w:val="000000" w:themeColor="text1"/>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F9113D"/>
    <w:pPr>
      <w:spacing w:line="240" w:lineRule="auto"/>
    </w:pPr>
    <w:rPr>
      <w:color w:val="000000" w:themeColor="text1"/>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F9113D"/>
    <w:pPr>
      <w:spacing w:line="240" w:lineRule="auto"/>
    </w:pPr>
    <w:rPr>
      <w:color w:val="000000" w:themeColor="text1"/>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9113D"/>
    <w:pPr>
      <w:spacing w:line="240" w:lineRule="auto"/>
    </w:pPr>
    <w:rPr>
      <w:color w:val="000000" w:themeColor="text1"/>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F9113D"/>
    <w:pPr>
      <w:spacing w:line="240" w:lineRule="auto"/>
    </w:pPr>
    <w:rPr>
      <w:color w:val="000000" w:themeColor="text1"/>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9113D"/>
    <w:pPr>
      <w:spacing w:line="240" w:lineRule="auto"/>
    </w:pPr>
    <w:rPr>
      <w:color w:val="000000" w:themeColor="text1"/>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9113D"/>
    <w:pPr>
      <w:spacing w:line="240" w:lineRule="auto"/>
    </w:pPr>
    <w:rPr>
      <w:color w:val="000000" w:themeColor="text1"/>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rsid w:val="00F9113D"/>
    <w:rPr>
      <w:sz w:val="16"/>
      <w:szCs w:val="16"/>
      <w:lang w:val="en-AU"/>
    </w:rPr>
  </w:style>
  <w:style w:type="paragraph" w:styleId="CommentText">
    <w:name w:val="annotation text"/>
    <w:basedOn w:val="Normal"/>
    <w:link w:val="CommentTextChar"/>
    <w:uiPriority w:val="99"/>
    <w:rsid w:val="00F9113D"/>
    <w:pPr>
      <w:spacing w:line="240" w:lineRule="auto"/>
    </w:pPr>
    <w:rPr>
      <w:sz w:val="20"/>
      <w:szCs w:val="20"/>
    </w:rPr>
  </w:style>
  <w:style w:type="character" w:customStyle="1" w:styleId="CommentTextChar">
    <w:name w:val="Comment Text Char"/>
    <w:basedOn w:val="DefaultParagraphFont"/>
    <w:link w:val="CommentText"/>
    <w:uiPriority w:val="99"/>
    <w:rsid w:val="00F9113D"/>
    <w:rPr>
      <w:sz w:val="20"/>
      <w:szCs w:val="20"/>
    </w:rPr>
  </w:style>
  <w:style w:type="paragraph" w:styleId="CommentSubject">
    <w:name w:val="annotation subject"/>
    <w:basedOn w:val="CommentText"/>
    <w:next w:val="CommentText"/>
    <w:link w:val="CommentSubjectChar"/>
    <w:uiPriority w:val="99"/>
    <w:semiHidden/>
    <w:rsid w:val="00F9113D"/>
    <w:rPr>
      <w:b/>
      <w:bCs/>
    </w:rPr>
  </w:style>
  <w:style w:type="character" w:customStyle="1" w:styleId="CommentSubjectChar">
    <w:name w:val="Comment Subject Char"/>
    <w:basedOn w:val="CommentTextChar"/>
    <w:link w:val="CommentSubject"/>
    <w:uiPriority w:val="99"/>
    <w:semiHidden/>
    <w:rsid w:val="00F9113D"/>
    <w:rPr>
      <w:b/>
      <w:bCs/>
      <w:sz w:val="20"/>
      <w:szCs w:val="20"/>
    </w:rPr>
  </w:style>
  <w:style w:type="table" w:styleId="DarkList">
    <w:name w:val="Dark List"/>
    <w:basedOn w:val="TableNormal"/>
    <w:uiPriority w:val="70"/>
    <w:rsid w:val="00F9113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9113D"/>
    <w:pPr>
      <w:spacing w:line="240" w:lineRule="auto"/>
    </w:pPr>
    <w:rPr>
      <w:color w:val="FFFFFF" w:themeColor="background1"/>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F9113D"/>
    <w:pPr>
      <w:spacing w:line="240" w:lineRule="auto"/>
    </w:pPr>
    <w:rPr>
      <w:color w:val="FFFFFF" w:themeColor="background1"/>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F9113D"/>
    <w:pPr>
      <w:spacing w:line="240" w:lineRule="auto"/>
    </w:pPr>
    <w:rPr>
      <w:color w:val="FFFFFF" w:themeColor="background1"/>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F9113D"/>
    <w:pPr>
      <w:spacing w:line="240" w:lineRule="auto"/>
    </w:pPr>
    <w:rPr>
      <w:color w:val="FFFFFF" w:themeColor="background1"/>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F9113D"/>
    <w:pPr>
      <w:spacing w:line="240" w:lineRule="auto"/>
    </w:pPr>
    <w:rPr>
      <w:color w:val="FFFFFF" w:themeColor="background1"/>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F9113D"/>
    <w:pPr>
      <w:spacing w:line="240" w:lineRule="auto"/>
    </w:pPr>
    <w:rPr>
      <w:color w:val="FFFFFF" w:themeColor="background1"/>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F9113D"/>
  </w:style>
  <w:style w:type="character" w:customStyle="1" w:styleId="DateChar">
    <w:name w:val="Date Char"/>
    <w:basedOn w:val="DefaultParagraphFont"/>
    <w:link w:val="Date"/>
    <w:uiPriority w:val="99"/>
    <w:semiHidden/>
    <w:rsid w:val="00F9113D"/>
  </w:style>
  <w:style w:type="paragraph" w:styleId="DocumentMap">
    <w:name w:val="Document Map"/>
    <w:basedOn w:val="Normal"/>
    <w:link w:val="DocumentMapChar"/>
    <w:uiPriority w:val="99"/>
    <w:semiHidden/>
    <w:rsid w:val="00F91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113D"/>
    <w:rPr>
      <w:rFonts w:ascii="Tahoma" w:hAnsi="Tahoma" w:cs="Tahoma"/>
      <w:sz w:val="16"/>
      <w:szCs w:val="16"/>
    </w:rPr>
  </w:style>
  <w:style w:type="paragraph" w:styleId="E-mailSignature">
    <w:name w:val="E-mail Signature"/>
    <w:basedOn w:val="Normal"/>
    <w:link w:val="E-mailSignatureChar"/>
    <w:uiPriority w:val="99"/>
    <w:semiHidden/>
    <w:rsid w:val="00F9113D"/>
    <w:pPr>
      <w:spacing w:line="240" w:lineRule="auto"/>
    </w:pPr>
  </w:style>
  <w:style w:type="character" w:customStyle="1" w:styleId="E-mailSignatureChar">
    <w:name w:val="E-mail Signature Char"/>
    <w:basedOn w:val="DefaultParagraphFont"/>
    <w:link w:val="E-mailSignature"/>
    <w:uiPriority w:val="99"/>
    <w:semiHidden/>
    <w:rsid w:val="00F9113D"/>
  </w:style>
  <w:style w:type="character" w:styleId="Emphasis">
    <w:name w:val="Emphasis"/>
    <w:basedOn w:val="DefaultParagraphFont"/>
    <w:uiPriority w:val="20"/>
    <w:qFormat/>
    <w:rsid w:val="00DF06E9"/>
    <w:rPr>
      <w:b/>
      <w:i w:val="0"/>
      <w:iCs/>
      <w:color w:val="44546A" w:themeColor="text2"/>
      <w:lang w:val="en-AU"/>
    </w:rPr>
  </w:style>
  <w:style w:type="character" w:styleId="EndnoteReference">
    <w:name w:val="endnote reference"/>
    <w:basedOn w:val="DefaultParagraphFont"/>
    <w:uiPriority w:val="99"/>
    <w:semiHidden/>
    <w:rsid w:val="00F9113D"/>
    <w:rPr>
      <w:vertAlign w:val="superscript"/>
      <w:lang w:val="en-AU"/>
    </w:rPr>
  </w:style>
  <w:style w:type="paragraph" w:styleId="EndnoteText">
    <w:name w:val="endnote text"/>
    <w:basedOn w:val="Normal"/>
    <w:link w:val="EndnoteTextChar"/>
    <w:uiPriority w:val="99"/>
    <w:semiHidden/>
    <w:rsid w:val="00F9113D"/>
    <w:pPr>
      <w:spacing w:line="240" w:lineRule="auto"/>
    </w:pPr>
    <w:rPr>
      <w:sz w:val="20"/>
      <w:szCs w:val="20"/>
    </w:rPr>
  </w:style>
  <w:style w:type="character" w:customStyle="1" w:styleId="EndnoteTextChar">
    <w:name w:val="Endnote Text Char"/>
    <w:basedOn w:val="DefaultParagraphFont"/>
    <w:link w:val="EndnoteText"/>
    <w:uiPriority w:val="99"/>
    <w:semiHidden/>
    <w:rsid w:val="00F9113D"/>
    <w:rPr>
      <w:sz w:val="20"/>
      <w:szCs w:val="20"/>
    </w:rPr>
  </w:style>
  <w:style w:type="paragraph" w:styleId="EnvelopeAddress">
    <w:name w:val="envelope address"/>
    <w:basedOn w:val="Normal"/>
    <w:uiPriority w:val="99"/>
    <w:semiHidden/>
    <w:rsid w:val="00F9113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9113D"/>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F9113D"/>
    <w:rPr>
      <w:color w:val="53565A"/>
      <w:u w:val="single"/>
      <w:lang w:val="en-AU"/>
    </w:rPr>
  </w:style>
  <w:style w:type="character" w:customStyle="1" w:styleId="Heading5Char">
    <w:name w:val="Heading 5 Char"/>
    <w:basedOn w:val="DefaultParagraphFont"/>
    <w:link w:val="Heading5"/>
    <w:uiPriority w:val="1"/>
    <w:rsid w:val="001816EF"/>
    <w:rPr>
      <w:u w:val="single"/>
      <w:lang w:val="en-AU"/>
    </w:rPr>
  </w:style>
  <w:style w:type="character" w:customStyle="1" w:styleId="Heading6Char">
    <w:name w:val="Heading 6 Char"/>
    <w:basedOn w:val="DefaultParagraphFont"/>
    <w:link w:val="Heading6"/>
    <w:uiPriority w:val="1"/>
    <w:semiHidden/>
    <w:rsid w:val="00F9113D"/>
    <w:rPr>
      <w:rFonts w:eastAsiaTheme="majorEastAsia" w:cstheme="majorBidi"/>
      <w:b/>
      <w:iCs/>
      <w:lang w:val="en-AU"/>
    </w:rPr>
  </w:style>
  <w:style w:type="character" w:customStyle="1" w:styleId="Heading7Char">
    <w:name w:val="Heading 7 Char"/>
    <w:basedOn w:val="DefaultParagraphFont"/>
    <w:link w:val="Heading7"/>
    <w:uiPriority w:val="1"/>
    <w:semiHidden/>
    <w:rsid w:val="00F9113D"/>
    <w:rPr>
      <w:rFonts w:eastAsiaTheme="majorEastAsia" w:cstheme="majorBidi"/>
      <w:b/>
      <w:iCs/>
      <w:lang w:val="en-AU"/>
    </w:rPr>
  </w:style>
  <w:style w:type="character" w:customStyle="1" w:styleId="Heading8Char">
    <w:name w:val="Heading 8 Char"/>
    <w:basedOn w:val="DefaultParagraphFont"/>
    <w:link w:val="Heading8"/>
    <w:uiPriority w:val="1"/>
    <w:semiHidden/>
    <w:rsid w:val="00F9113D"/>
    <w:rPr>
      <w:rFonts w:eastAsiaTheme="majorEastAsia" w:cstheme="majorBidi"/>
      <w:b/>
      <w:szCs w:val="20"/>
      <w:lang w:val="en-AU"/>
    </w:rPr>
  </w:style>
  <w:style w:type="character" w:customStyle="1" w:styleId="Heading9Char">
    <w:name w:val="Heading 9 Char"/>
    <w:basedOn w:val="DefaultParagraphFont"/>
    <w:link w:val="Heading9"/>
    <w:uiPriority w:val="1"/>
    <w:semiHidden/>
    <w:rsid w:val="00F9113D"/>
    <w:rPr>
      <w:rFonts w:eastAsiaTheme="majorEastAsia" w:cstheme="majorBidi"/>
      <w:b/>
      <w:iCs/>
      <w:szCs w:val="20"/>
      <w:lang w:val="en-AU"/>
    </w:rPr>
  </w:style>
  <w:style w:type="character" w:styleId="HTMLAcronym">
    <w:name w:val="HTML Acronym"/>
    <w:basedOn w:val="DefaultParagraphFont"/>
    <w:uiPriority w:val="99"/>
    <w:semiHidden/>
    <w:rsid w:val="00F9113D"/>
    <w:rPr>
      <w:lang w:val="en-AU"/>
    </w:rPr>
  </w:style>
  <w:style w:type="paragraph" w:styleId="HTMLAddress">
    <w:name w:val="HTML Address"/>
    <w:basedOn w:val="Normal"/>
    <w:link w:val="HTMLAddressChar"/>
    <w:uiPriority w:val="99"/>
    <w:semiHidden/>
    <w:rsid w:val="00F9113D"/>
    <w:pPr>
      <w:spacing w:line="240" w:lineRule="auto"/>
    </w:pPr>
    <w:rPr>
      <w:i/>
      <w:iCs/>
    </w:rPr>
  </w:style>
  <w:style w:type="character" w:customStyle="1" w:styleId="HTMLAddressChar">
    <w:name w:val="HTML Address Char"/>
    <w:basedOn w:val="DefaultParagraphFont"/>
    <w:link w:val="HTMLAddress"/>
    <w:uiPriority w:val="99"/>
    <w:semiHidden/>
    <w:rsid w:val="00F9113D"/>
    <w:rPr>
      <w:i/>
      <w:iCs/>
    </w:rPr>
  </w:style>
  <w:style w:type="character" w:styleId="HTMLCite">
    <w:name w:val="HTML Cite"/>
    <w:basedOn w:val="DefaultParagraphFont"/>
    <w:uiPriority w:val="99"/>
    <w:semiHidden/>
    <w:rsid w:val="00F9113D"/>
    <w:rPr>
      <w:i/>
      <w:iCs/>
      <w:lang w:val="en-AU"/>
    </w:rPr>
  </w:style>
  <w:style w:type="character" w:styleId="HTMLCode">
    <w:name w:val="HTML Code"/>
    <w:basedOn w:val="DefaultParagraphFont"/>
    <w:uiPriority w:val="99"/>
    <w:semiHidden/>
    <w:rsid w:val="00F9113D"/>
    <w:rPr>
      <w:rFonts w:ascii="Consolas" w:hAnsi="Consolas"/>
      <w:sz w:val="20"/>
      <w:szCs w:val="20"/>
      <w:lang w:val="en-AU"/>
    </w:rPr>
  </w:style>
  <w:style w:type="character" w:styleId="HTMLDefinition">
    <w:name w:val="HTML Definition"/>
    <w:basedOn w:val="DefaultParagraphFont"/>
    <w:uiPriority w:val="99"/>
    <w:semiHidden/>
    <w:rsid w:val="00F9113D"/>
    <w:rPr>
      <w:i/>
      <w:iCs/>
      <w:lang w:val="en-AU"/>
    </w:rPr>
  </w:style>
  <w:style w:type="character" w:styleId="HTMLKeyboard">
    <w:name w:val="HTML Keyboard"/>
    <w:basedOn w:val="DefaultParagraphFont"/>
    <w:uiPriority w:val="99"/>
    <w:semiHidden/>
    <w:rsid w:val="00F9113D"/>
    <w:rPr>
      <w:rFonts w:ascii="Consolas" w:hAnsi="Consolas"/>
      <w:sz w:val="20"/>
      <w:szCs w:val="20"/>
      <w:lang w:val="en-AU"/>
    </w:rPr>
  </w:style>
  <w:style w:type="paragraph" w:styleId="HTMLPreformatted">
    <w:name w:val="HTML Preformatted"/>
    <w:basedOn w:val="Normal"/>
    <w:link w:val="HTMLPreformattedChar"/>
    <w:uiPriority w:val="99"/>
    <w:semiHidden/>
    <w:rsid w:val="00F9113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9113D"/>
    <w:rPr>
      <w:rFonts w:ascii="Consolas" w:hAnsi="Consolas"/>
      <w:sz w:val="20"/>
      <w:szCs w:val="20"/>
    </w:rPr>
  </w:style>
  <w:style w:type="character" w:styleId="HTMLSample">
    <w:name w:val="HTML Sample"/>
    <w:basedOn w:val="DefaultParagraphFont"/>
    <w:uiPriority w:val="99"/>
    <w:semiHidden/>
    <w:rsid w:val="00F9113D"/>
    <w:rPr>
      <w:rFonts w:ascii="Consolas" w:hAnsi="Consolas"/>
      <w:sz w:val="24"/>
      <w:szCs w:val="24"/>
      <w:lang w:val="en-AU"/>
    </w:rPr>
  </w:style>
  <w:style w:type="character" w:styleId="HTMLTypewriter">
    <w:name w:val="HTML Typewriter"/>
    <w:basedOn w:val="DefaultParagraphFont"/>
    <w:uiPriority w:val="99"/>
    <w:semiHidden/>
    <w:rsid w:val="00F9113D"/>
    <w:rPr>
      <w:rFonts w:ascii="Consolas" w:hAnsi="Consolas"/>
      <w:sz w:val="20"/>
      <w:szCs w:val="20"/>
      <w:lang w:val="en-AU"/>
    </w:rPr>
  </w:style>
  <w:style w:type="character" w:styleId="HTMLVariable">
    <w:name w:val="HTML Variable"/>
    <w:basedOn w:val="DefaultParagraphFont"/>
    <w:uiPriority w:val="99"/>
    <w:semiHidden/>
    <w:rsid w:val="00F9113D"/>
    <w:rPr>
      <w:i/>
      <w:iCs/>
      <w:lang w:val="en-AU"/>
    </w:rPr>
  </w:style>
  <w:style w:type="paragraph" w:styleId="Index1">
    <w:name w:val="index 1"/>
    <w:basedOn w:val="Normal"/>
    <w:next w:val="Normal"/>
    <w:autoRedefine/>
    <w:uiPriority w:val="99"/>
    <w:semiHidden/>
    <w:rsid w:val="00F9113D"/>
    <w:pPr>
      <w:spacing w:line="240" w:lineRule="auto"/>
      <w:ind w:left="180" w:hanging="180"/>
    </w:pPr>
  </w:style>
  <w:style w:type="paragraph" w:styleId="Index2">
    <w:name w:val="index 2"/>
    <w:basedOn w:val="Normal"/>
    <w:next w:val="Normal"/>
    <w:autoRedefine/>
    <w:uiPriority w:val="99"/>
    <w:semiHidden/>
    <w:rsid w:val="00F9113D"/>
    <w:pPr>
      <w:spacing w:line="240" w:lineRule="auto"/>
      <w:ind w:left="360" w:hanging="180"/>
    </w:pPr>
  </w:style>
  <w:style w:type="paragraph" w:styleId="Index3">
    <w:name w:val="index 3"/>
    <w:basedOn w:val="Normal"/>
    <w:next w:val="Normal"/>
    <w:autoRedefine/>
    <w:uiPriority w:val="99"/>
    <w:semiHidden/>
    <w:rsid w:val="00F9113D"/>
    <w:pPr>
      <w:spacing w:line="240" w:lineRule="auto"/>
      <w:ind w:left="540" w:hanging="180"/>
    </w:pPr>
  </w:style>
  <w:style w:type="paragraph" w:styleId="Index4">
    <w:name w:val="index 4"/>
    <w:basedOn w:val="Normal"/>
    <w:next w:val="Normal"/>
    <w:autoRedefine/>
    <w:uiPriority w:val="99"/>
    <w:semiHidden/>
    <w:rsid w:val="00F9113D"/>
    <w:pPr>
      <w:spacing w:line="240" w:lineRule="auto"/>
      <w:ind w:left="720" w:hanging="180"/>
    </w:pPr>
  </w:style>
  <w:style w:type="paragraph" w:styleId="Index5">
    <w:name w:val="index 5"/>
    <w:basedOn w:val="Normal"/>
    <w:next w:val="Normal"/>
    <w:autoRedefine/>
    <w:uiPriority w:val="99"/>
    <w:semiHidden/>
    <w:rsid w:val="00F9113D"/>
    <w:pPr>
      <w:spacing w:line="240" w:lineRule="auto"/>
      <w:ind w:left="900" w:hanging="180"/>
    </w:pPr>
  </w:style>
  <w:style w:type="paragraph" w:styleId="Index6">
    <w:name w:val="index 6"/>
    <w:basedOn w:val="Normal"/>
    <w:next w:val="Normal"/>
    <w:autoRedefine/>
    <w:uiPriority w:val="99"/>
    <w:semiHidden/>
    <w:rsid w:val="00F9113D"/>
    <w:pPr>
      <w:spacing w:line="240" w:lineRule="auto"/>
      <w:ind w:left="1080" w:hanging="180"/>
    </w:pPr>
  </w:style>
  <w:style w:type="paragraph" w:styleId="Index7">
    <w:name w:val="index 7"/>
    <w:basedOn w:val="Normal"/>
    <w:next w:val="Normal"/>
    <w:autoRedefine/>
    <w:uiPriority w:val="99"/>
    <w:semiHidden/>
    <w:rsid w:val="00F9113D"/>
    <w:pPr>
      <w:spacing w:line="240" w:lineRule="auto"/>
      <w:ind w:left="1260" w:hanging="180"/>
    </w:pPr>
  </w:style>
  <w:style w:type="paragraph" w:styleId="Index8">
    <w:name w:val="index 8"/>
    <w:basedOn w:val="Normal"/>
    <w:next w:val="Normal"/>
    <w:autoRedefine/>
    <w:uiPriority w:val="99"/>
    <w:semiHidden/>
    <w:rsid w:val="00F9113D"/>
    <w:pPr>
      <w:spacing w:line="240" w:lineRule="auto"/>
      <w:ind w:left="1440" w:hanging="180"/>
    </w:pPr>
  </w:style>
  <w:style w:type="paragraph" w:styleId="Index9">
    <w:name w:val="index 9"/>
    <w:basedOn w:val="Normal"/>
    <w:next w:val="Normal"/>
    <w:autoRedefine/>
    <w:uiPriority w:val="99"/>
    <w:semiHidden/>
    <w:rsid w:val="00F9113D"/>
    <w:pPr>
      <w:spacing w:line="240" w:lineRule="auto"/>
      <w:ind w:left="1620" w:hanging="180"/>
    </w:pPr>
  </w:style>
  <w:style w:type="paragraph" w:styleId="IndexHeading">
    <w:name w:val="index heading"/>
    <w:basedOn w:val="Normal"/>
    <w:next w:val="Index1"/>
    <w:uiPriority w:val="99"/>
    <w:semiHidden/>
    <w:rsid w:val="00F9113D"/>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F9113D"/>
    <w:rPr>
      <w:b/>
      <w:bCs/>
      <w:i/>
      <w:iCs/>
      <w:color w:val="86BC25" w:themeColor="accent1"/>
      <w:lang w:val="en-AU"/>
    </w:rPr>
  </w:style>
  <w:style w:type="paragraph" w:styleId="IntenseQuote">
    <w:name w:val="Intense Quote"/>
    <w:basedOn w:val="Normal"/>
    <w:next w:val="Normal"/>
    <w:link w:val="IntenseQuoteChar"/>
    <w:uiPriority w:val="30"/>
    <w:semiHidden/>
    <w:rsid w:val="00F9113D"/>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semiHidden/>
    <w:rsid w:val="00F9113D"/>
    <w:rPr>
      <w:b/>
      <w:bCs/>
      <w:i/>
      <w:iCs/>
      <w:color w:val="86BC25" w:themeColor="accent1"/>
    </w:rPr>
  </w:style>
  <w:style w:type="character" w:styleId="IntenseReference">
    <w:name w:val="Intense Reference"/>
    <w:basedOn w:val="DefaultParagraphFont"/>
    <w:uiPriority w:val="99"/>
    <w:semiHidden/>
    <w:qFormat/>
    <w:rsid w:val="00F9113D"/>
    <w:rPr>
      <w:b/>
      <w:bCs/>
      <w:smallCaps/>
      <w:color w:val="046A38" w:themeColor="accent2"/>
      <w:spacing w:val="5"/>
      <w:u w:val="single"/>
      <w:lang w:val="en-AU"/>
    </w:rPr>
  </w:style>
  <w:style w:type="table" w:styleId="LightGrid">
    <w:name w:val="Light Grid"/>
    <w:basedOn w:val="TableNormal"/>
    <w:uiPriority w:val="62"/>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F9113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9113D"/>
    <w:pPr>
      <w:spacing w:line="240" w:lineRule="auto"/>
    </w:pPr>
    <w:rPr>
      <w:color w:val="638C1B" w:themeColor="accent1" w:themeShade="BF"/>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F9113D"/>
    <w:pPr>
      <w:spacing w:line="240" w:lineRule="auto"/>
    </w:pPr>
    <w:rPr>
      <w:color w:val="034F29" w:themeColor="accent2" w:themeShade="BF"/>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F9113D"/>
    <w:pPr>
      <w:spacing w:line="240" w:lineRule="auto"/>
    </w:pPr>
    <w:rPr>
      <w:color w:val="2291D1" w:themeColor="accent3" w:themeShade="BF"/>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F9113D"/>
    <w:pPr>
      <w:spacing w:line="240" w:lineRule="auto"/>
    </w:pPr>
    <w:rPr>
      <w:color w:val="00184E" w:themeColor="accent4" w:themeShade="BF"/>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F9113D"/>
    <w:pPr>
      <w:spacing w:line="240" w:lineRule="auto"/>
    </w:pPr>
    <w:rPr>
      <w:color w:val="00707E" w:themeColor="accent5" w:themeShade="BF"/>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F9113D"/>
    <w:pPr>
      <w:spacing w:line="240" w:lineRule="auto"/>
    </w:pPr>
    <w:rPr>
      <w:color w:val="57595C" w:themeColor="accent6" w:themeShade="BF"/>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F9113D"/>
    <w:rPr>
      <w:lang w:val="en-AU"/>
    </w:rPr>
  </w:style>
  <w:style w:type="paragraph" w:styleId="List">
    <w:name w:val="List"/>
    <w:basedOn w:val="Normal"/>
    <w:uiPriority w:val="99"/>
    <w:semiHidden/>
    <w:rsid w:val="00F9113D"/>
    <w:pPr>
      <w:ind w:left="283" w:hanging="283"/>
      <w:contextualSpacing/>
    </w:pPr>
  </w:style>
  <w:style w:type="paragraph" w:styleId="List2">
    <w:name w:val="List 2"/>
    <w:basedOn w:val="Normal"/>
    <w:uiPriority w:val="99"/>
    <w:semiHidden/>
    <w:rsid w:val="00F9113D"/>
    <w:pPr>
      <w:ind w:left="566" w:hanging="283"/>
      <w:contextualSpacing/>
    </w:pPr>
  </w:style>
  <w:style w:type="paragraph" w:styleId="List3">
    <w:name w:val="List 3"/>
    <w:basedOn w:val="Normal"/>
    <w:uiPriority w:val="99"/>
    <w:semiHidden/>
    <w:rsid w:val="00F9113D"/>
    <w:pPr>
      <w:ind w:left="849" w:hanging="283"/>
      <w:contextualSpacing/>
    </w:pPr>
  </w:style>
  <w:style w:type="paragraph" w:styleId="List4">
    <w:name w:val="List 4"/>
    <w:basedOn w:val="Normal"/>
    <w:uiPriority w:val="99"/>
    <w:semiHidden/>
    <w:rsid w:val="00F9113D"/>
    <w:pPr>
      <w:ind w:left="1132" w:hanging="283"/>
      <w:contextualSpacing/>
    </w:pPr>
  </w:style>
  <w:style w:type="paragraph" w:styleId="List5">
    <w:name w:val="List 5"/>
    <w:basedOn w:val="Normal"/>
    <w:uiPriority w:val="99"/>
    <w:semiHidden/>
    <w:rsid w:val="00F9113D"/>
    <w:pPr>
      <w:ind w:left="1415" w:hanging="283"/>
      <w:contextualSpacing/>
    </w:pPr>
  </w:style>
  <w:style w:type="paragraph" w:styleId="ListBullet3">
    <w:name w:val="List Bullet 3"/>
    <w:basedOn w:val="Normal"/>
    <w:uiPriority w:val="3"/>
    <w:rsid w:val="00CC7525"/>
    <w:pPr>
      <w:numPr>
        <w:numId w:val="15"/>
      </w:numPr>
      <w:contextualSpacing/>
    </w:pPr>
  </w:style>
  <w:style w:type="paragraph" w:styleId="ListBullet4">
    <w:name w:val="List Bullet 4"/>
    <w:basedOn w:val="Normal"/>
    <w:uiPriority w:val="99"/>
    <w:semiHidden/>
    <w:rsid w:val="00F9113D"/>
    <w:pPr>
      <w:numPr>
        <w:numId w:val="2"/>
      </w:numPr>
      <w:contextualSpacing/>
    </w:pPr>
  </w:style>
  <w:style w:type="paragraph" w:styleId="ListBullet5">
    <w:name w:val="List Bullet 5"/>
    <w:basedOn w:val="Normal"/>
    <w:uiPriority w:val="99"/>
    <w:semiHidden/>
    <w:rsid w:val="00F9113D"/>
    <w:pPr>
      <w:numPr>
        <w:numId w:val="3"/>
      </w:numPr>
      <w:contextualSpacing/>
    </w:pPr>
  </w:style>
  <w:style w:type="paragraph" w:styleId="ListContinue">
    <w:name w:val="List Continue"/>
    <w:basedOn w:val="Normal"/>
    <w:uiPriority w:val="99"/>
    <w:semiHidden/>
    <w:rsid w:val="00F9113D"/>
    <w:pPr>
      <w:spacing w:after="120"/>
      <w:ind w:left="283"/>
      <w:contextualSpacing/>
    </w:pPr>
  </w:style>
  <w:style w:type="paragraph" w:styleId="ListContinue2">
    <w:name w:val="List Continue 2"/>
    <w:basedOn w:val="Normal"/>
    <w:uiPriority w:val="99"/>
    <w:semiHidden/>
    <w:rsid w:val="00F9113D"/>
    <w:pPr>
      <w:spacing w:after="120"/>
      <w:ind w:left="566"/>
      <w:contextualSpacing/>
    </w:pPr>
  </w:style>
  <w:style w:type="paragraph" w:styleId="ListContinue3">
    <w:name w:val="List Continue 3"/>
    <w:basedOn w:val="Normal"/>
    <w:uiPriority w:val="99"/>
    <w:semiHidden/>
    <w:rsid w:val="00F9113D"/>
    <w:pPr>
      <w:spacing w:after="120"/>
      <w:ind w:left="849"/>
      <w:contextualSpacing/>
    </w:pPr>
  </w:style>
  <w:style w:type="paragraph" w:styleId="ListContinue4">
    <w:name w:val="List Continue 4"/>
    <w:basedOn w:val="Normal"/>
    <w:uiPriority w:val="99"/>
    <w:semiHidden/>
    <w:rsid w:val="00F9113D"/>
    <w:pPr>
      <w:spacing w:after="120"/>
      <w:ind w:left="1132"/>
      <w:contextualSpacing/>
    </w:pPr>
  </w:style>
  <w:style w:type="paragraph" w:styleId="ListContinue5">
    <w:name w:val="List Continue 5"/>
    <w:basedOn w:val="Normal"/>
    <w:uiPriority w:val="99"/>
    <w:semiHidden/>
    <w:rsid w:val="00F9113D"/>
    <w:pPr>
      <w:spacing w:after="120"/>
      <w:ind w:left="1415"/>
      <w:contextualSpacing/>
    </w:pPr>
  </w:style>
  <w:style w:type="paragraph" w:styleId="ListNumber3">
    <w:name w:val="List Number 3"/>
    <w:basedOn w:val="Normal"/>
    <w:uiPriority w:val="99"/>
    <w:semiHidden/>
    <w:rsid w:val="00F9113D"/>
    <w:pPr>
      <w:numPr>
        <w:ilvl w:val="2"/>
        <w:numId w:val="13"/>
      </w:numPr>
      <w:contextualSpacing/>
    </w:pPr>
  </w:style>
  <w:style w:type="paragraph" w:styleId="ListNumber4">
    <w:name w:val="List Number 4"/>
    <w:basedOn w:val="Normal"/>
    <w:uiPriority w:val="99"/>
    <w:semiHidden/>
    <w:rsid w:val="00F9113D"/>
    <w:pPr>
      <w:numPr>
        <w:numId w:val="4"/>
      </w:numPr>
      <w:contextualSpacing/>
    </w:pPr>
  </w:style>
  <w:style w:type="paragraph" w:styleId="ListNumber5">
    <w:name w:val="List Number 5"/>
    <w:basedOn w:val="Normal"/>
    <w:uiPriority w:val="99"/>
    <w:semiHidden/>
    <w:rsid w:val="00F9113D"/>
    <w:pPr>
      <w:numPr>
        <w:numId w:val="5"/>
      </w:numPr>
      <w:contextualSpacing/>
    </w:pPr>
  </w:style>
  <w:style w:type="paragraph" w:styleId="ListParagraph">
    <w:name w:val="List Paragraph"/>
    <w:aliases w:val="Bullet List,Bullet point,List Paragraph1,List Paragraph11,Recommendation,List Bullet 1,L"/>
    <w:basedOn w:val="Normal"/>
    <w:link w:val="ListParagraphChar"/>
    <w:uiPriority w:val="34"/>
    <w:qFormat/>
    <w:rsid w:val="00F9113D"/>
    <w:pPr>
      <w:ind w:left="720"/>
      <w:contextualSpacing/>
    </w:pPr>
  </w:style>
  <w:style w:type="paragraph" w:styleId="MacroText">
    <w:name w:val="macro"/>
    <w:link w:val="MacroTextChar"/>
    <w:uiPriority w:val="99"/>
    <w:semiHidden/>
    <w:rsid w:val="00F9113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F9113D"/>
    <w:rPr>
      <w:rFonts w:ascii="Consolas" w:hAnsi="Consolas"/>
      <w:sz w:val="20"/>
      <w:szCs w:val="20"/>
      <w:lang w:val="en-AU"/>
    </w:rPr>
  </w:style>
  <w:style w:type="table" w:styleId="MediumGrid1">
    <w:name w:val="Medium Grid 1"/>
    <w:basedOn w:val="TableNormal"/>
    <w:uiPriority w:val="67"/>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99"/>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F9113D"/>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9113D"/>
    <w:pPr>
      <w:spacing w:line="240" w:lineRule="auto"/>
    </w:pPr>
    <w:rPr>
      <w:color w:val="000000" w:themeColor="text1"/>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F9113D"/>
    <w:pPr>
      <w:spacing w:line="240" w:lineRule="auto"/>
    </w:pPr>
    <w:rPr>
      <w:color w:val="000000" w:themeColor="text1"/>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F9113D"/>
    <w:pPr>
      <w:spacing w:line="240" w:lineRule="auto"/>
    </w:pPr>
    <w:rPr>
      <w:color w:val="000000" w:themeColor="text1"/>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F9113D"/>
    <w:pPr>
      <w:spacing w:line="240" w:lineRule="auto"/>
    </w:pPr>
    <w:rPr>
      <w:color w:val="000000" w:themeColor="text1"/>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F9113D"/>
    <w:pPr>
      <w:spacing w:line="240" w:lineRule="auto"/>
    </w:pPr>
    <w:rPr>
      <w:color w:val="000000" w:themeColor="text1"/>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F9113D"/>
    <w:pPr>
      <w:spacing w:line="240" w:lineRule="auto"/>
    </w:pPr>
    <w:rPr>
      <w:color w:val="000000" w:themeColor="text1"/>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F9113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113D"/>
    <w:rPr>
      <w:rFonts w:asciiTheme="majorHAnsi" w:eastAsiaTheme="majorEastAsia" w:hAnsiTheme="majorHAnsi" w:cstheme="majorBidi"/>
      <w:sz w:val="24"/>
      <w:szCs w:val="24"/>
      <w:shd w:val="pct20" w:color="auto" w:fill="auto"/>
    </w:rPr>
  </w:style>
  <w:style w:type="paragraph" w:styleId="NoSpacing">
    <w:name w:val="No Spacing"/>
    <w:qFormat/>
    <w:rsid w:val="00DA30BF"/>
    <w:rPr>
      <w:lang w:val="en-AU"/>
    </w:rPr>
  </w:style>
  <w:style w:type="paragraph" w:styleId="NormalWeb">
    <w:name w:val="Normal (Web)"/>
    <w:basedOn w:val="Normal"/>
    <w:uiPriority w:val="99"/>
    <w:semiHidden/>
    <w:rsid w:val="00F9113D"/>
    <w:rPr>
      <w:rFonts w:ascii="Times New Roman" w:hAnsi="Times New Roman" w:cs="Times New Roman"/>
      <w:sz w:val="24"/>
      <w:szCs w:val="24"/>
    </w:rPr>
  </w:style>
  <w:style w:type="paragraph" w:styleId="NormalIndent">
    <w:name w:val="Normal Indent"/>
    <w:basedOn w:val="Normal"/>
    <w:uiPriority w:val="99"/>
    <w:semiHidden/>
    <w:rsid w:val="00F9113D"/>
    <w:pPr>
      <w:ind w:left="1304"/>
    </w:pPr>
  </w:style>
  <w:style w:type="paragraph" w:styleId="NoteHeading">
    <w:name w:val="Note Heading"/>
    <w:basedOn w:val="Normal"/>
    <w:next w:val="Normal"/>
    <w:link w:val="NoteHeadingChar"/>
    <w:uiPriority w:val="99"/>
    <w:semiHidden/>
    <w:rsid w:val="00F9113D"/>
    <w:pPr>
      <w:spacing w:line="240" w:lineRule="auto"/>
    </w:pPr>
  </w:style>
  <w:style w:type="character" w:customStyle="1" w:styleId="NoteHeadingChar">
    <w:name w:val="Note Heading Char"/>
    <w:basedOn w:val="DefaultParagraphFont"/>
    <w:link w:val="NoteHeading"/>
    <w:uiPriority w:val="99"/>
    <w:semiHidden/>
    <w:rsid w:val="00F9113D"/>
  </w:style>
  <w:style w:type="character" w:styleId="PageNumber">
    <w:name w:val="page number"/>
    <w:basedOn w:val="DefaultParagraphFont"/>
    <w:uiPriority w:val="10"/>
    <w:rsid w:val="00F9113D"/>
    <w:rPr>
      <w:lang w:val="en-AU"/>
    </w:rPr>
  </w:style>
  <w:style w:type="paragraph" w:styleId="PlainText">
    <w:name w:val="Plain Text"/>
    <w:basedOn w:val="Normal"/>
    <w:link w:val="PlainTextChar"/>
    <w:uiPriority w:val="99"/>
    <w:semiHidden/>
    <w:rsid w:val="00F9113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9113D"/>
    <w:rPr>
      <w:rFonts w:ascii="Consolas" w:hAnsi="Consolas"/>
      <w:sz w:val="21"/>
      <w:szCs w:val="21"/>
    </w:rPr>
  </w:style>
  <w:style w:type="paragraph" w:styleId="Quote">
    <w:name w:val="Quote"/>
    <w:basedOn w:val="Normal"/>
    <w:next w:val="Normal"/>
    <w:link w:val="QuoteChar"/>
    <w:uiPriority w:val="29"/>
    <w:semiHidden/>
    <w:qFormat/>
    <w:rsid w:val="00F9113D"/>
    <w:pPr>
      <w:spacing w:after="0"/>
    </w:pPr>
    <w:rPr>
      <w:i/>
      <w:iCs/>
      <w:color w:val="000000" w:themeColor="text1"/>
    </w:rPr>
  </w:style>
  <w:style w:type="character" w:customStyle="1" w:styleId="QuoteChar">
    <w:name w:val="Quote Char"/>
    <w:basedOn w:val="DefaultParagraphFont"/>
    <w:link w:val="Quote"/>
    <w:uiPriority w:val="29"/>
    <w:semiHidden/>
    <w:rsid w:val="00F9113D"/>
    <w:rPr>
      <w:i/>
      <w:iCs/>
      <w:color w:val="000000" w:themeColor="text1"/>
    </w:rPr>
  </w:style>
  <w:style w:type="paragraph" w:styleId="Salutation">
    <w:name w:val="Salutation"/>
    <w:basedOn w:val="Normal"/>
    <w:next w:val="Normal"/>
    <w:link w:val="SalutationChar"/>
    <w:uiPriority w:val="99"/>
    <w:semiHidden/>
    <w:rsid w:val="00F9113D"/>
  </w:style>
  <w:style w:type="character" w:customStyle="1" w:styleId="SalutationChar">
    <w:name w:val="Salutation Char"/>
    <w:basedOn w:val="DefaultParagraphFont"/>
    <w:link w:val="Salutation"/>
    <w:uiPriority w:val="99"/>
    <w:semiHidden/>
    <w:rsid w:val="00F9113D"/>
  </w:style>
  <w:style w:type="paragraph" w:styleId="Signature">
    <w:name w:val="Signature"/>
    <w:basedOn w:val="Normal"/>
    <w:link w:val="SignatureChar"/>
    <w:uiPriority w:val="99"/>
    <w:semiHidden/>
    <w:rsid w:val="00F9113D"/>
    <w:pPr>
      <w:keepNext/>
      <w:keepLines/>
    </w:pPr>
  </w:style>
  <w:style w:type="character" w:customStyle="1" w:styleId="SignatureChar">
    <w:name w:val="Signature Char"/>
    <w:basedOn w:val="DefaultParagraphFont"/>
    <w:link w:val="Signature"/>
    <w:uiPriority w:val="99"/>
    <w:semiHidden/>
    <w:rsid w:val="00F9113D"/>
  </w:style>
  <w:style w:type="character" w:styleId="Strong">
    <w:name w:val="Strong"/>
    <w:basedOn w:val="DefaultParagraphFont"/>
    <w:uiPriority w:val="22"/>
    <w:qFormat/>
    <w:rsid w:val="00F9113D"/>
    <w:rPr>
      <w:b/>
      <w:bCs/>
      <w:lang w:val="en-AU"/>
    </w:rPr>
  </w:style>
  <w:style w:type="paragraph" w:styleId="Subtitle">
    <w:name w:val="Subtitle"/>
    <w:basedOn w:val="Normal"/>
    <w:next w:val="Normal"/>
    <w:link w:val="SubtitleChar"/>
    <w:uiPriority w:val="11"/>
    <w:semiHidden/>
    <w:qFormat/>
    <w:rsid w:val="00F9113D"/>
    <w:pPr>
      <w:numPr>
        <w:ilvl w:val="1"/>
      </w:numPr>
      <w:spacing w:after="0"/>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semiHidden/>
    <w:rsid w:val="00F9113D"/>
    <w:rPr>
      <w:rFonts w:eastAsiaTheme="majorEastAsia" w:cstheme="majorBidi"/>
      <w:i/>
      <w:iCs/>
      <w:color w:val="86BC25" w:themeColor="accent1"/>
      <w:spacing w:val="15"/>
      <w:sz w:val="24"/>
      <w:szCs w:val="24"/>
    </w:rPr>
  </w:style>
  <w:style w:type="character" w:styleId="SubtleEmphasis">
    <w:name w:val="Subtle Emphasis"/>
    <w:basedOn w:val="DefaultParagraphFont"/>
    <w:uiPriority w:val="99"/>
    <w:semiHidden/>
    <w:qFormat/>
    <w:rsid w:val="00F9113D"/>
    <w:rPr>
      <w:i/>
      <w:iCs/>
      <w:color w:val="808080" w:themeColor="text1" w:themeTint="7F"/>
      <w:lang w:val="en-AU"/>
    </w:rPr>
  </w:style>
  <w:style w:type="character" w:styleId="SubtleReference">
    <w:name w:val="Subtle Reference"/>
    <w:basedOn w:val="DefaultParagraphFont"/>
    <w:uiPriority w:val="99"/>
    <w:semiHidden/>
    <w:qFormat/>
    <w:rsid w:val="00F9113D"/>
    <w:rPr>
      <w:smallCaps/>
      <w:color w:val="046A38" w:themeColor="accent2"/>
      <w:u w:val="single"/>
      <w:lang w:val="en-AU"/>
    </w:rPr>
  </w:style>
  <w:style w:type="table" w:styleId="Table3Deffects1">
    <w:name w:val="Table 3D effects 1"/>
    <w:basedOn w:val="TableNormal"/>
    <w:uiPriority w:val="99"/>
    <w:semiHidden/>
    <w:unhideWhenUsed/>
    <w:rsid w:val="00F9113D"/>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9113D"/>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9113D"/>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9113D"/>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9113D"/>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9113D"/>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9113D"/>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9113D"/>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9113D"/>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9113D"/>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9113D"/>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9113D"/>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9113D"/>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9113D"/>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9113D"/>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9113D"/>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9113D"/>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9113D"/>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9113D"/>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9113D"/>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9113D"/>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9113D"/>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9113D"/>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9113D"/>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9113D"/>
    <w:pPr>
      <w:ind w:left="180" w:hanging="180"/>
    </w:pPr>
  </w:style>
  <w:style w:type="paragraph" w:styleId="TableofFigures">
    <w:name w:val="table of figures"/>
    <w:basedOn w:val="Normal"/>
    <w:next w:val="Normal"/>
    <w:uiPriority w:val="99"/>
    <w:semiHidden/>
    <w:rsid w:val="00F9113D"/>
  </w:style>
  <w:style w:type="table" w:styleId="TableProfessional">
    <w:name w:val="Table Professional"/>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9113D"/>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9113D"/>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9113D"/>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9113D"/>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9113D"/>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9113D"/>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9113D"/>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9113D"/>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F9113D"/>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semiHidden/>
    <w:rsid w:val="00F9113D"/>
    <w:rPr>
      <w:rFonts w:eastAsiaTheme="majorEastAsia" w:cstheme="majorBidi"/>
      <w:color w:val="323E4F" w:themeColor="text2" w:themeShade="BF"/>
      <w:spacing w:val="5"/>
      <w:kern w:val="28"/>
      <w:sz w:val="52"/>
      <w:szCs w:val="52"/>
    </w:rPr>
  </w:style>
  <w:style w:type="paragraph" w:styleId="TOAHeading">
    <w:name w:val="toa heading"/>
    <w:basedOn w:val="Normal"/>
    <w:next w:val="Normal"/>
    <w:uiPriority w:val="99"/>
    <w:semiHidden/>
    <w:rsid w:val="00F9113D"/>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271D10"/>
    <w:pPr>
      <w:tabs>
        <w:tab w:val="left" w:pos="567"/>
        <w:tab w:val="right" w:pos="8959"/>
      </w:tabs>
      <w:spacing w:after="100"/>
      <w:ind w:left="1134" w:right="567" w:hanging="567"/>
      <w:contextualSpacing/>
    </w:pPr>
  </w:style>
  <w:style w:type="paragraph" w:styleId="TOC3">
    <w:name w:val="toc 3"/>
    <w:basedOn w:val="Normal"/>
    <w:next w:val="Normal"/>
    <w:uiPriority w:val="39"/>
    <w:rsid w:val="00271D10"/>
    <w:pPr>
      <w:tabs>
        <w:tab w:val="left" w:pos="1021"/>
        <w:tab w:val="right" w:pos="8959"/>
      </w:tabs>
      <w:spacing w:after="100"/>
      <w:ind w:left="567" w:right="567"/>
      <w:contextualSpacing/>
    </w:pPr>
  </w:style>
  <w:style w:type="paragraph" w:styleId="TOC4">
    <w:name w:val="toc 4"/>
    <w:basedOn w:val="Normal"/>
    <w:next w:val="Normal"/>
    <w:uiPriority w:val="39"/>
    <w:rsid w:val="007854F9"/>
    <w:pPr>
      <w:tabs>
        <w:tab w:val="right" w:pos="8959"/>
      </w:tabs>
      <w:spacing w:after="100"/>
      <w:ind w:right="567"/>
      <w:contextualSpacing/>
    </w:pPr>
  </w:style>
  <w:style w:type="paragraph" w:styleId="TOC5">
    <w:name w:val="toc 5"/>
    <w:basedOn w:val="Normal"/>
    <w:next w:val="Normal"/>
    <w:uiPriority w:val="39"/>
    <w:rsid w:val="00F9113D"/>
    <w:pPr>
      <w:spacing w:after="100"/>
      <w:ind w:left="567" w:right="567"/>
      <w:contextualSpacing/>
    </w:pPr>
  </w:style>
  <w:style w:type="paragraph" w:styleId="TOC6">
    <w:name w:val="toc 6"/>
    <w:basedOn w:val="Normal"/>
    <w:next w:val="Normal"/>
    <w:uiPriority w:val="39"/>
    <w:rsid w:val="006704D4"/>
    <w:pPr>
      <w:tabs>
        <w:tab w:val="right" w:pos="8959"/>
      </w:tabs>
      <w:spacing w:after="100"/>
      <w:ind w:right="567"/>
      <w:contextualSpacing/>
    </w:pPr>
  </w:style>
  <w:style w:type="paragraph" w:styleId="TOC7">
    <w:name w:val="toc 7"/>
    <w:basedOn w:val="Normal"/>
    <w:next w:val="Normal"/>
    <w:uiPriority w:val="39"/>
    <w:rsid w:val="00271D10"/>
    <w:pPr>
      <w:tabs>
        <w:tab w:val="right" w:pos="8959"/>
      </w:tabs>
      <w:spacing w:after="100"/>
      <w:ind w:right="567"/>
      <w:contextualSpacing/>
    </w:pPr>
  </w:style>
  <w:style w:type="paragraph" w:styleId="TOC8">
    <w:name w:val="toc 8"/>
    <w:basedOn w:val="Normal"/>
    <w:next w:val="Normal"/>
    <w:uiPriority w:val="39"/>
    <w:rsid w:val="007854F9"/>
    <w:pPr>
      <w:tabs>
        <w:tab w:val="right" w:pos="8959"/>
      </w:tabs>
      <w:spacing w:after="100"/>
      <w:ind w:right="567"/>
      <w:contextualSpacing/>
    </w:pPr>
  </w:style>
  <w:style w:type="paragraph" w:styleId="TOC9">
    <w:name w:val="toc 9"/>
    <w:basedOn w:val="Normal"/>
    <w:next w:val="Normal"/>
    <w:uiPriority w:val="39"/>
    <w:rsid w:val="00F9113D"/>
    <w:pPr>
      <w:spacing w:after="100"/>
      <w:ind w:left="567" w:right="567"/>
      <w:contextualSpacing/>
    </w:pPr>
  </w:style>
  <w:style w:type="paragraph" w:styleId="TOCHeading">
    <w:name w:val="TOC Heading"/>
    <w:next w:val="Normal"/>
    <w:uiPriority w:val="39"/>
    <w:qFormat/>
    <w:rsid w:val="00F9113D"/>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F9113D"/>
    <w:pPr>
      <w:tabs>
        <w:tab w:val="left" w:pos="567"/>
      </w:tabs>
      <w:spacing w:after="0" w:line="280" w:lineRule="atLeast"/>
    </w:pPr>
    <w:rPr>
      <w:noProof/>
      <w:sz w:val="16"/>
    </w:rPr>
  </w:style>
  <w:style w:type="paragraph" w:customStyle="1" w:styleId="Template-Dato">
    <w:name w:val="Template - Dato"/>
    <w:basedOn w:val="Normal"/>
    <w:uiPriority w:val="9"/>
    <w:semiHidden/>
    <w:rsid w:val="00F9113D"/>
    <w:pPr>
      <w:spacing w:after="0" w:line="280" w:lineRule="atLeast"/>
    </w:pPr>
    <w:rPr>
      <w:noProof/>
      <w:sz w:val="16"/>
    </w:rPr>
  </w:style>
  <w:style w:type="paragraph" w:customStyle="1" w:styleId="Letterheadaddressnospacing">
    <w:name w:val="Letterhead address (no spacing)"/>
    <w:uiPriority w:val="99"/>
    <w:semiHidden/>
    <w:qFormat/>
    <w:rsid w:val="001D0641"/>
    <w:pPr>
      <w:framePr w:wrap="around" w:vAnchor="page" w:hAnchor="page" w:x="1" w:y="1"/>
      <w:spacing w:line="240" w:lineRule="auto"/>
      <w:suppressOverlap/>
    </w:pPr>
    <w:rPr>
      <w:rFonts w:eastAsia="Times New Roman" w:cs="Times New Roman"/>
      <w:noProof/>
      <w:color w:val="7F7F7F" w:themeColor="text1" w:themeTint="80"/>
      <w:sz w:val="14"/>
      <w:lang w:val="en-AU" w:bidi="en-US"/>
    </w:rPr>
  </w:style>
  <w:style w:type="paragraph" w:customStyle="1" w:styleId="DocumentHeading">
    <w:name w:val="Document Heading"/>
    <w:basedOn w:val="Normal"/>
    <w:next w:val="BodyText"/>
    <w:uiPriority w:val="99"/>
    <w:semiHidden/>
    <w:rsid w:val="00F9113D"/>
    <w:pPr>
      <w:suppressAutoHyphens/>
      <w:spacing w:before="240" w:after="240"/>
    </w:pPr>
    <w:rPr>
      <w:b/>
    </w:rPr>
  </w:style>
  <w:style w:type="paragraph" w:customStyle="1" w:styleId="Disclaimer">
    <w:name w:val="Disclaimer"/>
    <w:basedOn w:val="Footer"/>
    <w:uiPriority w:val="11"/>
    <w:semiHidden/>
    <w:rsid w:val="00F9113D"/>
    <w:pPr>
      <w:tabs>
        <w:tab w:val="clear" w:pos="7371"/>
      </w:tabs>
      <w:spacing w:line="130" w:lineRule="atLeast"/>
      <w:suppressOverlap/>
    </w:pPr>
    <w:rPr>
      <w:rFonts w:eastAsia="Times New Roman" w:cs="Arial"/>
      <w:sz w:val="11"/>
      <w:szCs w:val="17"/>
      <w:lang w:eastAsia="en-GB"/>
    </w:rPr>
  </w:style>
  <w:style w:type="paragraph" w:customStyle="1" w:styleId="SenderName">
    <w:name w:val="Sender Name"/>
    <w:basedOn w:val="Normal"/>
    <w:uiPriority w:val="8"/>
    <w:rsid w:val="00F9113D"/>
    <w:pPr>
      <w:keepNext/>
      <w:keepLines/>
      <w:spacing w:after="0"/>
    </w:pPr>
    <w:rPr>
      <w:b/>
      <w:szCs w:val="17"/>
    </w:rPr>
  </w:style>
  <w:style w:type="paragraph" w:customStyle="1" w:styleId="SignatureName">
    <w:name w:val="Signature Name"/>
    <w:basedOn w:val="Normal"/>
    <w:next w:val="SignatureTitle"/>
    <w:uiPriority w:val="7"/>
    <w:semiHidden/>
    <w:rsid w:val="00F9113D"/>
    <w:pPr>
      <w:keepNext/>
      <w:keepLines/>
      <w:spacing w:after="0"/>
    </w:pPr>
    <w:rPr>
      <w:b/>
      <w:color w:val="62B5E5" w:themeColor="accent3"/>
    </w:rPr>
  </w:style>
  <w:style w:type="paragraph" w:customStyle="1" w:styleId="SignatureTitle">
    <w:name w:val="Signature Title"/>
    <w:basedOn w:val="Normal"/>
    <w:next w:val="BodyText"/>
    <w:uiPriority w:val="7"/>
    <w:semiHidden/>
    <w:rsid w:val="00F9113D"/>
    <w:pPr>
      <w:spacing w:after="0"/>
    </w:pPr>
    <w:rPr>
      <w:b/>
    </w:rPr>
  </w:style>
  <w:style w:type="paragraph" w:customStyle="1" w:styleId="Heading2un-numbered">
    <w:name w:val="Heading 2 (un-numbered)"/>
    <w:basedOn w:val="Heading2"/>
    <w:next w:val="Normal"/>
    <w:uiPriority w:val="2"/>
    <w:rsid w:val="00CF23CD"/>
  </w:style>
  <w:style w:type="paragraph" w:customStyle="1" w:styleId="Heading3un-numbered">
    <w:name w:val="Heading 3 (un-numbered)"/>
    <w:basedOn w:val="Heading3"/>
    <w:next w:val="Normal"/>
    <w:uiPriority w:val="2"/>
    <w:qFormat/>
    <w:rsid w:val="00F9113D"/>
    <w:pPr>
      <w:numPr>
        <w:ilvl w:val="0"/>
        <w:numId w:val="0"/>
      </w:numPr>
    </w:pPr>
  </w:style>
  <w:style w:type="paragraph" w:customStyle="1" w:styleId="Heading4un-numbered">
    <w:name w:val="Heading 4 (un-numbered)"/>
    <w:basedOn w:val="Heading4"/>
    <w:next w:val="Normal"/>
    <w:uiPriority w:val="2"/>
    <w:qFormat/>
    <w:rsid w:val="00F9113D"/>
    <w:pPr>
      <w:numPr>
        <w:ilvl w:val="0"/>
        <w:numId w:val="0"/>
      </w:numPr>
    </w:pPr>
  </w:style>
  <w:style w:type="paragraph" w:customStyle="1" w:styleId="BulletedText1">
    <w:name w:val="Bulleted Text 1"/>
    <w:basedOn w:val="Normal"/>
    <w:uiPriority w:val="4"/>
    <w:semiHidden/>
    <w:qFormat/>
    <w:rsid w:val="00F9113D"/>
    <w:pPr>
      <w:numPr>
        <w:numId w:val="1"/>
      </w:numPr>
      <w:suppressAutoHyphens/>
      <w:spacing w:after="0" w:line="250" w:lineRule="atLeast"/>
    </w:pPr>
  </w:style>
  <w:style w:type="paragraph" w:customStyle="1" w:styleId="BulletedText2">
    <w:name w:val="Bulleted Text 2"/>
    <w:basedOn w:val="Normal"/>
    <w:uiPriority w:val="4"/>
    <w:semiHidden/>
    <w:rsid w:val="00F9113D"/>
    <w:pPr>
      <w:numPr>
        <w:ilvl w:val="1"/>
        <w:numId w:val="1"/>
      </w:numPr>
      <w:suppressAutoHyphens/>
      <w:spacing w:after="0" w:line="250" w:lineRule="atLeast"/>
    </w:pPr>
  </w:style>
  <w:style w:type="paragraph" w:customStyle="1" w:styleId="Numberslevel1">
    <w:name w:val="Numbers level 1"/>
    <w:basedOn w:val="Normal"/>
    <w:uiPriority w:val="4"/>
    <w:semiHidden/>
    <w:qFormat/>
    <w:rsid w:val="00F9113D"/>
    <w:pPr>
      <w:numPr>
        <w:numId w:val="6"/>
      </w:numPr>
      <w:suppressAutoHyphens/>
      <w:spacing w:after="0" w:line="250" w:lineRule="atLeast"/>
    </w:pPr>
  </w:style>
  <w:style w:type="paragraph" w:customStyle="1" w:styleId="Numberslevel2">
    <w:name w:val="Numbers level 2"/>
    <w:basedOn w:val="Normal"/>
    <w:uiPriority w:val="4"/>
    <w:semiHidden/>
    <w:rsid w:val="00F9113D"/>
    <w:pPr>
      <w:numPr>
        <w:ilvl w:val="1"/>
        <w:numId w:val="6"/>
      </w:numPr>
      <w:suppressAutoHyphens/>
      <w:spacing w:after="0" w:line="250" w:lineRule="atLeast"/>
    </w:pPr>
  </w:style>
  <w:style w:type="paragraph" w:customStyle="1" w:styleId="Numberslevel3">
    <w:name w:val="Numbers level 3"/>
    <w:basedOn w:val="Normal"/>
    <w:uiPriority w:val="4"/>
    <w:semiHidden/>
    <w:rsid w:val="00F9113D"/>
    <w:pPr>
      <w:numPr>
        <w:ilvl w:val="2"/>
        <w:numId w:val="6"/>
      </w:numPr>
      <w:suppressAutoHyphens/>
      <w:spacing w:after="0" w:line="250" w:lineRule="atLeast"/>
    </w:pPr>
  </w:style>
  <w:style w:type="paragraph" w:customStyle="1" w:styleId="TabletextLeftTotal">
    <w:name w:val="Table text Left Total"/>
    <w:basedOn w:val="TabletextLeft"/>
    <w:uiPriority w:val="5"/>
    <w:rsid w:val="002E67BC"/>
    <w:rPr>
      <w:b/>
    </w:rPr>
  </w:style>
  <w:style w:type="paragraph" w:customStyle="1" w:styleId="TabletextRightTotal">
    <w:name w:val="Table text Right Total"/>
    <w:basedOn w:val="TabletextRight"/>
    <w:uiPriority w:val="5"/>
    <w:rsid w:val="002C7E6E"/>
    <w:rPr>
      <w:b/>
    </w:rPr>
  </w:style>
  <w:style w:type="table" w:customStyle="1" w:styleId="DeloitteBandedrows">
    <w:name w:val="Deloitte Banded rows"/>
    <w:basedOn w:val="TableNormal"/>
    <w:uiPriority w:val="99"/>
    <w:rsid w:val="00464FD2"/>
    <w:pPr>
      <w:spacing w:line="200" w:lineRule="atLeast"/>
    </w:pPr>
    <w:rPr>
      <w:sz w:val="17"/>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F9113D"/>
    <w:pPr>
      <w:spacing w:after="0"/>
      <w:ind w:left="-57"/>
    </w:pPr>
    <w:rPr>
      <w:color w:val="FF0000"/>
      <w:sz w:val="36"/>
    </w:rPr>
  </w:style>
  <w:style w:type="paragraph" w:customStyle="1" w:styleId="CV-Name">
    <w:name w:val="CV - Name"/>
    <w:basedOn w:val="Normal"/>
    <w:uiPriority w:val="7"/>
    <w:rsid w:val="005B00B8"/>
    <w:pPr>
      <w:spacing w:after="240"/>
      <w:contextualSpacing/>
    </w:pPr>
    <w:rPr>
      <w:b/>
      <w:color w:val="62B5E5" w:themeColor="accent3"/>
    </w:rPr>
  </w:style>
  <w:style w:type="paragraph" w:customStyle="1" w:styleId="HeadingA">
    <w:name w:val="Heading A"/>
    <w:next w:val="Normal"/>
    <w:uiPriority w:val="3"/>
    <w:rsid w:val="005E5001"/>
    <w:pPr>
      <w:keepNext/>
      <w:keepLines/>
      <w:spacing w:before="240"/>
    </w:pPr>
    <w:rPr>
      <w:rFonts w:eastAsia="Times New Roman" w:cs="Times New Roman"/>
      <w:b/>
      <w:color w:val="62B5E5" w:themeColor="accent3"/>
      <w:szCs w:val="28"/>
      <w:lang w:val="en-AU"/>
    </w:rPr>
  </w:style>
  <w:style w:type="paragraph" w:customStyle="1" w:styleId="HeadingB">
    <w:name w:val="Heading B"/>
    <w:basedOn w:val="HeadingA"/>
    <w:next w:val="Normal"/>
    <w:uiPriority w:val="3"/>
    <w:rsid w:val="005E5001"/>
    <w:pPr>
      <w:spacing w:before="0"/>
    </w:pPr>
    <w:rPr>
      <w:color w:val="auto"/>
      <w:szCs w:val="26"/>
    </w:rPr>
  </w:style>
  <w:style w:type="paragraph" w:customStyle="1" w:styleId="HeadingC">
    <w:name w:val="Heading C"/>
    <w:basedOn w:val="Normal"/>
    <w:next w:val="Normal"/>
    <w:uiPriority w:val="99"/>
    <w:rsid w:val="00F84828"/>
    <w:pPr>
      <w:keepNext/>
      <w:keepLines/>
      <w:spacing w:after="0"/>
    </w:pPr>
    <w:rPr>
      <w:rFonts w:eastAsia="Times New Roman" w:cs="Times New Roman"/>
      <w:b/>
      <w:color w:val="75787B" w:themeColor="accent6"/>
      <w:szCs w:val="28"/>
    </w:rPr>
  </w:style>
  <w:style w:type="paragraph" w:customStyle="1" w:styleId="CaptionTable">
    <w:name w:val="Caption_Table"/>
    <w:basedOn w:val="Normal"/>
    <w:next w:val="Normal"/>
    <w:uiPriority w:val="4"/>
    <w:qFormat/>
    <w:rsid w:val="006C74B8"/>
    <w:pPr>
      <w:keepNext/>
      <w:keepLines/>
      <w:spacing w:before="240" w:after="240"/>
    </w:pPr>
    <w:rPr>
      <w:rFonts w:eastAsia="Times New Roman" w:cs="Times New Roman"/>
      <w:color w:val="75787B" w:themeColor="accent6"/>
      <w:sz w:val="17"/>
      <w:szCs w:val="20"/>
    </w:rPr>
  </w:style>
  <w:style w:type="paragraph" w:customStyle="1" w:styleId="CaptionFigure">
    <w:name w:val="Caption_Figure"/>
    <w:basedOn w:val="Normal"/>
    <w:next w:val="Normal"/>
    <w:uiPriority w:val="4"/>
    <w:qFormat/>
    <w:rsid w:val="006C74B8"/>
    <w:pPr>
      <w:keepNext/>
      <w:keepLines/>
    </w:pPr>
    <w:rPr>
      <w:bCs/>
      <w:color w:val="75787B" w:themeColor="accent6"/>
      <w:sz w:val="17"/>
      <w:szCs w:val="22"/>
    </w:rPr>
  </w:style>
  <w:style w:type="paragraph" w:customStyle="1" w:styleId="CaptionChart">
    <w:name w:val="Caption_Chart"/>
    <w:basedOn w:val="Normal"/>
    <w:next w:val="Normal"/>
    <w:uiPriority w:val="4"/>
    <w:qFormat/>
    <w:rsid w:val="006C74B8"/>
    <w:pPr>
      <w:keepNext/>
      <w:keepLines/>
    </w:pPr>
    <w:rPr>
      <w:color w:val="75787B" w:themeColor="accent6"/>
      <w:sz w:val="17"/>
    </w:rPr>
  </w:style>
  <w:style w:type="paragraph" w:customStyle="1" w:styleId="ExecutiveHeading">
    <w:name w:val="Executive Heading"/>
    <w:basedOn w:val="Heading1un-numbered"/>
    <w:next w:val="Normal"/>
    <w:uiPriority w:val="3"/>
    <w:rsid w:val="005E5001"/>
    <w:pPr>
      <w:numPr>
        <w:numId w:val="9"/>
      </w:numPr>
    </w:pPr>
  </w:style>
  <w:style w:type="paragraph" w:customStyle="1" w:styleId="Reference">
    <w:name w:val="Reference"/>
    <w:basedOn w:val="Normal"/>
    <w:uiPriority w:val="4"/>
    <w:rsid w:val="002C1140"/>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4"/>
    <w:rsid w:val="00CA0756"/>
    <w:pPr>
      <w:numPr>
        <w:ilvl w:val="2"/>
        <w:numId w:val="9"/>
      </w:numPr>
    </w:pPr>
    <w:rPr>
      <w:rFonts w:eastAsia="Times New Roman" w:cs="Times New Roman"/>
      <w:szCs w:val="20"/>
    </w:rPr>
  </w:style>
  <w:style w:type="paragraph" w:customStyle="1" w:styleId="ExecFigureCaption">
    <w:name w:val="Exec Figure Caption"/>
    <w:basedOn w:val="Caption"/>
    <w:next w:val="Normal"/>
    <w:uiPriority w:val="4"/>
    <w:rsid w:val="00CA0756"/>
    <w:pPr>
      <w:numPr>
        <w:ilvl w:val="3"/>
        <w:numId w:val="9"/>
      </w:numPr>
    </w:pPr>
    <w:rPr>
      <w:rFonts w:eastAsia="Times New Roman" w:cs="Times New Roman"/>
      <w:szCs w:val="20"/>
    </w:rPr>
  </w:style>
  <w:style w:type="paragraph" w:customStyle="1" w:styleId="ExecTableCaption">
    <w:name w:val="Exec Table Caption"/>
    <w:basedOn w:val="Caption"/>
    <w:next w:val="Normal"/>
    <w:uiPriority w:val="4"/>
    <w:rsid w:val="005D6648"/>
    <w:pPr>
      <w:numPr>
        <w:ilvl w:val="1"/>
        <w:numId w:val="9"/>
      </w:numPr>
    </w:pPr>
    <w:rPr>
      <w:rFonts w:eastAsia="Times New Roman" w:cs="Times New Roman"/>
      <w:szCs w:val="20"/>
    </w:rPr>
  </w:style>
  <w:style w:type="paragraph" w:customStyle="1" w:styleId="Appendixhead2">
    <w:name w:val="Appendix_head_2"/>
    <w:basedOn w:val="Heading2"/>
    <w:next w:val="Normal"/>
    <w:link w:val="Appendixhead2Char"/>
    <w:uiPriority w:val="3"/>
    <w:rsid w:val="00A95553"/>
    <w:pPr>
      <w:tabs>
        <w:tab w:val="left" w:pos="851"/>
      </w:tabs>
      <w:ind w:hanging="792"/>
      <w:outlineLvl w:val="9"/>
    </w:pPr>
    <w:rPr>
      <w:rFonts w:eastAsia="Times New Roman" w:cs="Times New Roman"/>
      <w:bCs w:val="0"/>
      <w:szCs w:val="28"/>
      <w:lang w:eastAsia="en-AU"/>
    </w:rPr>
  </w:style>
  <w:style w:type="paragraph" w:customStyle="1" w:styleId="Appendixhead3">
    <w:name w:val="Appendix_head_3"/>
    <w:basedOn w:val="Heading3"/>
    <w:next w:val="Normal"/>
    <w:link w:val="Appendixhead3Char"/>
    <w:uiPriority w:val="3"/>
    <w:rsid w:val="00E06F2E"/>
    <w:pPr>
      <w:numPr>
        <w:ilvl w:val="0"/>
        <w:numId w:val="0"/>
      </w:numPr>
      <w:ind w:left="794" w:hanging="794"/>
      <w:outlineLvl w:val="9"/>
    </w:pPr>
    <w:rPr>
      <w:rFonts w:eastAsia="Times New Roman" w:cs="Times New Roman"/>
      <w:bCs w:val="0"/>
      <w:szCs w:val="20"/>
    </w:rPr>
  </w:style>
  <w:style w:type="paragraph" w:customStyle="1" w:styleId="Appendixhead4">
    <w:name w:val="Appendix_head_4"/>
    <w:basedOn w:val="Heading4"/>
    <w:next w:val="Normal"/>
    <w:uiPriority w:val="3"/>
    <w:rsid w:val="00F84828"/>
    <w:pPr>
      <w:numPr>
        <w:ilvl w:val="0"/>
        <w:numId w:val="0"/>
      </w:numPr>
      <w:tabs>
        <w:tab w:val="clear" w:pos="340"/>
      </w:tabs>
      <w:ind w:left="794" w:hanging="794"/>
      <w:outlineLvl w:val="9"/>
    </w:pPr>
    <w:rPr>
      <w:rFonts w:eastAsia="Times New Roman" w:cs="Times New Roman"/>
      <w:bCs w:val="0"/>
      <w:iCs w:val="0"/>
      <w:szCs w:val="24"/>
      <w:lang w:eastAsia="en-AU"/>
    </w:rPr>
  </w:style>
  <w:style w:type="paragraph" w:customStyle="1" w:styleId="Appendixhead1">
    <w:name w:val="Appendix_head_1"/>
    <w:basedOn w:val="Normal"/>
    <w:next w:val="Normal"/>
    <w:link w:val="Appendixhead1Char"/>
    <w:uiPriority w:val="3"/>
    <w:rsid w:val="009E2F33"/>
    <w:pPr>
      <w:keepNext/>
      <w:keepLines/>
      <w:pageBreakBefore/>
      <w:numPr>
        <w:numId w:val="10"/>
      </w:numPr>
      <w:spacing w:after="480" w:line="720" w:lineRule="atLeast"/>
    </w:pPr>
    <w:rPr>
      <w:rFonts w:eastAsia="Times New Roman" w:cs="Arial"/>
      <w:sz w:val="60"/>
      <w:szCs w:val="20"/>
    </w:rPr>
  </w:style>
  <w:style w:type="character" w:customStyle="1" w:styleId="Appendixhead1Char">
    <w:name w:val="Appendix_head_1 Char"/>
    <w:basedOn w:val="DefaultParagraphFont"/>
    <w:link w:val="Appendixhead1"/>
    <w:uiPriority w:val="3"/>
    <w:rsid w:val="009E2F33"/>
    <w:rPr>
      <w:rFonts w:eastAsia="Times New Roman" w:cs="Arial"/>
      <w:sz w:val="60"/>
      <w:szCs w:val="20"/>
      <w:lang w:val="en-AU"/>
    </w:rPr>
  </w:style>
  <w:style w:type="paragraph" w:customStyle="1" w:styleId="AppendixTableCaption">
    <w:name w:val="Appendix Table Caption"/>
    <w:basedOn w:val="Appendixhead4"/>
    <w:next w:val="Normal"/>
    <w:link w:val="AppendixTableCaptionChar"/>
    <w:uiPriority w:val="4"/>
    <w:rsid w:val="00CA0756"/>
    <w:pPr>
      <w:spacing w:after="240"/>
      <w:ind w:left="0" w:firstLine="0"/>
      <w:outlineLvl w:val="7"/>
    </w:pPr>
    <w:rPr>
      <w:b w:val="0"/>
      <w:sz w:val="17"/>
      <w:szCs w:val="22"/>
    </w:rPr>
  </w:style>
  <w:style w:type="paragraph" w:customStyle="1" w:styleId="AppendixChartCaption">
    <w:name w:val="Appendix Chart Caption"/>
    <w:basedOn w:val="AppendixTableCaption"/>
    <w:next w:val="Normal"/>
    <w:link w:val="AppendixChartCaptionChar"/>
    <w:uiPriority w:val="4"/>
    <w:rsid w:val="00CA0756"/>
    <w:pPr>
      <w:outlineLvl w:val="5"/>
    </w:pPr>
  </w:style>
  <w:style w:type="paragraph" w:customStyle="1" w:styleId="AppendixFigureCaption">
    <w:name w:val="Appendix Figure Caption"/>
    <w:basedOn w:val="AppendixChartCaption"/>
    <w:next w:val="Normal"/>
    <w:link w:val="AppendixFigureCaptionChar"/>
    <w:uiPriority w:val="4"/>
    <w:rsid w:val="00CA0756"/>
    <w:pPr>
      <w:outlineLvl w:val="6"/>
    </w:pPr>
  </w:style>
  <w:style w:type="character" w:customStyle="1" w:styleId="Appendixhead2Char">
    <w:name w:val="Appendix_head_2 Char"/>
    <w:basedOn w:val="DefaultParagraphFont"/>
    <w:link w:val="Appendixhead2"/>
    <w:uiPriority w:val="3"/>
    <w:rsid w:val="00A95553"/>
    <w:rPr>
      <w:rFonts w:eastAsia="Times New Roman" w:cs="Times New Roman"/>
      <w:b/>
      <w:color w:val="62B5E5" w:themeColor="accent3"/>
      <w:szCs w:val="28"/>
      <w:lang w:val="en-AU" w:eastAsia="en-AU"/>
    </w:rPr>
  </w:style>
  <w:style w:type="character" w:customStyle="1" w:styleId="AppendixTableCaptionChar">
    <w:name w:val="Appendix Table Caption Char"/>
    <w:basedOn w:val="DefaultParagraphFont"/>
    <w:link w:val="AppendixTableCaption"/>
    <w:uiPriority w:val="4"/>
    <w:rsid w:val="00CA0756"/>
    <w:rPr>
      <w:rFonts w:eastAsia="Times New Roman" w:cs="Times New Roman"/>
      <w:color w:val="75787B" w:themeColor="accent6"/>
      <w:sz w:val="17"/>
      <w:szCs w:val="22"/>
      <w:lang w:val="en-AU" w:eastAsia="en-AU"/>
    </w:rPr>
  </w:style>
  <w:style w:type="character" w:customStyle="1" w:styleId="Appendixhead3Char">
    <w:name w:val="Appendix_head_3 Char"/>
    <w:basedOn w:val="DefaultParagraphFont"/>
    <w:link w:val="Appendixhead3"/>
    <w:uiPriority w:val="3"/>
    <w:rsid w:val="00E06F2E"/>
    <w:rPr>
      <w:rFonts w:eastAsia="Times New Roman" w:cs="Times New Roman"/>
      <w:b/>
      <w:szCs w:val="20"/>
      <w:lang w:val="en-AU"/>
    </w:rPr>
  </w:style>
  <w:style w:type="character" w:customStyle="1" w:styleId="AppendixFigureCaptionChar">
    <w:name w:val="Appendix Figure Caption Char"/>
    <w:basedOn w:val="DefaultParagraphFont"/>
    <w:link w:val="AppendixFigureCaption"/>
    <w:uiPriority w:val="4"/>
    <w:rsid w:val="00CA0756"/>
    <w:rPr>
      <w:rFonts w:eastAsia="Times New Roman" w:cs="Times New Roman"/>
      <w:color w:val="75787B" w:themeColor="accent6"/>
      <w:sz w:val="17"/>
      <w:szCs w:val="22"/>
      <w:lang w:val="en-AU" w:eastAsia="en-AU"/>
    </w:rPr>
  </w:style>
  <w:style w:type="character" w:customStyle="1" w:styleId="AppendixChartCaptionChar">
    <w:name w:val="Appendix Chart Caption Char"/>
    <w:basedOn w:val="AppendixTableCaptionChar"/>
    <w:link w:val="AppendixChartCaption"/>
    <w:uiPriority w:val="4"/>
    <w:rsid w:val="00CA0756"/>
    <w:rPr>
      <w:rFonts w:eastAsia="Times New Roman" w:cs="Times New Roman"/>
      <w:color w:val="75787B" w:themeColor="accent6"/>
      <w:sz w:val="17"/>
      <w:szCs w:val="22"/>
      <w:lang w:val="en-AU" w:eastAsia="en-AU"/>
    </w:rPr>
  </w:style>
  <w:style w:type="paragraph" w:customStyle="1" w:styleId="SourcetextTableorChart">
    <w:name w:val="Source text Table or Chart"/>
    <w:basedOn w:val="Caption"/>
    <w:next w:val="Normal"/>
    <w:uiPriority w:val="6"/>
    <w:rsid w:val="00B5479F"/>
    <w:pPr>
      <w:keepNext w:val="0"/>
      <w:keepLines w:val="0"/>
      <w:spacing w:before="120"/>
    </w:pPr>
    <w:rPr>
      <w:sz w:val="14"/>
    </w:rPr>
  </w:style>
  <w:style w:type="paragraph" w:customStyle="1" w:styleId="AlphabeticList">
    <w:name w:val="Alphabetic List"/>
    <w:basedOn w:val="Normal"/>
    <w:uiPriority w:val="4"/>
    <w:qFormat/>
    <w:rsid w:val="007F7A8C"/>
    <w:pPr>
      <w:numPr>
        <w:numId w:val="11"/>
      </w:numPr>
      <w:spacing w:after="0"/>
      <w:contextualSpacing/>
    </w:pPr>
    <w:rPr>
      <w:rFonts w:eastAsia="Times New Roman" w:cs="Times New Roman"/>
      <w:szCs w:val="20"/>
    </w:rPr>
  </w:style>
  <w:style w:type="paragraph" w:customStyle="1" w:styleId="CV-Heading">
    <w:name w:val="CV - Heading"/>
    <w:basedOn w:val="Normal"/>
    <w:uiPriority w:val="7"/>
    <w:rsid w:val="005B00B8"/>
    <w:pPr>
      <w:spacing w:before="240" w:after="0"/>
      <w:contextualSpacing/>
    </w:pPr>
    <w:rPr>
      <w:b/>
    </w:rPr>
  </w:style>
  <w:style w:type="paragraph" w:customStyle="1" w:styleId="TableHeadingCentre">
    <w:name w:val="Table Heading Centre"/>
    <w:basedOn w:val="TableHeadingLeft"/>
    <w:uiPriority w:val="5"/>
    <w:rsid w:val="002E67BC"/>
    <w:pPr>
      <w:jc w:val="center"/>
    </w:pPr>
  </w:style>
  <w:style w:type="paragraph" w:customStyle="1" w:styleId="TableHeadingRight">
    <w:name w:val="Table Heading Right"/>
    <w:basedOn w:val="TableHeadingCentre"/>
    <w:uiPriority w:val="5"/>
    <w:rsid w:val="002E67BC"/>
    <w:pPr>
      <w:jc w:val="right"/>
    </w:pPr>
  </w:style>
  <w:style w:type="paragraph" w:customStyle="1" w:styleId="TabletextRight">
    <w:name w:val="Table text Right"/>
    <w:basedOn w:val="TabletextLeft"/>
    <w:uiPriority w:val="5"/>
    <w:rsid w:val="002E67BC"/>
    <w:pPr>
      <w:jc w:val="right"/>
    </w:pPr>
  </w:style>
  <w:style w:type="paragraph" w:customStyle="1" w:styleId="TabletextCentre">
    <w:name w:val="Table text Centre"/>
    <w:basedOn w:val="TabletextRight"/>
    <w:uiPriority w:val="5"/>
    <w:rsid w:val="002E67BC"/>
    <w:pPr>
      <w:jc w:val="center"/>
    </w:pPr>
  </w:style>
  <w:style w:type="paragraph" w:customStyle="1" w:styleId="TableNote">
    <w:name w:val="Table Note"/>
    <w:basedOn w:val="TabletextLeft"/>
    <w:uiPriority w:val="5"/>
    <w:rsid w:val="002E67BC"/>
    <w:rPr>
      <w:sz w:val="15"/>
    </w:rPr>
  </w:style>
  <w:style w:type="paragraph" w:customStyle="1" w:styleId="TabletextCentreTotal">
    <w:name w:val="Table text Centre Total"/>
    <w:basedOn w:val="TabletextCentre"/>
    <w:uiPriority w:val="5"/>
    <w:rsid w:val="002C7E6E"/>
    <w:rPr>
      <w:b/>
    </w:rPr>
  </w:style>
  <w:style w:type="paragraph" w:customStyle="1" w:styleId="AlphabeticList2">
    <w:name w:val="Alphabetic List 2"/>
    <w:basedOn w:val="AlphabeticList"/>
    <w:uiPriority w:val="4"/>
    <w:qFormat/>
    <w:rsid w:val="000A0317"/>
    <w:pPr>
      <w:numPr>
        <w:ilvl w:val="1"/>
      </w:numPr>
    </w:pPr>
  </w:style>
  <w:style w:type="table" w:customStyle="1" w:styleId="GridTable1Light1">
    <w:name w:val="Grid Table 1 Light1"/>
    <w:basedOn w:val="TableNormal"/>
    <w:uiPriority w:val="46"/>
    <w:rsid w:val="000116B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0116B0"/>
    <w:pPr>
      <w:spacing w:line="240" w:lineRule="auto"/>
    </w:p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0116B0"/>
    <w:pPr>
      <w:spacing w:line="240" w:lineRule="auto"/>
    </w:p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0116B0"/>
    <w:pPr>
      <w:spacing w:line="240" w:lineRule="auto"/>
    </w:p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0116B0"/>
    <w:pPr>
      <w:spacing w:line="240" w:lineRule="auto"/>
    </w:p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0116B0"/>
    <w:pPr>
      <w:spacing w:line="240" w:lineRule="auto"/>
    </w:p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0116B0"/>
    <w:pPr>
      <w:spacing w:line="240" w:lineRule="auto"/>
    </w:p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0116B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0116B0"/>
    <w:pPr>
      <w:spacing w:line="240" w:lineRule="auto"/>
    </w:p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GridTable2-Accent21">
    <w:name w:val="Grid Table 2 - Accent 21"/>
    <w:basedOn w:val="TableNormal"/>
    <w:uiPriority w:val="47"/>
    <w:rsid w:val="000116B0"/>
    <w:pPr>
      <w:spacing w:line="240" w:lineRule="auto"/>
    </w:p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GridTable2-Accent31">
    <w:name w:val="Grid Table 2 - Accent 31"/>
    <w:basedOn w:val="TableNormal"/>
    <w:uiPriority w:val="47"/>
    <w:rsid w:val="000116B0"/>
    <w:pPr>
      <w:spacing w:line="240" w:lineRule="auto"/>
    </w:p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GridTable2-Accent41">
    <w:name w:val="Grid Table 2 - Accent 41"/>
    <w:basedOn w:val="TableNormal"/>
    <w:uiPriority w:val="47"/>
    <w:rsid w:val="000116B0"/>
    <w:pPr>
      <w:spacing w:line="240" w:lineRule="auto"/>
    </w:p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GridTable2-Accent51">
    <w:name w:val="Grid Table 2 - Accent 51"/>
    <w:basedOn w:val="TableNormal"/>
    <w:uiPriority w:val="47"/>
    <w:rsid w:val="000116B0"/>
    <w:pPr>
      <w:spacing w:line="240" w:lineRule="auto"/>
    </w:p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GridTable2-Accent61">
    <w:name w:val="Grid Table 2 - Accent 61"/>
    <w:basedOn w:val="TableNormal"/>
    <w:uiPriority w:val="47"/>
    <w:rsid w:val="000116B0"/>
    <w:pPr>
      <w:spacing w:line="240" w:lineRule="auto"/>
    </w:p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GridTable31">
    <w:name w:val="Grid Table 31"/>
    <w:basedOn w:val="TableNormal"/>
    <w:uiPriority w:val="48"/>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customStyle="1" w:styleId="GridTable3-Accent21">
    <w:name w:val="Grid Table 3 - Accent 21"/>
    <w:basedOn w:val="TableNormal"/>
    <w:uiPriority w:val="48"/>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customStyle="1" w:styleId="GridTable3-Accent31">
    <w:name w:val="Grid Table 3 - Accent 31"/>
    <w:basedOn w:val="TableNormal"/>
    <w:uiPriority w:val="48"/>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customStyle="1" w:styleId="GridTable3-Accent41">
    <w:name w:val="Grid Table 3 - Accent 41"/>
    <w:basedOn w:val="TableNormal"/>
    <w:uiPriority w:val="48"/>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customStyle="1" w:styleId="GridTable3-Accent51">
    <w:name w:val="Grid Table 3 - Accent 51"/>
    <w:basedOn w:val="TableNormal"/>
    <w:uiPriority w:val="48"/>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customStyle="1" w:styleId="GridTable3-Accent61">
    <w:name w:val="Grid Table 3 - Accent 61"/>
    <w:basedOn w:val="TableNormal"/>
    <w:uiPriority w:val="48"/>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customStyle="1" w:styleId="GridTable41">
    <w:name w:val="Grid Table 41"/>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GridTable4-Accent21">
    <w:name w:val="Grid Table 4 - Accent 21"/>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GridTable4-Accent31">
    <w:name w:val="Grid Table 4 - Accent 31"/>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GridTable4-Accent41">
    <w:name w:val="Grid Table 4 - Accent 41"/>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GridTable4-Accent51">
    <w:name w:val="Grid Table 4 - Accent 51"/>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GridTable4-Accent61">
    <w:name w:val="Grid Table 4 - Accent 61"/>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GridTable5Dark1">
    <w:name w:val="Grid Table 5 Dark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customStyle="1" w:styleId="GridTable5Dark-Accent21">
    <w:name w:val="Grid Table 5 Dark - Accent 2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customStyle="1" w:styleId="GridTable5Dark-Accent31">
    <w:name w:val="Grid Table 5 Dark - Accent 3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customStyle="1" w:styleId="GridTable5Dark-Accent41">
    <w:name w:val="Grid Table 5 Dark - Accent 4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customStyle="1" w:styleId="GridTable5Dark-Accent51">
    <w:name w:val="Grid Table 5 Dark - Accent 5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customStyle="1" w:styleId="GridTable5Dark-Accent61">
    <w:name w:val="Grid Table 5 Dark - Accent 6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customStyle="1" w:styleId="GridTable6Colorful1">
    <w:name w:val="Grid Table 6 Colorful1"/>
    <w:basedOn w:val="TableNormal"/>
    <w:uiPriority w:val="51"/>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GridTable6Colorful-Accent21">
    <w:name w:val="Grid Table 6 Colorful - Accent 21"/>
    <w:basedOn w:val="TableNormal"/>
    <w:uiPriority w:val="51"/>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GridTable6Colorful-Accent31">
    <w:name w:val="Grid Table 6 Colorful - Accent 31"/>
    <w:basedOn w:val="TableNormal"/>
    <w:uiPriority w:val="51"/>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GridTable6Colorful-Accent41">
    <w:name w:val="Grid Table 6 Colorful - Accent 41"/>
    <w:basedOn w:val="TableNormal"/>
    <w:uiPriority w:val="51"/>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GridTable6Colorful-Accent51">
    <w:name w:val="Grid Table 6 Colorful - Accent 51"/>
    <w:basedOn w:val="TableNormal"/>
    <w:uiPriority w:val="51"/>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GridTable6Colorful-Accent61">
    <w:name w:val="Grid Table 6 Colorful - Accent 61"/>
    <w:basedOn w:val="TableNormal"/>
    <w:uiPriority w:val="51"/>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GridTable7Colorful1">
    <w:name w:val="Grid Table 7 Colorful1"/>
    <w:basedOn w:val="TableNormal"/>
    <w:uiPriority w:val="52"/>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customStyle="1" w:styleId="GridTable7Colorful-Accent21">
    <w:name w:val="Grid Table 7 Colorful - Accent 21"/>
    <w:basedOn w:val="TableNormal"/>
    <w:uiPriority w:val="52"/>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customStyle="1" w:styleId="GridTable7Colorful-Accent31">
    <w:name w:val="Grid Table 7 Colorful - Accent 31"/>
    <w:basedOn w:val="TableNormal"/>
    <w:uiPriority w:val="52"/>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customStyle="1" w:styleId="GridTable7Colorful-Accent41">
    <w:name w:val="Grid Table 7 Colorful - Accent 41"/>
    <w:basedOn w:val="TableNormal"/>
    <w:uiPriority w:val="52"/>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customStyle="1" w:styleId="GridTable7Colorful-Accent51">
    <w:name w:val="Grid Table 7 Colorful - Accent 51"/>
    <w:basedOn w:val="TableNormal"/>
    <w:uiPriority w:val="52"/>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customStyle="1" w:styleId="GridTable7Colorful-Accent61">
    <w:name w:val="Grid Table 7 Colorful - Accent 61"/>
    <w:basedOn w:val="TableNormal"/>
    <w:uiPriority w:val="52"/>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customStyle="1" w:styleId="ListTable1Light1">
    <w:name w:val="List Table 1 Light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ListTable1Light-Accent21">
    <w:name w:val="List Table 1 Light - Accent 2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ListTable1Light-Accent31">
    <w:name w:val="List Table 1 Light - Accent 3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ListTable1Light-Accent41">
    <w:name w:val="List Table 1 Light - Accent 4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ListTable1Light-Accent51">
    <w:name w:val="List Table 1 Light - Accent 5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ListTable1Light-Accent61">
    <w:name w:val="List Table 1 Light - Accent 6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ListTable21">
    <w:name w:val="List Table 21"/>
    <w:basedOn w:val="TableNormal"/>
    <w:uiPriority w:val="47"/>
    <w:rsid w:val="000116B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0116B0"/>
    <w:pPr>
      <w:spacing w:line="240" w:lineRule="auto"/>
    </w:p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ListTable2-Accent21">
    <w:name w:val="List Table 2 - Accent 21"/>
    <w:basedOn w:val="TableNormal"/>
    <w:uiPriority w:val="47"/>
    <w:rsid w:val="000116B0"/>
    <w:pPr>
      <w:spacing w:line="240" w:lineRule="auto"/>
    </w:p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ListTable2-Accent31">
    <w:name w:val="List Table 2 - Accent 31"/>
    <w:basedOn w:val="TableNormal"/>
    <w:uiPriority w:val="47"/>
    <w:rsid w:val="000116B0"/>
    <w:pPr>
      <w:spacing w:line="240" w:lineRule="auto"/>
    </w:p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ListTable2-Accent41">
    <w:name w:val="List Table 2 - Accent 41"/>
    <w:basedOn w:val="TableNormal"/>
    <w:uiPriority w:val="47"/>
    <w:rsid w:val="000116B0"/>
    <w:pPr>
      <w:spacing w:line="240" w:lineRule="auto"/>
    </w:p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ListTable2-Accent51">
    <w:name w:val="List Table 2 - Accent 51"/>
    <w:basedOn w:val="TableNormal"/>
    <w:uiPriority w:val="47"/>
    <w:rsid w:val="000116B0"/>
    <w:pPr>
      <w:spacing w:line="240" w:lineRule="auto"/>
    </w:p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ListTable2-Accent61">
    <w:name w:val="List Table 2 - Accent 61"/>
    <w:basedOn w:val="TableNormal"/>
    <w:uiPriority w:val="47"/>
    <w:rsid w:val="000116B0"/>
    <w:pPr>
      <w:spacing w:line="240" w:lineRule="auto"/>
    </w:p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ListTable31">
    <w:name w:val="List Table 31"/>
    <w:basedOn w:val="TableNormal"/>
    <w:uiPriority w:val="48"/>
    <w:rsid w:val="000116B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0116B0"/>
    <w:pPr>
      <w:spacing w:line="240" w:lineRule="auto"/>
    </w:p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customStyle="1" w:styleId="ListTable3-Accent21">
    <w:name w:val="List Table 3 - Accent 21"/>
    <w:basedOn w:val="TableNormal"/>
    <w:uiPriority w:val="48"/>
    <w:rsid w:val="000116B0"/>
    <w:pPr>
      <w:spacing w:line="240" w:lineRule="auto"/>
    </w:p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customStyle="1" w:styleId="ListTable3-Accent31">
    <w:name w:val="List Table 3 - Accent 31"/>
    <w:basedOn w:val="TableNormal"/>
    <w:uiPriority w:val="48"/>
    <w:rsid w:val="000116B0"/>
    <w:pPr>
      <w:spacing w:line="240" w:lineRule="auto"/>
    </w:p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customStyle="1" w:styleId="ListTable3-Accent41">
    <w:name w:val="List Table 3 - Accent 41"/>
    <w:basedOn w:val="TableNormal"/>
    <w:uiPriority w:val="48"/>
    <w:rsid w:val="000116B0"/>
    <w:pPr>
      <w:spacing w:line="240" w:lineRule="auto"/>
    </w:p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customStyle="1" w:styleId="ListTable3-Accent51">
    <w:name w:val="List Table 3 - Accent 51"/>
    <w:basedOn w:val="TableNormal"/>
    <w:uiPriority w:val="48"/>
    <w:rsid w:val="000116B0"/>
    <w:pPr>
      <w:spacing w:line="240" w:lineRule="auto"/>
    </w:p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customStyle="1" w:styleId="ListTable3-Accent61">
    <w:name w:val="List Table 3 - Accent 61"/>
    <w:basedOn w:val="TableNormal"/>
    <w:uiPriority w:val="48"/>
    <w:rsid w:val="000116B0"/>
    <w:pPr>
      <w:spacing w:line="240" w:lineRule="auto"/>
    </w:p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customStyle="1" w:styleId="ListTable41">
    <w:name w:val="List Table 41"/>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ListTable4-Accent21">
    <w:name w:val="List Table 4 - Accent 21"/>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ListTable4-Accent31">
    <w:name w:val="List Table 4 - Accent 31"/>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ListTable4-Accent41">
    <w:name w:val="List Table 4 - Accent 41"/>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ListTable4-Accent51">
    <w:name w:val="List Table 4 - Accent 51"/>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ListTable4-Accent61">
    <w:name w:val="List Table 4 - Accent 61"/>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ListTable5Dark1">
    <w:name w:val="List Table 5 Dark1"/>
    <w:basedOn w:val="TableNormal"/>
    <w:uiPriority w:val="50"/>
    <w:rsid w:val="000116B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0116B0"/>
    <w:pPr>
      <w:spacing w:line="240" w:lineRule="auto"/>
    </w:pPr>
    <w:rPr>
      <w:color w:val="FFFFFF" w:themeColor="background1"/>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0116B0"/>
    <w:pPr>
      <w:spacing w:line="240" w:lineRule="auto"/>
    </w:pPr>
    <w:rPr>
      <w:color w:val="FFFFFF" w:themeColor="background1"/>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0116B0"/>
    <w:pPr>
      <w:spacing w:line="240" w:lineRule="auto"/>
    </w:pPr>
    <w:rPr>
      <w:color w:val="FFFFFF" w:themeColor="background1"/>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0116B0"/>
    <w:pPr>
      <w:spacing w:line="240" w:lineRule="auto"/>
    </w:pPr>
    <w:rPr>
      <w:color w:val="FFFFFF" w:themeColor="background1"/>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0116B0"/>
    <w:pPr>
      <w:spacing w:line="240" w:lineRule="auto"/>
    </w:pPr>
    <w:rPr>
      <w:color w:val="FFFFFF" w:themeColor="background1"/>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0116B0"/>
    <w:pPr>
      <w:spacing w:line="240" w:lineRule="auto"/>
    </w:pPr>
    <w:rPr>
      <w:color w:val="FFFFFF" w:themeColor="background1"/>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0116B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0116B0"/>
    <w:pPr>
      <w:spacing w:line="240" w:lineRule="auto"/>
    </w:pPr>
    <w:rPr>
      <w:color w:val="638C1B" w:themeColor="accent1" w:themeShade="BF"/>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ListTable6Colorful-Accent21">
    <w:name w:val="List Table 6 Colorful - Accent 21"/>
    <w:basedOn w:val="TableNormal"/>
    <w:uiPriority w:val="51"/>
    <w:rsid w:val="000116B0"/>
    <w:pPr>
      <w:spacing w:line="240" w:lineRule="auto"/>
    </w:pPr>
    <w:rPr>
      <w:color w:val="034F29" w:themeColor="accent2" w:themeShade="BF"/>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customStyle="1" w:styleId="ListTable6Colorful-Accent31">
    <w:name w:val="List Table 6 Colorful - Accent 31"/>
    <w:basedOn w:val="TableNormal"/>
    <w:uiPriority w:val="51"/>
    <w:rsid w:val="000116B0"/>
    <w:pPr>
      <w:spacing w:line="240" w:lineRule="auto"/>
    </w:pPr>
    <w:rPr>
      <w:color w:val="2291D1" w:themeColor="accent3" w:themeShade="BF"/>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customStyle="1" w:styleId="ListTable6Colorful-Accent41">
    <w:name w:val="List Table 6 Colorful - Accent 41"/>
    <w:basedOn w:val="TableNormal"/>
    <w:uiPriority w:val="51"/>
    <w:rsid w:val="000116B0"/>
    <w:pPr>
      <w:spacing w:line="240" w:lineRule="auto"/>
    </w:pPr>
    <w:rPr>
      <w:color w:val="00184E" w:themeColor="accent4" w:themeShade="BF"/>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customStyle="1" w:styleId="ListTable6Colorful-Accent51">
    <w:name w:val="List Table 6 Colorful - Accent 51"/>
    <w:basedOn w:val="TableNormal"/>
    <w:uiPriority w:val="51"/>
    <w:rsid w:val="000116B0"/>
    <w:pPr>
      <w:spacing w:line="240" w:lineRule="auto"/>
    </w:pPr>
    <w:rPr>
      <w:color w:val="00707E" w:themeColor="accent5" w:themeShade="BF"/>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customStyle="1" w:styleId="ListTable6Colorful-Accent61">
    <w:name w:val="List Table 6 Colorful - Accent 61"/>
    <w:basedOn w:val="TableNormal"/>
    <w:uiPriority w:val="51"/>
    <w:rsid w:val="000116B0"/>
    <w:pPr>
      <w:spacing w:line="240" w:lineRule="auto"/>
    </w:pPr>
    <w:rPr>
      <w:color w:val="57595C" w:themeColor="accent6" w:themeShade="BF"/>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customStyle="1" w:styleId="ListTable7Colorful1">
    <w:name w:val="List Table 7 Colorful1"/>
    <w:basedOn w:val="TableNormal"/>
    <w:uiPriority w:val="52"/>
    <w:rsid w:val="000116B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0116B0"/>
    <w:pPr>
      <w:spacing w:line="240" w:lineRule="auto"/>
    </w:pPr>
    <w:rPr>
      <w:color w:val="638C1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0116B0"/>
    <w:pPr>
      <w:spacing w:line="240" w:lineRule="auto"/>
    </w:pPr>
    <w:rPr>
      <w:color w:val="034F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0116B0"/>
    <w:pPr>
      <w:spacing w:line="240" w:lineRule="auto"/>
    </w:pPr>
    <w:rPr>
      <w:color w:val="2291D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0116B0"/>
    <w:pPr>
      <w:spacing w:line="240" w:lineRule="auto"/>
    </w:pPr>
    <w:rPr>
      <w:color w:val="0018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0116B0"/>
    <w:pPr>
      <w:spacing w:line="240" w:lineRule="auto"/>
    </w:pPr>
    <w:rPr>
      <w:color w:val="00707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0116B0"/>
    <w:pPr>
      <w:spacing w:line="240" w:lineRule="auto"/>
    </w:pPr>
    <w:rPr>
      <w:color w:val="5759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0116B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0116B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0116B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0116B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0116B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0116B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1E349B"/>
    <w:pPr>
      <w:spacing w:line="240" w:lineRule="auto"/>
    </w:p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table" w:customStyle="1" w:styleId="Deloittetable1">
    <w:name w:val="Deloitte table1"/>
    <w:basedOn w:val="TableNormal"/>
    <w:uiPriority w:val="99"/>
    <w:rsid w:val="00D34B9D"/>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Bullet1">
    <w:name w:val="Bullet 1"/>
    <w:basedOn w:val="Normal"/>
    <w:link w:val="Bullet1Char"/>
    <w:rsid w:val="00726CBF"/>
    <w:pPr>
      <w:numPr>
        <w:numId w:val="16"/>
      </w:numPr>
      <w:spacing w:before="60" w:after="0" w:line="240" w:lineRule="auto"/>
    </w:pPr>
    <w:rPr>
      <w:rFonts w:ascii="Calibri" w:eastAsia="Times New Roman" w:hAnsi="Calibri" w:cs="Arial"/>
      <w:sz w:val="22"/>
      <w:szCs w:val="20"/>
      <w:lang w:eastAsia="en-AU"/>
    </w:rPr>
  </w:style>
  <w:style w:type="character" w:customStyle="1" w:styleId="Bullet1Char">
    <w:name w:val="Bullet 1 Char"/>
    <w:basedOn w:val="DefaultParagraphFont"/>
    <w:link w:val="Bullet1"/>
    <w:rsid w:val="00726CBF"/>
    <w:rPr>
      <w:rFonts w:ascii="Calibri" w:eastAsia="Times New Roman" w:hAnsi="Calibri" w:cs="Arial"/>
      <w:sz w:val="22"/>
      <w:szCs w:val="20"/>
      <w:lang w:val="en-AU" w:eastAsia="en-AU"/>
    </w:rPr>
  </w:style>
  <w:style w:type="paragraph" w:customStyle="1" w:styleId="ESVTableBody">
    <w:name w:val="ESV_Table_Body"/>
    <w:basedOn w:val="Normal"/>
    <w:rsid w:val="00DB56B4"/>
    <w:pPr>
      <w:spacing w:after="0" w:line="240" w:lineRule="auto"/>
    </w:pPr>
    <w:rPr>
      <w:rFonts w:ascii="Arial" w:eastAsia="Arial" w:hAnsi="Arial" w:cs="Arial"/>
      <w:color w:val="53565A"/>
      <w:sz w:val="20"/>
      <w:szCs w:val="20"/>
    </w:rPr>
  </w:style>
  <w:style w:type="paragraph" w:customStyle="1" w:styleId="StyleESVTableHeaderWhiteBefore6ptAfter6pt">
    <w:name w:val="Style ESV_Table_Header_White + Before:  6 pt After:  6 pt"/>
    <w:basedOn w:val="Normal"/>
    <w:rsid w:val="00DB56B4"/>
    <w:pPr>
      <w:spacing w:before="120" w:after="120" w:line="240" w:lineRule="auto"/>
    </w:pPr>
    <w:rPr>
      <w:rFonts w:ascii="Arial" w:eastAsia="Times New Roman" w:hAnsi="Arial" w:cs="Times New Roman"/>
      <w:b/>
      <w:bCs/>
      <w:color w:val="FFFFFF"/>
      <w:sz w:val="20"/>
      <w:szCs w:val="20"/>
    </w:rPr>
  </w:style>
  <w:style w:type="character" w:customStyle="1" w:styleId="ListParagraphChar">
    <w:name w:val="List Paragraph Char"/>
    <w:aliases w:val="Bullet List Char,Bullet point Char,List Paragraph1 Char,List Paragraph11 Char,Recommendation Char,List Bullet 1 Char,L Char"/>
    <w:link w:val="ListParagraph"/>
    <w:uiPriority w:val="34"/>
    <w:locked/>
    <w:rsid w:val="00F513A5"/>
    <w:rPr>
      <w:lang w:val="en-AU"/>
    </w:rPr>
  </w:style>
  <w:style w:type="paragraph" w:customStyle="1" w:styleId="RegBody1">
    <w:name w:val="Reg Body 1"/>
    <w:basedOn w:val="Normal"/>
    <w:autoRedefine/>
    <w:rsid w:val="007F0FBF"/>
    <w:pPr>
      <w:numPr>
        <w:numId w:val="17"/>
      </w:numPr>
      <w:spacing w:after="240" w:line="240" w:lineRule="auto"/>
    </w:pPr>
    <w:rPr>
      <w:rFonts w:ascii="Times New Roman" w:eastAsia="Times New Roman" w:hAnsi="Times New Roman" w:cs="Times New Roman"/>
      <w:sz w:val="24"/>
      <w:szCs w:val="24"/>
      <w:lang w:eastAsia="en-AU"/>
    </w:rPr>
  </w:style>
  <w:style w:type="paragraph" w:customStyle="1" w:styleId="Default">
    <w:name w:val="Default"/>
    <w:rsid w:val="00A25725"/>
    <w:pPr>
      <w:autoSpaceDE w:val="0"/>
      <w:autoSpaceDN w:val="0"/>
      <w:adjustRightInd w:val="0"/>
      <w:spacing w:line="240" w:lineRule="auto"/>
    </w:pPr>
    <w:rPr>
      <w:rFonts w:ascii="Candara" w:hAnsi="Candara" w:cs="Candara"/>
      <w:color w:val="000000"/>
      <w:sz w:val="24"/>
      <w:szCs w:val="24"/>
      <w:lang w:val="en-AU"/>
    </w:rPr>
  </w:style>
  <w:style w:type="paragraph" w:styleId="Revision">
    <w:name w:val="Revision"/>
    <w:hidden/>
    <w:uiPriority w:val="99"/>
    <w:semiHidden/>
    <w:rsid w:val="008A1308"/>
    <w:pPr>
      <w:spacing w:line="240" w:lineRule="auto"/>
    </w:pPr>
    <w:rPr>
      <w:lang w:val="en-AU"/>
    </w:rPr>
  </w:style>
  <w:style w:type="paragraph" w:customStyle="1" w:styleId="ESVBody">
    <w:name w:val="ESV Body"/>
    <w:qFormat/>
    <w:rsid w:val="003E34F8"/>
    <w:pPr>
      <w:spacing w:after="120" w:line="270" w:lineRule="atLeast"/>
    </w:pPr>
    <w:rPr>
      <w:rFonts w:ascii="Arial" w:eastAsia="Times" w:hAnsi="Arial" w:cs="Times New Roman"/>
      <w:color w:val="000000" w:themeColor="text1"/>
      <w:sz w:val="20"/>
      <w:szCs w:val="20"/>
      <w:lang w:val="en-AU"/>
    </w:rPr>
  </w:style>
  <w:style w:type="table" w:customStyle="1" w:styleId="GridTable1Light-Accent32">
    <w:name w:val="Grid Table 1 Light - Accent 32"/>
    <w:basedOn w:val="TableNormal"/>
    <w:uiPriority w:val="46"/>
    <w:rsid w:val="00B67010"/>
    <w:pPr>
      <w:spacing w:line="240" w:lineRule="auto"/>
    </w:p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character" w:customStyle="1" w:styleId="CommentTextChar1">
    <w:name w:val="Comment Text Char1"/>
    <w:basedOn w:val="DefaultParagraphFont"/>
    <w:uiPriority w:val="99"/>
    <w:rsid w:val="00EE4A89"/>
    <w:rPr>
      <w:lang w:eastAsia="en-US"/>
    </w:rPr>
  </w:style>
  <w:style w:type="character" w:customStyle="1" w:styleId="A10">
    <w:name w:val="A10"/>
    <w:uiPriority w:val="99"/>
    <w:rsid w:val="00A72D5F"/>
    <w:rPr>
      <w:rFonts w:cs="HelveticaNeueLT Std Thin"/>
      <w:color w:val="000000"/>
      <w:sz w:val="18"/>
      <w:szCs w:val="18"/>
    </w:rPr>
  </w:style>
  <w:style w:type="character" w:customStyle="1" w:styleId="CaptionChar">
    <w:name w:val="Caption Char"/>
    <w:basedOn w:val="DefaultParagraphFont"/>
    <w:link w:val="Caption"/>
    <w:uiPriority w:val="3"/>
    <w:rsid w:val="0022053C"/>
    <w:rPr>
      <w:iCs/>
      <w:color w:val="75787B" w:themeColor="accent6"/>
      <w:sz w:val="17"/>
      <w:lang w:val="en-AU"/>
    </w:rPr>
  </w:style>
  <w:style w:type="table" w:customStyle="1" w:styleId="Deloittetable12">
    <w:name w:val="Deloitte table12"/>
    <w:basedOn w:val="TableNormal"/>
    <w:uiPriority w:val="99"/>
    <w:rsid w:val="0014299C"/>
    <w:rPr>
      <w:sz w:val="17"/>
      <w:lang w:val="en-AU"/>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character" w:customStyle="1" w:styleId="normaltextrun1">
    <w:name w:val="normaltextrun1"/>
    <w:basedOn w:val="DefaultParagraphFont"/>
    <w:rsid w:val="009D18D2"/>
  </w:style>
  <w:style w:type="table" w:styleId="TableGridLight">
    <w:name w:val="Grid Table Light"/>
    <w:basedOn w:val="TableNormal"/>
    <w:uiPriority w:val="40"/>
    <w:rsid w:val="002A45A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6">
    <w:name w:val="Grid Table 1 Light Accent 6"/>
    <w:basedOn w:val="TableNormal"/>
    <w:uiPriority w:val="46"/>
    <w:rsid w:val="0097201C"/>
    <w:pPr>
      <w:spacing w:line="240" w:lineRule="auto"/>
    </w:p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paragraph" w:customStyle="1" w:styleId="NormalParagraph">
    <w:name w:val="Normal Paragraph"/>
    <w:basedOn w:val="Normal"/>
    <w:link w:val="NormalParagraphChar"/>
    <w:rsid w:val="00F463D2"/>
    <w:pPr>
      <w:spacing w:before="200" w:after="0" w:line="240" w:lineRule="auto"/>
      <w:jc w:val="both"/>
    </w:pPr>
    <w:rPr>
      <w:rFonts w:eastAsiaTheme="majorEastAsia" w:cs="Arial"/>
      <w:iCs/>
      <w:sz w:val="22"/>
      <w:szCs w:val="22"/>
    </w:rPr>
  </w:style>
  <w:style w:type="character" w:customStyle="1" w:styleId="NormalParagraphChar">
    <w:name w:val="Normal Paragraph Char"/>
    <w:basedOn w:val="DefaultParagraphFont"/>
    <w:link w:val="NormalParagraph"/>
    <w:rsid w:val="00F463D2"/>
    <w:rPr>
      <w:rFonts w:eastAsiaTheme="majorEastAsia" w:cs="Arial"/>
      <w:iCs/>
      <w:sz w:val="22"/>
      <w:szCs w:val="22"/>
      <w:lang w:val="en-AU"/>
    </w:rPr>
  </w:style>
  <w:style w:type="paragraph" w:customStyle="1" w:styleId="Pa0">
    <w:name w:val="Pa0"/>
    <w:basedOn w:val="Default"/>
    <w:next w:val="Default"/>
    <w:uiPriority w:val="99"/>
    <w:rsid w:val="004B5E30"/>
    <w:pPr>
      <w:spacing w:line="241" w:lineRule="atLeast"/>
    </w:pPr>
    <w:rPr>
      <w:rFonts w:ascii="Frutiger LT 45 Light" w:hAnsi="Frutiger LT 45 Light" w:cstheme="minorBidi"/>
      <w:color w:val="auto"/>
    </w:rPr>
  </w:style>
  <w:style w:type="character" w:customStyle="1" w:styleId="A7">
    <w:name w:val="A7"/>
    <w:uiPriority w:val="99"/>
    <w:rsid w:val="004B5E30"/>
    <w:rPr>
      <w:rFonts w:cs="Frutiger LT 45 Light"/>
      <w:color w:val="000000"/>
      <w:sz w:val="22"/>
      <w:szCs w:val="22"/>
    </w:rPr>
  </w:style>
  <w:style w:type="character" w:customStyle="1" w:styleId="UnresolvedMention1">
    <w:name w:val="Unresolved Mention1"/>
    <w:basedOn w:val="DefaultParagraphFont"/>
    <w:uiPriority w:val="99"/>
    <w:semiHidden/>
    <w:unhideWhenUsed/>
    <w:rsid w:val="00CE0D55"/>
    <w:rPr>
      <w:color w:val="605E5C"/>
      <w:shd w:val="clear" w:color="auto" w:fill="E1DFDD"/>
    </w:rPr>
  </w:style>
  <w:style w:type="table" w:styleId="GridTable1Light">
    <w:name w:val="Grid Table 1 Light"/>
    <w:basedOn w:val="TableNormal"/>
    <w:uiPriority w:val="46"/>
    <w:rsid w:val="00A865D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A92A47"/>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4">
    <w:name w:val="Grid Table 1 Light Accent 4"/>
    <w:basedOn w:val="TableNormal"/>
    <w:uiPriority w:val="46"/>
    <w:rsid w:val="00A92A47"/>
    <w:pPr>
      <w:spacing w:line="240" w:lineRule="auto"/>
    </w:p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960A0"/>
    <w:pPr>
      <w:spacing w:line="240" w:lineRule="auto"/>
    </w:p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152120"/>
  </w:style>
  <w:style w:type="character" w:customStyle="1" w:styleId="eop">
    <w:name w:val="eop"/>
    <w:basedOn w:val="DefaultParagraphFont"/>
    <w:rsid w:val="00152120"/>
  </w:style>
  <w:style w:type="character" w:customStyle="1" w:styleId="UnresolvedMention2">
    <w:name w:val="Unresolved Mention2"/>
    <w:basedOn w:val="DefaultParagraphFont"/>
    <w:uiPriority w:val="99"/>
    <w:semiHidden/>
    <w:unhideWhenUsed/>
    <w:rsid w:val="00077266"/>
    <w:rPr>
      <w:color w:val="605E5C"/>
      <w:shd w:val="clear" w:color="auto" w:fill="E1DFDD"/>
    </w:rPr>
  </w:style>
  <w:style w:type="character" w:customStyle="1" w:styleId="UnresolvedMention3">
    <w:name w:val="Unresolved Mention3"/>
    <w:basedOn w:val="DefaultParagraphFont"/>
    <w:uiPriority w:val="99"/>
    <w:semiHidden/>
    <w:unhideWhenUsed/>
    <w:rsid w:val="00CD528C"/>
    <w:rPr>
      <w:color w:val="605E5C"/>
      <w:shd w:val="clear" w:color="auto" w:fill="E1DFDD"/>
    </w:rPr>
  </w:style>
  <w:style w:type="character" w:customStyle="1" w:styleId="UnresolvedMention4">
    <w:name w:val="Unresolved Mention4"/>
    <w:basedOn w:val="DefaultParagraphFont"/>
    <w:uiPriority w:val="99"/>
    <w:semiHidden/>
    <w:unhideWhenUsed/>
    <w:rsid w:val="002A18DF"/>
    <w:rPr>
      <w:color w:val="605E5C"/>
      <w:shd w:val="clear" w:color="auto" w:fill="E1DFDD"/>
    </w:rPr>
  </w:style>
  <w:style w:type="character" w:customStyle="1" w:styleId="UnresolvedMention5">
    <w:name w:val="Unresolved Mention5"/>
    <w:basedOn w:val="DefaultParagraphFont"/>
    <w:uiPriority w:val="99"/>
    <w:semiHidden/>
    <w:unhideWhenUsed/>
    <w:rsid w:val="005003B2"/>
    <w:rPr>
      <w:color w:val="605E5C"/>
      <w:shd w:val="clear" w:color="auto" w:fill="E1DFDD"/>
    </w:rPr>
  </w:style>
  <w:style w:type="table" w:styleId="PlainTable3">
    <w:name w:val="Plain Table 3"/>
    <w:basedOn w:val="TableNormal"/>
    <w:uiPriority w:val="43"/>
    <w:rsid w:val="00187ECD"/>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2">
    <w:name w:val="Grid Table 1 Light Accent 2"/>
    <w:basedOn w:val="TableNormal"/>
    <w:uiPriority w:val="46"/>
    <w:rsid w:val="00187ECD"/>
    <w:pPr>
      <w:spacing w:line="240" w:lineRule="auto"/>
    </w:p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PlainTable4">
    <w:name w:val="Plain Table 4"/>
    <w:basedOn w:val="TableNormal"/>
    <w:uiPriority w:val="44"/>
    <w:rsid w:val="00187EC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87EC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ReplyLet">
    <w:name w:val="ReplyLet"/>
    <w:basedOn w:val="Normal"/>
    <w:link w:val="ReplyLetChar"/>
    <w:qFormat/>
    <w:rsid w:val="001B5517"/>
    <w:pPr>
      <w:spacing w:after="0" w:line="240" w:lineRule="auto"/>
      <w:jc w:val="both"/>
    </w:pPr>
    <w:rPr>
      <w:rFonts w:ascii="Arial" w:eastAsia="Times New Roman" w:hAnsi="Arial" w:cs="Arial"/>
      <w:sz w:val="23"/>
      <w:szCs w:val="20"/>
    </w:rPr>
  </w:style>
  <w:style w:type="character" w:customStyle="1" w:styleId="ReplyLetChar">
    <w:name w:val="ReplyLet Char"/>
    <w:link w:val="ReplyLet"/>
    <w:rsid w:val="001B5517"/>
    <w:rPr>
      <w:rFonts w:ascii="Arial" w:eastAsia="Times New Roman" w:hAnsi="Arial" w:cs="Arial"/>
      <w:sz w:val="23"/>
      <w:szCs w:val="20"/>
      <w:lang w:val="en-AU"/>
    </w:rPr>
  </w:style>
  <w:style w:type="paragraph" w:customStyle="1" w:styleId="BodyTextManual">
    <w:name w:val="Body Text Manual"/>
    <w:basedOn w:val="Normal"/>
    <w:link w:val="BodyTextManualChar"/>
    <w:rsid w:val="001B5517"/>
    <w:pPr>
      <w:spacing w:after="0" w:line="240" w:lineRule="auto"/>
    </w:pPr>
    <w:rPr>
      <w:rFonts w:ascii="Tahoma" w:eastAsia="Times New Roman" w:hAnsi="Tahoma" w:cs="Arial"/>
      <w:sz w:val="20"/>
      <w:szCs w:val="20"/>
      <w:lang w:val="x-none" w:eastAsia="x-none"/>
    </w:rPr>
  </w:style>
  <w:style w:type="character" w:customStyle="1" w:styleId="BodyTextManualChar">
    <w:name w:val="Body Text Manual Char"/>
    <w:link w:val="BodyTextManual"/>
    <w:rsid w:val="001B5517"/>
    <w:rPr>
      <w:rFonts w:ascii="Tahoma" w:eastAsia="Times New Roman" w:hAnsi="Tahoma" w:cs="Arial"/>
      <w:sz w:val="20"/>
      <w:szCs w:val="20"/>
      <w:lang w:val="x-none" w:eastAsia="x-none"/>
    </w:rPr>
  </w:style>
  <w:style w:type="table" w:customStyle="1" w:styleId="Deloittetable121">
    <w:name w:val="Deloitte table121"/>
    <w:basedOn w:val="TableNormal"/>
    <w:uiPriority w:val="99"/>
    <w:rsid w:val="00DA13C9"/>
    <w:rPr>
      <w:sz w:val="17"/>
      <w:lang w:val="en-AU"/>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table" w:customStyle="1" w:styleId="Deloittetable2">
    <w:name w:val="Deloitte table2"/>
    <w:basedOn w:val="TableNormal"/>
    <w:uiPriority w:val="99"/>
    <w:rsid w:val="001E584B"/>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table" w:customStyle="1" w:styleId="Deloittetable122">
    <w:name w:val="Deloitte table122"/>
    <w:basedOn w:val="TableNormal"/>
    <w:uiPriority w:val="99"/>
    <w:rsid w:val="001E584B"/>
    <w:rPr>
      <w:sz w:val="17"/>
      <w:lang w:val="en-AU"/>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table" w:customStyle="1" w:styleId="Deloittetable3">
    <w:name w:val="Deloitte table3"/>
    <w:basedOn w:val="TableNormal"/>
    <w:uiPriority w:val="99"/>
    <w:rsid w:val="00261D0B"/>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table" w:customStyle="1" w:styleId="Deloittetable123">
    <w:name w:val="Deloitte table123"/>
    <w:basedOn w:val="TableNormal"/>
    <w:uiPriority w:val="99"/>
    <w:rsid w:val="00261D0B"/>
    <w:rPr>
      <w:sz w:val="17"/>
      <w:lang w:val="en-AU"/>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character" w:customStyle="1" w:styleId="UnresolvedMention6">
    <w:name w:val="Unresolved Mention6"/>
    <w:basedOn w:val="DefaultParagraphFont"/>
    <w:uiPriority w:val="99"/>
    <w:semiHidden/>
    <w:unhideWhenUsed/>
    <w:rsid w:val="00442679"/>
    <w:rPr>
      <w:color w:val="605E5C"/>
      <w:shd w:val="clear" w:color="auto" w:fill="E1DFDD"/>
    </w:rPr>
  </w:style>
  <w:style w:type="table" w:customStyle="1" w:styleId="ListTable5Dark-Accent62">
    <w:name w:val="List Table 5 Dark - Accent 62"/>
    <w:basedOn w:val="TableNormal"/>
    <w:uiPriority w:val="99"/>
    <w:semiHidden/>
    <w:rsid w:val="00857DAB"/>
    <w:pPr>
      <w:spacing w:line="240" w:lineRule="auto"/>
    </w:pPr>
    <w:rPr>
      <w:color w:val="FFFFFF" w:themeColor="background1"/>
      <w:sz w:val="17"/>
      <w:szCs w:val="17"/>
      <w:lang w:val="en-AU"/>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Style1">
    <w:name w:val="Style1"/>
    <w:basedOn w:val="Heading2"/>
    <w:link w:val="Style1Char"/>
    <w:autoRedefine/>
    <w:rsid w:val="009D55B0"/>
  </w:style>
  <w:style w:type="paragraph" w:customStyle="1" w:styleId="Style2">
    <w:name w:val="Style2"/>
    <w:basedOn w:val="Heading2"/>
    <w:next w:val="Heading2"/>
    <w:link w:val="Style2Char"/>
    <w:rsid w:val="003D2067"/>
  </w:style>
  <w:style w:type="character" w:customStyle="1" w:styleId="Style1Char">
    <w:name w:val="Style1 Char"/>
    <w:basedOn w:val="Heading2Char"/>
    <w:link w:val="Style1"/>
    <w:rsid w:val="009D55B0"/>
    <w:rPr>
      <w:rFonts w:eastAsiaTheme="majorEastAsia" w:cstheme="majorBidi"/>
      <w:b/>
      <w:bCs/>
      <w:color w:val="62B5E5" w:themeColor="accent3"/>
      <w:szCs w:val="26"/>
      <w:lang w:val="en-AU"/>
    </w:rPr>
  </w:style>
  <w:style w:type="character" w:customStyle="1" w:styleId="Style2Char">
    <w:name w:val="Style2 Char"/>
    <w:basedOn w:val="Heading2Char"/>
    <w:link w:val="Style2"/>
    <w:rsid w:val="003D2067"/>
    <w:rPr>
      <w:rFonts w:eastAsiaTheme="majorEastAsia" w:cstheme="majorBidi"/>
      <w:b/>
      <w:bCs/>
      <w:color w:val="62B5E5" w:themeColor="accent3"/>
      <w:szCs w:val="26"/>
      <w:lang w:val="en-AU"/>
    </w:rPr>
  </w:style>
  <w:style w:type="table" w:customStyle="1" w:styleId="Deloittetable124">
    <w:name w:val="Deloitte table124"/>
    <w:basedOn w:val="TableNormal"/>
    <w:uiPriority w:val="99"/>
    <w:rsid w:val="009E578A"/>
    <w:rPr>
      <w:sz w:val="17"/>
      <w:lang w:val="en-AU"/>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character" w:styleId="UnresolvedMention">
    <w:name w:val="Unresolved Mention"/>
    <w:basedOn w:val="DefaultParagraphFont"/>
    <w:uiPriority w:val="99"/>
    <w:unhideWhenUsed/>
    <w:rsid w:val="00F63263"/>
    <w:rPr>
      <w:color w:val="605E5C"/>
      <w:shd w:val="clear" w:color="auto" w:fill="E1DFDD"/>
    </w:rPr>
  </w:style>
  <w:style w:type="character" w:styleId="Mention">
    <w:name w:val="Mention"/>
    <w:basedOn w:val="DefaultParagraphFont"/>
    <w:uiPriority w:val="99"/>
    <w:unhideWhenUsed/>
    <w:rsid w:val="00F63263"/>
    <w:rPr>
      <w:color w:val="2B579A"/>
      <w:shd w:val="clear" w:color="auto" w:fill="E1DFDD"/>
    </w:rPr>
  </w:style>
  <w:style w:type="paragraph" w:customStyle="1" w:styleId="DraftDefinition2">
    <w:name w:val="Draft Definition 2"/>
    <w:basedOn w:val="Normal"/>
    <w:uiPriority w:val="99"/>
    <w:rsid w:val="00FF4E35"/>
    <w:pPr>
      <w:spacing w:before="120" w:after="0" w:line="240" w:lineRule="auto"/>
      <w:ind w:left="1871" w:hanging="510"/>
    </w:pPr>
    <w:rPr>
      <w:rFonts w:ascii="Times New Roman" w:hAnsi="Times New Roman" w:cs="Times New Roman"/>
      <w:sz w:val="24"/>
      <w:szCs w:val="24"/>
    </w:rPr>
  </w:style>
  <w:style w:type="paragraph" w:customStyle="1" w:styleId="TableParagraph">
    <w:name w:val="Table Paragraph"/>
    <w:basedOn w:val="Normal"/>
    <w:uiPriority w:val="1"/>
    <w:qFormat/>
    <w:rsid w:val="00A93267"/>
    <w:pPr>
      <w:widowControl w:val="0"/>
      <w:autoSpaceDE w:val="0"/>
      <w:autoSpaceDN w:val="0"/>
      <w:spacing w:after="0" w:line="240" w:lineRule="auto"/>
      <w:ind w:left="105"/>
    </w:pPr>
    <w:rPr>
      <w:rFonts w:ascii="Calibri" w:eastAsia="Calibri" w:hAnsi="Calibri" w:cs="Calibri"/>
      <w:sz w:val="22"/>
      <w:szCs w:val="22"/>
      <w:lang w:eastAsia="en-AU" w:bidi="en-AU"/>
    </w:rPr>
  </w:style>
  <w:style w:type="paragraph" w:customStyle="1" w:styleId="AmendHeading-DIVISION">
    <w:name w:val="Amend. Heading - DIVISION"/>
    <w:basedOn w:val="Normal"/>
    <w:next w:val="Normal"/>
    <w:rsid w:val="0094676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spacing w:before="240" w:after="120" w:line="240" w:lineRule="auto"/>
      <w:ind w:left="1361"/>
      <w:jc w:val="center"/>
      <w:textAlignment w:val="baseline"/>
    </w:pPr>
    <w:rPr>
      <w:rFonts w:ascii="Times New Roman" w:eastAsia="Times New Roman" w:hAnsi="Times New Roman" w:cs="Times New Roman"/>
      <w:b/>
      <w:sz w:val="24"/>
      <w:szCs w:val="20"/>
    </w:rPr>
  </w:style>
  <w:style w:type="paragraph" w:customStyle="1" w:styleId="AmendHeading1">
    <w:name w:val="Amend. Heading 1"/>
    <w:basedOn w:val="Normal"/>
    <w:next w:val="Normal"/>
    <w:link w:val="AmendHeading1Char"/>
    <w:rsid w:val="00946762"/>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rPr>
  </w:style>
  <w:style w:type="paragraph" w:customStyle="1" w:styleId="AmendHeading2">
    <w:name w:val="Amend. Heading 2"/>
    <w:basedOn w:val="Normal"/>
    <w:next w:val="Normal"/>
    <w:rsid w:val="00946762"/>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rPr>
  </w:style>
  <w:style w:type="paragraph" w:customStyle="1" w:styleId="AmendHeading3">
    <w:name w:val="Amend. Heading 3"/>
    <w:basedOn w:val="Normal"/>
    <w:next w:val="Normal"/>
    <w:rsid w:val="00946762"/>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rPr>
  </w:style>
  <w:style w:type="paragraph" w:customStyle="1" w:styleId="BodySectionSub">
    <w:name w:val="Body Section (Sub)"/>
    <w:next w:val="Normal"/>
    <w:rsid w:val="00946762"/>
    <w:pPr>
      <w:overflowPunct w:val="0"/>
      <w:autoSpaceDE w:val="0"/>
      <w:autoSpaceDN w:val="0"/>
      <w:adjustRightInd w:val="0"/>
      <w:spacing w:before="120" w:line="240" w:lineRule="auto"/>
      <w:ind w:left="1361"/>
      <w:textAlignment w:val="baseline"/>
    </w:pPr>
    <w:rPr>
      <w:rFonts w:ascii="Times New Roman" w:eastAsia="Times New Roman" w:hAnsi="Times New Roman" w:cs="Times New Roman"/>
      <w:sz w:val="24"/>
      <w:szCs w:val="20"/>
      <w:lang w:val="en-AU"/>
    </w:rPr>
  </w:style>
  <w:style w:type="paragraph" w:customStyle="1" w:styleId="DraftHeading1">
    <w:name w:val="Draft Heading 1"/>
    <w:basedOn w:val="Normal"/>
    <w:next w:val="Normal"/>
    <w:rsid w:val="00946762"/>
    <w:pPr>
      <w:overflowPunct w:val="0"/>
      <w:autoSpaceDE w:val="0"/>
      <w:autoSpaceDN w:val="0"/>
      <w:adjustRightInd w:val="0"/>
      <w:spacing w:before="120" w:after="0" w:line="240" w:lineRule="auto"/>
      <w:textAlignment w:val="baseline"/>
      <w:outlineLvl w:val="2"/>
    </w:pPr>
    <w:rPr>
      <w:rFonts w:ascii="Times New Roman" w:eastAsia="Times New Roman" w:hAnsi="Times New Roman" w:cs="Times New Roman"/>
      <w:b/>
      <w:sz w:val="24"/>
      <w:szCs w:val="24"/>
    </w:rPr>
  </w:style>
  <w:style w:type="paragraph" w:customStyle="1" w:styleId="DraftHeading2">
    <w:name w:val="Draft Heading 2"/>
    <w:basedOn w:val="Normal"/>
    <w:next w:val="Normal"/>
    <w:link w:val="DraftHeading2Char"/>
    <w:rsid w:val="00946762"/>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rPr>
  </w:style>
  <w:style w:type="paragraph" w:customStyle="1" w:styleId="Heading-PART">
    <w:name w:val="Heading - PART"/>
    <w:next w:val="Normal"/>
    <w:link w:val="Heading-PARTChar"/>
    <w:rsid w:val="00946762"/>
    <w:pPr>
      <w:overflowPunct w:val="0"/>
      <w:autoSpaceDE w:val="0"/>
      <w:autoSpaceDN w:val="0"/>
      <w:adjustRightInd w:val="0"/>
      <w:spacing w:before="240" w:after="120" w:line="240" w:lineRule="auto"/>
      <w:jc w:val="center"/>
      <w:textAlignment w:val="baseline"/>
      <w:outlineLvl w:val="0"/>
    </w:pPr>
    <w:rPr>
      <w:rFonts w:ascii="Times New Roman" w:eastAsia="Times New Roman" w:hAnsi="Times New Roman" w:cs="Times New Roman"/>
      <w:b/>
      <w:caps/>
      <w:sz w:val="22"/>
      <w:szCs w:val="20"/>
      <w:lang w:val="en-AU"/>
    </w:rPr>
  </w:style>
  <w:style w:type="paragraph" w:customStyle="1" w:styleId="AmendHeading1s">
    <w:name w:val="Amend. Heading 1s"/>
    <w:basedOn w:val="Normal"/>
    <w:next w:val="Normal"/>
    <w:rsid w:val="00946762"/>
    <w:pPr>
      <w:overflowPunct w:val="0"/>
      <w:autoSpaceDE w:val="0"/>
      <w:autoSpaceDN w:val="0"/>
      <w:adjustRightInd w:val="0"/>
      <w:spacing w:before="120" w:after="0" w:line="240" w:lineRule="auto"/>
      <w:textAlignment w:val="baseline"/>
    </w:pPr>
    <w:rPr>
      <w:rFonts w:ascii="Times New Roman" w:eastAsia="Times New Roman" w:hAnsi="Times New Roman" w:cs="Times New Roman"/>
      <w:b/>
      <w:sz w:val="24"/>
      <w:szCs w:val="20"/>
    </w:rPr>
  </w:style>
  <w:style w:type="paragraph" w:customStyle="1" w:styleId="ScheduleNo">
    <w:name w:val="Schedule No."/>
    <w:basedOn w:val="Heading-PART"/>
    <w:next w:val="Normal"/>
    <w:rsid w:val="00946762"/>
    <w:pPr>
      <w:outlineLvl w:val="1"/>
    </w:pPr>
    <w:rPr>
      <w:sz w:val="20"/>
    </w:rPr>
  </w:style>
  <w:style w:type="character" w:customStyle="1" w:styleId="Heading-PARTChar">
    <w:name w:val="Heading - PART Char"/>
    <w:basedOn w:val="DefaultParagraphFont"/>
    <w:link w:val="Heading-PART"/>
    <w:rsid w:val="00946762"/>
    <w:rPr>
      <w:rFonts w:ascii="Times New Roman" w:eastAsia="Times New Roman" w:hAnsi="Times New Roman" w:cs="Times New Roman"/>
      <w:b/>
      <w:caps/>
      <w:sz w:val="22"/>
      <w:szCs w:val="20"/>
      <w:lang w:val="en-AU"/>
    </w:rPr>
  </w:style>
  <w:style w:type="character" w:customStyle="1" w:styleId="DraftHeading2Char">
    <w:name w:val="Draft Heading 2 Char"/>
    <w:basedOn w:val="DefaultParagraphFont"/>
    <w:link w:val="DraftHeading2"/>
    <w:rsid w:val="00946762"/>
    <w:rPr>
      <w:rFonts w:ascii="Times New Roman" w:eastAsia="Times New Roman" w:hAnsi="Times New Roman" w:cs="Times New Roman"/>
      <w:sz w:val="24"/>
      <w:szCs w:val="20"/>
      <w:lang w:val="en-AU"/>
    </w:rPr>
  </w:style>
  <w:style w:type="character" w:customStyle="1" w:styleId="AmendHeading1Char">
    <w:name w:val="Amend. Heading 1 Char"/>
    <w:basedOn w:val="DefaultParagraphFont"/>
    <w:link w:val="AmendHeading1"/>
    <w:rsid w:val="00946762"/>
    <w:rPr>
      <w:rFonts w:ascii="Times New Roman" w:eastAsia="Times New Roman" w:hAnsi="Times New Roman" w:cs="Times New Roman"/>
      <w:sz w:val="24"/>
      <w:szCs w:val="20"/>
      <w:lang w:val="en-AU"/>
    </w:rPr>
  </w:style>
  <w:style w:type="table" w:customStyle="1" w:styleId="TableGrid10">
    <w:name w:val="Table Grid1"/>
    <w:basedOn w:val="TableNormal"/>
    <w:next w:val="TableGrid"/>
    <w:uiPriority w:val="59"/>
    <w:rsid w:val="00A515C5"/>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table" w:customStyle="1" w:styleId="TableGridLight2">
    <w:name w:val="Table Grid Light2"/>
    <w:basedOn w:val="TableNormal"/>
    <w:uiPriority w:val="40"/>
    <w:rsid w:val="007F2DD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62">
    <w:name w:val="Grid Table 1 Light - Accent 62"/>
    <w:basedOn w:val="TableNormal"/>
    <w:uiPriority w:val="46"/>
    <w:rsid w:val="007F2DD2"/>
    <w:pPr>
      <w:spacing w:line="240" w:lineRule="auto"/>
    </w:p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7F2DD2"/>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2">
    <w:name w:val="Plain Table 22"/>
    <w:basedOn w:val="TableNormal"/>
    <w:uiPriority w:val="42"/>
    <w:rsid w:val="007F2DD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42">
    <w:name w:val="Grid Table 1 Light - Accent 42"/>
    <w:basedOn w:val="TableNormal"/>
    <w:uiPriority w:val="46"/>
    <w:rsid w:val="007F2DD2"/>
    <w:pPr>
      <w:spacing w:line="240" w:lineRule="auto"/>
    </w:p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7F2DD2"/>
    <w:pPr>
      <w:spacing w:line="240" w:lineRule="auto"/>
    </w:p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customStyle="1" w:styleId="PlainTable32">
    <w:name w:val="Plain Table 32"/>
    <w:basedOn w:val="TableNormal"/>
    <w:uiPriority w:val="43"/>
    <w:rsid w:val="007F2DD2"/>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22">
    <w:name w:val="Grid Table 1 Light - Accent 22"/>
    <w:basedOn w:val="TableNormal"/>
    <w:uiPriority w:val="46"/>
    <w:rsid w:val="007F2DD2"/>
    <w:pPr>
      <w:spacing w:line="240" w:lineRule="auto"/>
    </w:p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customStyle="1" w:styleId="PlainTable42">
    <w:name w:val="Plain Table 42"/>
    <w:basedOn w:val="TableNormal"/>
    <w:uiPriority w:val="44"/>
    <w:rsid w:val="007F2DD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2">
    <w:name w:val="Plain Table 52"/>
    <w:basedOn w:val="TableNormal"/>
    <w:uiPriority w:val="45"/>
    <w:rsid w:val="007F2DD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7">
    <w:name w:val="Unresolved Mention7"/>
    <w:basedOn w:val="DefaultParagraphFont"/>
    <w:uiPriority w:val="99"/>
    <w:unhideWhenUsed/>
    <w:rsid w:val="007F2DD2"/>
    <w:rPr>
      <w:color w:val="605E5C"/>
      <w:shd w:val="clear" w:color="auto" w:fill="E1DFDD"/>
    </w:rPr>
  </w:style>
  <w:style w:type="character" w:customStyle="1" w:styleId="Mention1">
    <w:name w:val="Mention1"/>
    <w:basedOn w:val="DefaultParagraphFont"/>
    <w:uiPriority w:val="99"/>
    <w:unhideWhenUsed/>
    <w:rsid w:val="007F2DD2"/>
    <w:rPr>
      <w:color w:val="2B579A"/>
      <w:shd w:val="clear" w:color="auto" w:fill="E1DFDD"/>
    </w:rPr>
  </w:style>
  <w:style w:type="paragraph" w:customStyle="1" w:styleId="paragraph">
    <w:name w:val="paragraph"/>
    <w:basedOn w:val="Normal"/>
    <w:rsid w:val="007F2DD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indhit">
    <w:name w:val="findhit"/>
    <w:basedOn w:val="DefaultParagraphFont"/>
    <w:rsid w:val="007F2DD2"/>
  </w:style>
  <w:style w:type="character" w:customStyle="1" w:styleId="al-author-name-more">
    <w:name w:val="al-author-name-more"/>
    <w:basedOn w:val="DefaultParagraphFont"/>
    <w:rsid w:val="005E7B9E"/>
  </w:style>
  <w:style w:type="character" w:customStyle="1" w:styleId="delimiter">
    <w:name w:val="delimiter"/>
    <w:basedOn w:val="DefaultParagraphFont"/>
    <w:rsid w:val="005E7B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8518">
      <w:bodyDiv w:val="1"/>
      <w:marLeft w:val="0"/>
      <w:marRight w:val="0"/>
      <w:marTop w:val="0"/>
      <w:marBottom w:val="0"/>
      <w:divBdr>
        <w:top w:val="none" w:sz="0" w:space="0" w:color="auto"/>
        <w:left w:val="none" w:sz="0" w:space="0" w:color="auto"/>
        <w:bottom w:val="none" w:sz="0" w:space="0" w:color="auto"/>
        <w:right w:val="none" w:sz="0" w:space="0" w:color="auto"/>
      </w:divBdr>
    </w:div>
    <w:div w:id="12537397">
      <w:bodyDiv w:val="1"/>
      <w:marLeft w:val="0"/>
      <w:marRight w:val="0"/>
      <w:marTop w:val="0"/>
      <w:marBottom w:val="0"/>
      <w:divBdr>
        <w:top w:val="none" w:sz="0" w:space="0" w:color="auto"/>
        <w:left w:val="none" w:sz="0" w:space="0" w:color="auto"/>
        <w:bottom w:val="none" w:sz="0" w:space="0" w:color="auto"/>
        <w:right w:val="none" w:sz="0" w:space="0" w:color="auto"/>
      </w:divBdr>
    </w:div>
    <w:div w:id="22904002">
      <w:bodyDiv w:val="1"/>
      <w:marLeft w:val="0"/>
      <w:marRight w:val="0"/>
      <w:marTop w:val="0"/>
      <w:marBottom w:val="0"/>
      <w:divBdr>
        <w:top w:val="none" w:sz="0" w:space="0" w:color="auto"/>
        <w:left w:val="none" w:sz="0" w:space="0" w:color="auto"/>
        <w:bottom w:val="none" w:sz="0" w:space="0" w:color="auto"/>
        <w:right w:val="none" w:sz="0" w:space="0" w:color="auto"/>
      </w:divBdr>
    </w:div>
    <w:div w:id="55860465">
      <w:bodyDiv w:val="1"/>
      <w:marLeft w:val="0"/>
      <w:marRight w:val="0"/>
      <w:marTop w:val="0"/>
      <w:marBottom w:val="0"/>
      <w:divBdr>
        <w:top w:val="none" w:sz="0" w:space="0" w:color="auto"/>
        <w:left w:val="none" w:sz="0" w:space="0" w:color="auto"/>
        <w:bottom w:val="none" w:sz="0" w:space="0" w:color="auto"/>
        <w:right w:val="none" w:sz="0" w:space="0" w:color="auto"/>
      </w:divBdr>
    </w:div>
    <w:div w:id="114912920">
      <w:bodyDiv w:val="1"/>
      <w:marLeft w:val="0"/>
      <w:marRight w:val="0"/>
      <w:marTop w:val="0"/>
      <w:marBottom w:val="0"/>
      <w:divBdr>
        <w:top w:val="none" w:sz="0" w:space="0" w:color="auto"/>
        <w:left w:val="none" w:sz="0" w:space="0" w:color="auto"/>
        <w:bottom w:val="none" w:sz="0" w:space="0" w:color="auto"/>
        <w:right w:val="none" w:sz="0" w:space="0" w:color="auto"/>
      </w:divBdr>
    </w:div>
    <w:div w:id="143739819">
      <w:bodyDiv w:val="1"/>
      <w:marLeft w:val="0"/>
      <w:marRight w:val="0"/>
      <w:marTop w:val="0"/>
      <w:marBottom w:val="0"/>
      <w:divBdr>
        <w:top w:val="none" w:sz="0" w:space="0" w:color="auto"/>
        <w:left w:val="none" w:sz="0" w:space="0" w:color="auto"/>
        <w:bottom w:val="none" w:sz="0" w:space="0" w:color="auto"/>
        <w:right w:val="none" w:sz="0" w:space="0" w:color="auto"/>
      </w:divBdr>
    </w:div>
    <w:div w:id="153301404">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170881341">
      <w:bodyDiv w:val="1"/>
      <w:marLeft w:val="0"/>
      <w:marRight w:val="0"/>
      <w:marTop w:val="0"/>
      <w:marBottom w:val="0"/>
      <w:divBdr>
        <w:top w:val="none" w:sz="0" w:space="0" w:color="auto"/>
        <w:left w:val="none" w:sz="0" w:space="0" w:color="auto"/>
        <w:bottom w:val="none" w:sz="0" w:space="0" w:color="auto"/>
        <w:right w:val="none" w:sz="0" w:space="0" w:color="auto"/>
      </w:divBdr>
    </w:div>
    <w:div w:id="171916892">
      <w:bodyDiv w:val="1"/>
      <w:marLeft w:val="0"/>
      <w:marRight w:val="0"/>
      <w:marTop w:val="0"/>
      <w:marBottom w:val="0"/>
      <w:divBdr>
        <w:top w:val="none" w:sz="0" w:space="0" w:color="auto"/>
        <w:left w:val="none" w:sz="0" w:space="0" w:color="auto"/>
        <w:bottom w:val="none" w:sz="0" w:space="0" w:color="auto"/>
        <w:right w:val="none" w:sz="0" w:space="0" w:color="auto"/>
      </w:divBdr>
      <w:divsChild>
        <w:div w:id="184288940">
          <w:marLeft w:val="0"/>
          <w:marRight w:val="0"/>
          <w:marTop w:val="0"/>
          <w:marBottom w:val="0"/>
          <w:divBdr>
            <w:top w:val="none" w:sz="0" w:space="0" w:color="auto"/>
            <w:left w:val="none" w:sz="0" w:space="0" w:color="auto"/>
            <w:bottom w:val="none" w:sz="0" w:space="0" w:color="auto"/>
            <w:right w:val="none" w:sz="0" w:space="0" w:color="auto"/>
          </w:divBdr>
        </w:div>
      </w:divsChild>
    </w:div>
    <w:div w:id="229539350">
      <w:bodyDiv w:val="1"/>
      <w:marLeft w:val="0"/>
      <w:marRight w:val="0"/>
      <w:marTop w:val="0"/>
      <w:marBottom w:val="0"/>
      <w:divBdr>
        <w:top w:val="none" w:sz="0" w:space="0" w:color="auto"/>
        <w:left w:val="none" w:sz="0" w:space="0" w:color="auto"/>
        <w:bottom w:val="none" w:sz="0" w:space="0" w:color="auto"/>
        <w:right w:val="none" w:sz="0" w:space="0" w:color="auto"/>
      </w:divBdr>
    </w:div>
    <w:div w:id="240726413">
      <w:bodyDiv w:val="1"/>
      <w:marLeft w:val="0"/>
      <w:marRight w:val="0"/>
      <w:marTop w:val="0"/>
      <w:marBottom w:val="0"/>
      <w:divBdr>
        <w:top w:val="none" w:sz="0" w:space="0" w:color="auto"/>
        <w:left w:val="none" w:sz="0" w:space="0" w:color="auto"/>
        <w:bottom w:val="none" w:sz="0" w:space="0" w:color="auto"/>
        <w:right w:val="none" w:sz="0" w:space="0" w:color="auto"/>
      </w:divBdr>
    </w:div>
    <w:div w:id="277182597">
      <w:bodyDiv w:val="1"/>
      <w:marLeft w:val="0"/>
      <w:marRight w:val="0"/>
      <w:marTop w:val="0"/>
      <w:marBottom w:val="0"/>
      <w:divBdr>
        <w:top w:val="none" w:sz="0" w:space="0" w:color="auto"/>
        <w:left w:val="none" w:sz="0" w:space="0" w:color="auto"/>
        <w:bottom w:val="none" w:sz="0" w:space="0" w:color="auto"/>
        <w:right w:val="none" w:sz="0" w:space="0" w:color="auto"/>
      </w:divBdr>
    </w:div>
    <w:div w:id="293562265">
      <w:bodyDiv w:val="1"/>
      <w:marLeft w:val="0"/>
      <w:marRight w:val="0"/>
      <w:marTop w:val="0"/>
      <w:marBottom w:val="0"/>
      <w:divBdr>
        <w:top w:val="none" w:sz="0" w:space="0" w:color="auto"/>
        <w:left w:val="none" w:sz="0" w:space="0" w:color="auto"/>
        <w:bottom w:val="none" w:sz="0" w:space="0" w:color="auto"/>
        <w:right w:val="none" w:sz="0" w:space="0" w:color="auto"/>
      </w:divBdr>
    </w:div>
    <w:div w:id="306788579">
      <w:bodyDiv w:val="1"/>
      <w:marLeft w:val="0"/>
      <w:marRight w:val="0"/>
      <w:marTop w:val="0"/>
      <w:marBottom w:val="0"/>
      <w:divBdr>
        <w:top w:val="none" w:sz="0" w:space="0" w:color="auto"/>
        <w:left w:val="none" w:sz="0" w:space="0" w:color="auto"/>
        <w:bottom w:val="none" w:sz="0" w:space="0" w:color="auto"/>
        <w:right w:val="none" w:sz="0" w:space="0" w:color="auto"/>
      </w:divBdr>
    </w:div>
    <w:div w:id="310404905">
      <w:bodyDiv w:val="1"/>
      <w:marLeft w:val="0"/>
      <w:marRight w:val="0"/>
      <w:marTop w:val="0"/>
      <w:marBottom w:val="0"/>
      <w:divBdr>
        <w:top w:val="none" w:sz="0" w:space="0" w:color="auto"/>
        <w:left w:val="none" w:sz="0" w:space="0" w:color="auto"/>
        <w:bottom w:val="none" w:sz="0" w:space="0" w:color="auto"/>
        <w:right w:val="none" w:sz="0" w:space="0" w:color="auto"/>
      </w:divBdr>
    </w:div>
    <w:div w:id="316421789">
      <w:bodyDiv w:val="1"/>
      <w:marLeft w:val="0"/>
      <w:marRight w:val="0"/>
      <w:marTop w:val="0"/>
      <w:marBottom w:val="0"/>
      <w:divBdr>
        <w:top w:val="none" w:sz="0" w:space="0" w:color="auto"/>
        <w:left w:val="none" w:sz="0" w:space="0" w:color="auto"/>
        <w:bottom w:val="none" w:sz="0" w:space="0" w:color="auto"/>
        <w:right w:val="none" w:sz="0" w:space="0" w:color="auto"/>
      </w:divBdr>
    </w:div>
    <w:div w:id="322469500">
      <w:bodyDiv w:val="1"/>
      <w:marLeft w:val="0"/>
      <w:marRight w:val="0"/>
      <w:marTop w:val="0"/>
      <w:marBottom w:val="0"/>
      <w:divBdr>
        <w:top w:val="none" w:sz="0" w:space="0" w:color="auto"/>
        <w:left w:val="none" w:sz="0" w:space="0" w:color="auto"/>
        <w:bottom w:val="none" w:sz="0" w:space="0" w:color="auto"/>
        <w:right w:val="none" w:sz="0" w:space="0" w:color="auto"/>
      </w:divBdr>
    </w:div>
    <w:div w:id="393509075">
      <w:bodyDiv w:val="1"/>
      <w:marLeft w:val="0"/>
      <w:marRight w:val="0"/>
      <w:marTop w:val="0"/>
      <w:marBottom w:val="0"/>
      <w:divBdr>
        <w:top w:val="none" w:sz="0" w:space="0" w:color="auto"/>
        <w:left w:val="none" w:sz="0" w:space="0" w:color="auto"/>
        <w:bottom w:val="none" w:sz="0" w:space="0" w:color="auto"/>
        <w:right w:val="none" w:sz="0" w:space="0" w:color="auto"/>
      </w:divBdr>
    </w:div>
    <w:div w:id="419062225">
      <w:bodyDiv w:val="1"/>
      <w:marLeft w:val="0"/>
      <w:marRight w:val="0"/>
      <w:marTop w:val="0"/>
      <w:marBottom w:val="0"/>
      <w:divBdr>
        <w:top w:val="none" w:sz="0" w:space="0" w:color="auto"/>
        <w:left w:val="none" w:sz="0" w:space="0" w:color="auto"/>
        <w:bottom w:val="none" w:sz="0" w:space="0" w:color="auto"/>
        <w:right w:val="none" w:sz="0" w:space="0" w:color="auto"/>
      </w:divBdr>
      <w:divsChild>
        <w:div w:id="1015380433">
          <w:marLeft w:val="144"/>
          <w:marRight w:val="144"/>
          <w:marTop w:val="0"/>
          <w:marBottom w:val="115"/>
          <w:divBdr>
            <w:top w:val="none" w:sz="0" w:space="0" w:color="auto"/>
            <w:left w:val="none" w:sz="0" w:space="0" w:color="auto"/>
            <w:bottom w:val="none" w:sz="0" w:space="0" w:color="auto"/>
            <w:right w:val="none" w:sz="0" w:space="0" w:color="auto"/>
          </w:divBdr>
        </w:div>
        <w:div w:id="1638955017">
          <w:marLeft w:val="144"/>
          <w:marRight w:val="144"/>
          <w:marTop w:val="0"/>
          <w:marBottom w:val="216"/>
          <w:divBdr>
            <w:top w:val="none" w:sz="0" w:space="0" w:color="auto"/>
            <w:left w:val="none" w:sz="0" w:space="0" w:color="auto"/>
            <w:bottom w:val="none" w:sz="0" w:space="0" w:color="auto"/>
            <w:right w:val="none" w:sz="0" w:space="0" w:color="auto"/>
          </w:divBdr>
        </w:div>
      </w:divsChild>
    </w:div>
    <w:div w:id="524363277">
      <w:bodyDiv w:val="1"/>
      <w:marLeft w:val="0"/>
      <w:marRight w:val="0"/>
      <w:marTop w:val="0"/>
      <w:marBottom w:val="0"/>
      <w:divBdr>
        <w:top w:val="none" w:sz="0" w:space="0" w:color="auto"/>
        <w:left w:val="none" w:sz="0" w:space="0" w:color="auto"/>
        <w:bottom w:val="none" w:sz="0" w:space="0" w:color="auto"/>
        <w:right w:val="none" w:sz="0" w:space="0" w:color="auto"/>
      </w:divBdr>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534319389">
      <w:bodyDiv w:val="1"/>
      <w:marLeft w:val="0"/>
      <w:marRight w:val="0"/>
      <w:marTop w:val="0"/>
      <w:marBottom w:val="0"/>
      <w:divBdr>
        <w:top w:val="none" w:sz="0" w:space="0" w:color="auto"/>
        <w:left w:val="none" w:sz="0" w:space="0" w:color="auto"/>
        <w:bottom w:val="none" w:sz="0" w:space="0" w:color="auto"/>
        <w:right w:val="none" w:sz="0" w:space="0" w:color="auto"/>
      </w:divBdr>
    </w:div>
    <w:div w:id="578101933">
      <w:bodyDiv w:val="1"/>
      <w:marLeft w:val="0"/>
      <w:marRight w:val="0"/>
      <w:marTop w:val="0"/>
      <w:marBottom w:val="0"/>
      <w:divBdr>
        <w:top w:val="none" w:sz="0" w:space="0" w:color="auto"/>
        <w:left w:val="none" w:sz="0" w:space="0" w:color="auto"/>
        <w:bottom w:val="none" w:sz="0" w:space="0" w:color="auto"/>
        <w:right w:val="none" w:sz="0" w:space="0" w:color="auto"/>
      </w:divBdr>
    </w:div>
    <w:div w:id="579292834">
      <w:bodyDiv w:val="1"/>
      <w:marLeft w:val="0"/>
      <w:marRight w:val="0"/>
      <w:marTop w:val="0"/>
      <w:marBottom w:val="0"/>
      <w:divBdr>
        <w:top w:val="none" w:sz="0" w:space="0" w:color="auto"/>
        <w:left w:val="none" w:sz="0" w:space="0" w:color="auto"/>
        <w:bottom w:val="none" w:sz="0" w:space="0" w:color="auto"/>
        <w:right w:val="none" w:sz="0" w:space="0" w:color="auto"/>
      </w:divBdr>
    </w:div>
    <w:div w:id="598685324">
      <w:bodyDiv w:val="1"/>
      <w:marLeft w:val="0"/>
      <w:marRight w:val="0"/>
      <w:marTop w:val="0"/>
      <w:marBottom w:val="0"/>
      <w:divBdr>
        <w:top w:val="none" w:sz="0" w:space="0" w:color="auto"/>
        <w:left w:val="none" w:sz="0" w:space="0" w:color="auto"/>
        <w:bottom w:val="none" w:sz="0" w:space="0" w:color="auto"/>
        <w:right w:val="none" w:sz="0" w:space="0" w:color="auto"/>
      </w:divBdr>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690450600">
      <w:bodyDiv w:val="1"/>
      <w:marLeft w:val="0"/>
      <w:marRight w:val="0"/>
      <w:marTop w:val="0"/>
      <w:marBottom w:val="0"/>
      <w:divBdr>
        <w:top w:val="none" w:sz="0" w:space="0" w:color="auto"/>
        <w:left w:val="none" w:sz="0" w:space="0" w:color="auto"/>
        <w:bottom w:val="none" w:sz="0" w:space="0" w:color="auto"/>
        <w:right w:val="none" w:sz="0" w:space="0" w:color="auto"/>
      </w:divBdr>
    </w:div>
    <w:div w:id="696194319">
      <w:bodyDiv w:val="1"/>
      <w:marLeft w:val="0"/>
      <w:marRight w:val="0"/>
      <w:marTop w:val="0"/>
      <w:marBottom w:val="0"/>
      <w:divBdr>
        <w:top w:val="none" w:sz="0" w:space="0" w:color="auto"/>
        <w:left w:val="none" w:sz="0" w:space="0" w:color="auto"/>
        <w:bottom w:val="none" w:sz="0" w:space="0" w:color="auto"/>
        <w:right w:val="none" w:sz="0" w:space="0" w:color="auto"/>
      </w:divBdr>
    </w:div>
    <w:div w:id="712850992">
      <w:bodyDiv w:val="1"/>
      <w:marLeft w:val="0"/>
      <w:marRight w:val="0"/>
      <w:marTop w:val="0"/>
      <w:marBottom w:val="0"/>
      <w:divBdr>
        <w:top w:val="none" w:sz="0" w:space="0" w:color="auto"/>
        <w:left w:val="none" w:sz="0" w:space="0" w:color="auto"/>
        <w:bottom w:val="none" w:sz="0" w:space="0" w:color="auto"/>
        <w:right w:val="none" w:sz="0" w:space="0" w:color="auto"/>
      </w:divBdr>
    </w:div>
    <w:div w:id="747384255">
      <w:bodyDiv w:val="1"/>
      <w:marLeft w:val="0"/>
      <w:marRight w:val="0"/>
      <w:marTop w:val="0"/>
      <w:marBottom w:val="0"/>
      <w:divBdr>
        <w:top w:val="none" w:sz="0" w:space="0" w:color="auto"/>
        <w:left w:val="none" w:sz="0" w:space="0" w:color="auto"/>
        <w:bottom w:val="none" w:sz="0" w:space="0" w:color="auto"/>
        <w:right w:val="none" w:sz="0" w:space="0" w:color="auto"/>
      </w:divBdr>
    </w:div>
    <w:div w:id="756025714">
      <w:bodyDiv w:val="1"/>
      <w:marLeft w:val="0"/>
      <w:marRight w:val="0"/>
      <w:marTop w:val="0"/>
      <w:marBottom w:val="0"/>
      <w:divBdr>
        <w:top w:val="none" w:sz="0" w:space="0" w:color="auto"/>
        <w:left w:val="none" w:sz="0" w:space="0" w:color="auto"/>
        <w:bottom w:val="none" w:sz="0" w:space="0" w:color="auto"/>
        <w:right w:val="none" w:sz="0" w:space="0" w:color="auto"/>
      </w:divBdr>
    </w:div>
    <w:div w:id="761604069">
      <w:bodyDiv w:val="1"/>
      <w:marLeft w:val="0"/>
      <w:marRight w:val="0"/>
      <w:marTop w:val="0"/>
      <w:marBottom w:val="0"/>
      <w:divBdr>
        <w:top w:val="none" w:sz="0" w:space="0" w:color="auto"/>
        <w:left w:val="none" w:sz="0" w:space="0" w:color="auto"/>
        <w:bottom w:val="none" w:sz="0" w:space="0" w:color="auto"/>
        <w:right w:val="none" w:sz="0" w:space="0" w:color="auto"/>
      </w:divBdr>
    </w:div>
    <w:div w:id="774056555">
      <w:bodyDiv w:val="1"/>
      <w:marLeft w:val="0"/>
      <w:marRight w:val="0"/>
      <w:marTop w:val="0"/>
      <w:marBottom w:val="0"/>
      <w:divBdr>
        <w:top w:val="none" w:sz="0" w:space="0" w:color="auto"/>
        <w:left w:val="none" w:sz="0" w:space="0" w:color="auto"/>
        <w:bottom w:val="none" w:sz="0" w:space="0" w:color="auto"/>
        <w:right w:val="none" w:sz="0" w:space="0" w:color="auto"/>
      </w:divBdr>
      <w:divsChild>
        <w:div w:id="944776452">
          <w:marLeft w:val="0"/>
          <w:marRight w:val="0"/>
          <w:marTop w:val="0"/>
          <w:marBottom w:val="0"/>
          <w:divBdr>
            <w:top w:val="none" w:sz="0" w:space="0" w:color="auto"/>
            <w:left w:val="none" w:sz="0" w:space="0" w:color="auto"/>
            <w:bottom w:val="none" w:sz="0" w:space="0" w:color="auto"/>
            <w:right w:val="none" w:sz="0" w:space="0" w:color="auto"/>
          </w:divBdr>
          <w:divsChild>
            <w:div w:id="1912543802">
              <w:marLeft w:val="0"/>
              <w:marRight w:val="0"/>
              <w:marTop w:val="0"/>
              <w:marBottom w:val="0"/>
              <w:divBdr>
                <w:top w:val="none" w:sz="0" w:space="0" w:color="auto"/>
                <w:left w:val="none" w:sz="0" w:space="0" w:color="auto"/>
                <w:bottom w:val="none" w:sz="0" w:space="0" w:color="auto"/>
                <w:right w:val="none" w:sz="0" w:space="0" w:color="auto"/>
              </w:divBdr>
              <w:divsChild>
                <w:div w:id="1297836015">
                  <w:marLeft w:val="0"/>
                  <w:marRight w:val="0"/>
                  <w:marTop w:val="0"/>
                  <w:marBottom w:val="0"/>
                  <w:divBdr>
                    <w:top w:val="none" w:sz="0" w:space="0" w:color="auto"/>
                    <w:left w:val="none" w:sz="0" w:space="0" w:color="auto"/>
                    <w:bottom w:val="none" w:sz="0" w:space="0" w:color="auto"/>
                    <w:right w:val="none" w:sz="0" w:space="0" w:color="auto"/>
                  </w:divBdr>
                  <w:divsChild>
                    <w:div w:id="177065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18038">
          <w:marLeft w:val="0"/>
          <w:marRight w:val="0"/>
          <w:marTop w:val="0"/>
          <w:marBottom w:val="0"/>
          <w:divBdr>
            <w:top w:val="none" w:sz="0" w:space="0" w:color="auto"/>
            <w:left w:val="none" w:sz="0" w:space="0" w:color="auto"/>
            <w:bottom w:val="none" w:sz="0" w:space="0" w:color="auto"/>
            <w:right w:val="none" w:sz="0" w:space="0" w:color="auto"/>
          </w:divBdr>
          <w:divsChild>
            <w:div w:id="1813986821">
              <w:marLeft w:val="0"/>
              <w:marRight w:val="0"/>
              <w:marTop w:val="0"/>
              <w:marBottom w:val="0"/>
              <w:divBdr>
                <w:top w:val="none" w:sz="0" w:space="0" w:color="auto"/>
                <w:left w:val="none" w:sz="0" w:space="0" w:color="auto"/>
                <w:bottom w:val="none" w:sz="0" w:space="0" w:color="auto"/>
                <w:right w:val="none" w:sz="0" w:space="0" w:color="auto"/>
              </w:divBdr>
              <w:divsChild>
                <w:div w:id="350647347">
                  <w:marLeft w:val="0"/>
                  <w:marRight w:val="0"/>
                  <w:marTop w:val="0"/>
                  <w:marBottom w:val="0"/>
                  <w:divBdr>
                    <w:top w:val="none" w:sz="0" w:space="0" w:color="auto"/>
                    <w:left w:val="none" w:sz="0" w:space="0" w:color="auto"/>
                    <w:bottom w:val="none" w:sz="0" w:space="0" w:color="auto"/>
                    <w:right w:val="none" w:sz="0" w:space="0" w:color="auto"/>
                  </w:divBdr>
                  <w:divsChild>
                    <w:div w:id="3461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272645">
      <w:bodyDiv w:val="1"/>
      <w:marLeft w:val="0"/>
      <w:marRight w:val="0"/>
      <w:marTop w:val="0"/>
      <w:marBottom w:val="0"/>
      <w:divBdr>
        <w:top w:val="none" w:sz="0" w:space="0" w:color="auto"/>
        <w:left w:val="none" w:sz="0" w:space="0" w:color="auto"/>
        <w:bottom w:val="none" w:sz="0" w:space="0" w:color="auto"/>
        <w:right w:val="none" w:sz="0" w:space="0" w:color="auto"/>
      </w:divBdr>
      <w:divsChild>
        <w:div w:id="483008318">
          <w:marLeft w:val="0"/>
          <w:marRight w:val="0"/>
          <w:marTop w:val="0"/>
          <w:marBottom w:val="0"/>
          <w:divBdr>
            <w:top w:val="none" w:sz="0" w:space="0" w:color="auto"/>
            <w:left w:val="none" w:sz="0" w:space="0" w:color="auto"/>
            <w:bottom w:val="none" w:sz="0" w:space="0" w:color="auto"/>
            <w:right w:val="none" w:sz="0" w:space="0" w:color="auto"/>
          </w:divBdr>
        </w:div>
      </w:divsChild>
    </w:div>
    <w:div w:id="809589785">
      <w:bodyDiv w:val="1"/>
      <w:marLeft w:val="0"/>
      <w:marRight w:val="0"/>
      <w:marTop w:val="0"/>
      <w:marBottom w:val="0"/>
      <w:divBdr>
        <w:top w:val="none" w:sz="0" w:space="0" w:color="auto"/>
        <w:left w:val="none" w:sz="0" w:space="0" w:color="auto"/>
        <w:bottom w:val="none" w:sz="0" w:space="0" w:color="auto"/>
        <w:right w:val="none" w:sz="0" w:space="0" w:color="auto"/>
      </w:divBdr>
    </w:div>
    <w:div w:id="810369702">
      <w:bodyDiv w:val="1"/>
      <w:marLeft w:val="0"/>
      <w:marRight w:val="0"/>
      <w:marTop w:val="0"/>
      <w:marBottom w:val="0"/>
      <w:divBdr>
        <w:top w:val="none" w:sz="0" w:space="0" w:color="auto"/>
        <w:left w:val="none" w:sz="0" w:space="0" w:color="auto"/>
        <w:bottom w:val="none" w:sz="0" w:space="0" w:color="auto"/>
        <w:right w:val="none" w:sz="0" w:space="0" w:color="auto"/>
      </w:divBdr>
    </w:div>
    <w:div w:id="812141837">
      <w:bodyDiv w:val="1"/>
      <w:marLeft w:val="0"/>
      <w:marRight w:val="0"/>
      <w:marTop w:val="0"/>
      <w:marBottom w:val="0"/>
      <w:divBdr>
        <w:top w:val="none" w:sz="0" w:space="0" w:color="auto"/>
        <w:left w:val="none" w:sz="0" w:space="0" w:color="auto"/>
        <w:bottom w:val="none" w:sz="0" w:space="0" w:color="auto"/>
        <w:right w:val="none" w:sz="0" w:space="0" w:color="auto"/>
      </w:divBdr>
    </w:div>
    <w:div w:id="821045431">
      <w:bodyDiv w:val="1"/>
      <w:marLeft w:val="0"/>
      <w:marRight w:val="0"/>
      <w:marTop w:val="0"/>
      <w:marBottom w:val="0"/>
      <w:divBdr>
        <w:top w:val="none" w:sz="0" w:space="0" w:color="auto"/>
        <w:left w:val="none" w:sz="0" w:space="0" w:color="auto"/>
        <w:bottom w:val="none" w:sz="0" w:space="0" w:color="auto"/>
        <w:right w:val="none" w:sz="0" w:space="0" w:color="auto"/>
      </w:divBdr>
    </w:div>
    <w:div w:id="843935159">
      <w:bodyDiv w:val="1"/>
      <w:marLeft w:val="0"/>
      <w:marRight w:val="0"/>
      <w:marTop w:val="0"/>
      <w:marBottom w:val="0"/>
      <w:divBdr>
        <w:top w:val="none" w:sz="0" w:space="0" w:color="auto"/>
        <w:left w:val="none" w:sz="0" w:space="0" w:color="auto"/>
        <w:bottom w:val="none" w:sz="0" w:space="0" w:color="auto"/>
        <w:right w:val="none" w:sz="0" w:space="0" w:color="auto"/>
      </w:divBdr>
    </w:div>
    <w:div w:id="851721311">
      <w:bodyDiv w:val="1"/>
      <w:marLeft w:val="0"/>
      <w:marRight w:val="0"/>
      <w:marTop w:val="0"/>
      <w:marBottom w:val="0"/>
      <w:divBdr>
        <w:top w:val="none" w:sz="0" w:space="0" w:color="auto"/>
        <w:left w:val="none" w:sz="0" w:space="0" w:color="auto"/>
        <w:bottom w:val="none" w:sz="0" w:space="0" w:color="auto"/>
        <w:right w:val="none" w:sz="0" w:space="0" w:color="auto"/>
      </w:divBdr>
    </w:div>
    <w:div w:id="852184715">
      <w:bodyDiv w:val="1"/>
      <w:marLeft w:val="0"/>
      <w:marRight w:val="0"/>
      <w:marTop w:val="0"/>
      <w:marBottom w:val="0"/>
      <w:divBdr>
        <w:top w:val="none" w:sz="0" w:space="0" w:color="auto"/>
        <w:left w:val="none" w:sz="0" w:space="0" w:color="auto"/>
        <w:bottom w:val="none" w:sz="0" w:space="0" w:color="auto"/>
        <w:right w:val="none" w:sz="0" w:space="0" w:color="auto"/>
      </w:divBdr>
    </w:div>
    <w:div w:id="868296480">
      <w:bodyDiv w:val="1"/>
      <w:marLeft w:val="0"/>
      <w:marRight w:val="0"/>
      <w:marTop w:val="0"/>
      <w:marBottom w:val="0"/>
      <w:divBdr>
        <w:top w:val="none" w:sz="0" w:space="0" w:color="auto"/>
        <w:left w:val="none" w:sz="0" w:space="0" w:color="auto"/>
        <w:bottom w:val="none" w:sz="0" w:space="0" w:color="auto"/>
        <w:right w:val="none" w:sz="0" w:space="0" w:color="auto"/>
      </w:divBdr>
    </w:div>
    <w:div w:id="873615165">
      <w:bodyDiv w:val="1"/>
      <w:marLeft w:val="0"/>
      <w:marRight w:val="0"/>
      <w:marTop w:val="0"/>
      <w:marBottom w:val="0"/>
      <w:divBdr>
        <w:top w:val="none" w:sz="0" w:space="0" w:color="auto"/>
        <w:left w:val="none" w:sz="0" w:space="0" w:color="auto"/>
        <w:bottom w:val="none" w:sz="0" w:space="0" w:color="auto"/>
        <w:right w:val="none" w:sz="0" w:space="0" w:color="auto"/>
      </w:divBdr>
      <w:divsChild>
        <w:div w:id="565536246">
          <w:marLeft w:val="0"/>
          <w:marRight w:val="0"/>
          <w:marTop w:val="0"/>
          <w:marBottom w:val="0"/>
          <w:divBdr>
            <w:top w:val="none" w:sz="0" w:space="0" w:color="auto"/>
            <w:left w:val="none" w:sz="0" w:space="0" w:color="auto"/>
            <w:bottom w:val="none" w:sz="0" w:space="0" w:color="auto"/>
            <w:right w:val="none" w:sz="0" w:space="0" w:color="auto"/>
          </w:divBdr>
        </w:div>
      </w:divsChild>
    </w:div>
    <w:div w:id="887036739">
      <w:bodyDiv w:val="1"/>
      <w:marLeft w:val="0"/>
      <w:marRight w:val="0"/>
      <w:marTop w:val="0"/>
      <w:marBottom w:val="0"/>
      <w:divBdr>
        <w:top w:val="none" w:sz="0" w:space="0" w:color="auto"/>
        <w:left w:val="none" w:sz="0" w:space="0" w:color="auto"/>
        <w:bottom w:val="none" w:sz="0" w:space="0" w:color="auto"/>
        <w:right w:val="none" w:sz="0" w:space="0" w:color="auto"/>
      </w:divBdr>
    </w:div>
    <w:div w:id="902258027">
      <w:bodyDiv w:val="1"/>
      <w:marLeft w:val="0"/>
      <w:marRight w:val="0"/>
      <w:marTop w:val="0"/>
      <w:marBottom w:val="0"/>
      <w:divBdr>
        <w:top w:val="none" w:sz="0" w:space="0" w:color="auto"/>
        <w:left w:val="none" w:sz="0" w:space="0" w:color="auto"/>
        <w:bottom w:val="none" w:sz="0" w:space="0" w:color="auto"/>
        <w:right w:val="none" w:sz="0" w:space="0" w:color="auto"/>
      </w:divBdr>
    </w:div>
    <w:div w:id="906962861">
      <w:bodyDiv w:val="1"/>
      <w:marLeft w:val="0"/>
      <w:marRight w:val="0"/>
      <w:marTop w:val="0"/>
      <w:marBottom w:val="0"/>
      <w:divBdr>
        <w:top w:val="none" w:sz="0" w:space="0" w:color="auto"/>
        <w:left w:val="none" w:sz="0" w:space="0" w:color="auto"/>
        <w:bottom w:val="none" w:sz="0" w:space="0" w:color="auto"/>
        <w:right w:val="none" w:sz="0" w:space="0" w:color="auto"/>
      </w:divBdr>
    </w:div>
    <w:div w:id="920875111">
      <w:bodyDiv w:val="1"/>
      <w:marLeft w:val="0"/>
      <w:marRight w:val="0"/>
      <w:marTop w:val="0"/>
      <w:marBottom w:val="0"/>
      <w:divBdr>
        <w:top w:val="none" w:sz="0" w:space="0" w:color="auto"/>
        <w:left w:val="none" w:sz="0" w:space="0" w:color="auto"/>
        <w:bottom w:val="none" w:sz="0" w:space="0" w:color="auto"/>
        <w:right w:val="none" w:sz="0" w:space="0" w:color="auto"/>
      </w:divBdr>
    </w:div>
    <w:div w:id="933783538">
      <w:bodyDiv w:val="1"/>
      <w:marLeft w:val="0"/>
      <w:marRight w:val="0"/>
      <w:marTop w:val="0"/>
      <w:marBottom w:val="0"/>
      <w:divBdr>
        <w:top w:val="none" w:sz="0" w:space="0" w:color="auto"/>
        <w:left w:val="none" w:sz="0" w:space="0" w:color="auto"/>
        <w:bottom w:val="none" w:sz="0" w:space="0" w:color="auto"/>
        <w:right w:val="none" w:sz="0" w:space="0" w:color="auto"/>
      </w:divBdr>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953174069">
      <w:bodyDiv w:val="1"/>
      <w:marLeft w:val="0"/>
      <w:marRight w:val="0"/>
      <w:marTop w:val="0"/>
      <w:marBottom w:val="0"/>
      <w:divBdr>
        <w:top w:val="none" w:sz="0" w:space="0" w:color="auto"/>
        <w:left w:val="none" w:sz="0" w:space="0" w:color="auto"/>
        <w:bottom w:val="none" w:sz="0" w:space="0" w:color="auto"/>
        <w:right w:val="none" w:sz="0" w:space="0" w:color="auto"/>
      </w:divBdr>
    </w:div>
    <w:div w:id="973951674">
      <w:bodyDiv w:val="1"/>
      <w:marLeft w:val="0"/>
      <w:marRight w:val="0"/>
      <w:marTop w:val="0"/>
      <w:marBottom w:val="0"/>
      <w:divBdr>
        <w:top w:val="none" w:sz="0" w:space="0" w:color="auto"/>
        <w:left w:val="none" w:sz="0" w:space="0" w:color="auto"/>
        <w:bottom w:val="none" w:sz="0" w:space="0" w:color="auto"/>
        <w:right w:val="none" w:sz="0" w:space="0" w:color="auto"/>
      </w:divBdr>
    </w:div>
    <w:div w:id="981348186">
      <w:bodyDiv w:val="1"/>
      <w:marLeft w:val="0"/>
      <w:marRight w:val="0"/>
      <w:marTop w:val="0"/>
      <w:marBottom w:val="0"/>
      <w:divBdr>
        <w:top w:val="none" w:sz="0" w:space="0" w:color="auto"/>
        <w:left w:val="none" w:sz="0" w:space="0" w:color="auto"/>
        <w:bottom w:val="none" w:sz="0" w:space="0" w:color="auto"/>
        <w:right w:val="none" w:sz="0" w:space="0" w:color="auto"/>
      </w:divBdr>
      <w:divsChild>
        <w:div w:id="400642919">
          <w:marLeft w:val="0"/>
          <w:marRight w:val="0"/>
          <w:marTop w:val="165"/>
          <w:marBottom w:val="165"/>
          <w:divBdr>
            <w:top w:val="none" w:sz="0" w:space="0" w:color="auto"/>
            <w:left w:val="none" w:sz="0" w:space="0" w:color="auto"/>
            <w:bottom w:val="none" w:sz="0" w:space="0" w:color="auto"/>
            <w:right w:val="none" w:sz="0" w:space="0" w:color="auto"/>
          </w:divBdr>
          <w:divsChild>
            <w:div w:id="801535415">
              <w:marLeft w:val="0"/>
              <w:marRight w:val="0"/>
              <w:marTop w:val="0"/>
              <w:marBottom w:val="0"/>
              <w:divBdr>
                <w:top w:val="none" w:sz="0" w:space="0" w:color="auto"/>
                <w:left w:val="none" w:sz="0" w:space="0" w:color="auto"/>
                <w:bottom w:val="none" w:sz="0" w:space="0" w:color="auto"/>
                <w:right w:val="none" w:sz="0" w:space="0" w:color="auto"/>
              </w:divBdr>
              <w:divsChild>
                <w:div w:id="114512338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01079686">
          <w:marLeft w:val="0"/>
          <w:marRight w:val="0"/>
          <w:marTop w:val="0"/>
          <w:marBottom w:val="0"/>
          <w:divBdr>
            <w:top w:val="none" w:sz="0" w:space="0" w:color="auto"/>
            <w:left w:val="none" w:sz="0" w:space="0" w:color="auto"/>
            <w:bottom w:val="none" w:sz="0" w:space="0" w:color="auto"/>
            <w:right w:val="none" w:sz="0" w:space="0" w:color="auto"/>
          </w:divBdr>
          <w:divsChild>
            <w:div w:id="424956262">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001930799">
      <w:bodyDiv w:val="1"/>
      <w:marLeft w:val="0"/>
      <w:marRight w:val="0"/>
      <w:marTop w:val="0"/>
      <w:marBottom w:val="0"/>
      <w:divBdr>
        <w:top w:val="none" w:sz="0" w:space="0" w:color="auto"/>
        <w:left w:val="none" w:sz="0" w:space="0" w:color="auto"/>
        <w:bottom w:val="none" w:sz="0" w:space="0" w:color="auto"/>
        <w:right w:val="none" w:sz="0" w:space="0" w:color="auto"/>
      </w:divBdr>
    </w:div>
    <w:div w:id="1025442851">
      <w:bodyDiv w:val="1"/>
      <w:marLeft w:val="0"/>
      <w:marRight w:val="0"/>
      <w:marTop w:val="0"/>
      <w:marBottom w:val="0"/>
      <w:divBdr>
        <w:top w:val="none" w:sz="0" w:space="0" w:color="auto"/>
        <w:left w:val="none" w:sz="0" w:space="0" w:color="auto"/>
        <w:bottom w:val="none" w:sz="0" w:space="0" w:color="auto"/>
        <w:right w:val="none" w:sz="0" w:space="0" w:color="auto"/>
      </w:divBdr>
    </w:div>
    <w:div w:id="1045448895">
      <w:bodyDiv w:val="1"/>
      <w:marLeft w:val="0"/>
      <w:marRight w:val="0"/>
      <w:marTop w:val="0"/>
      <w:marBottom w:val="0"/>
      <w:divBdr>
        <w:top w:val="none" w:sz="0" w:space="0" w:color="auto"/>
        <w:left w:val="none" w:sz="0" w:space="0" w:color="auto"/>
        <w:bottom w:val="none" w:sz="0" w:space="0" w:color="auto"/>
        <w:right w:val="none" w:sz="0" w:space="0" w:color="auto"/>
      </w:divBdr>
    </w:div>
    <w:div w:id="1093862663">
      <w:bodyDiv w:val="1"/>
      <w:marLeft w:val="0"/>
      <w:marRight w:val="0"/>
      <w:marTop w:val="0"/>
      <w:marBottom w:val="0"/>
      <w:divBdr>
        <w:top w:val="none" w:sz="0" w:space="0" w:color="auto"/>
        <w:left w:val="none" w:sz="0" w:space="0" w:color="auto"/>
        <w:bottom w:val="none" w:sz="0" w:space="0" w:color="auto"/>
        <w:right w:val="none" w:sz="0" w:space="0" w:color="auto"/>
      </w:divBdr>
    </w:div>
    <w:div w:id="1127088711">
      <w:bodyDiv w:val="1"/>
      <w:marLeft w:val="0"/>
      <w:marRight w:val="0"/>
      <w:marTop w:val="0"/>
      <w:marBottom w:val="0"/>
      <w:divBdr>
        <w:top w:val="none" w:sz="0" w:space="0" w:color="auto"/>
        <w:left w:val="none" w:sz="0" w:space="0" w:color="auto"/>
        <w:bottom w:val="none" w:sz="0" w:space="0" w:color="auto"/>
        <w:right w:val="none" w:sz="0" w:space="0" w:color="auto"/>
      </w:divBdr>
    </w:div>
    <w:div w:id="1127160637">
      <w:bodyDiv w:val="1"/>
      <w:marLeft w:val="0"/>
      <w:marRight w:val="0"/>
      <w:marTop w:val="0"/>
      <w:marBottom w:val="0"/>
      <w:divBdr>
        <w:top w:val="none" w:sz="0" w:space="0" w:color="auto"/>
        <w:left w:val="none" w:sz="0" w:space="0" w:color="auto"/>
        <w:bottom w:val="none" w:sz="0" w:space="0" w:color="auto"/>
        <w:right w:val="none" w:sz="0" w:space="0" w:color="auto"/>
      </w:divBdr>
    </w:div>
    <w:div w:id="1140341126">
      <w:bodyDiv w:val="1"/>
      <w:marLeft w:val="0"/>
      <w:marRight w:val="0"/>
      <w:marTop w:val="0"/>
      <w:marBottom w:val="0"/>
      <w:divBdr>
        <w:top w:val="none" w:sz="0" w:space="0" w:color="auto"/>
        <w:left w:val="none" w:sz="0" w:space="0" w:color="auto"/>
        <w:bottom w:val="none" w:sz="0" w:space="0" w:color="auto"/>
        <w:right w:val="none" w:sz="0" w:space="0" w:color="auto"/>
      </w:divBdr>
    </w:div>
    <w:div w:id="1141850887">
      <w:bodyDiv w:val="1"/>
      <w:marLeft w:val="0"/>
      <w:marRight w:val="0"/>
      <w:marTop w:val="0"/>
      <w:marBottom w:val="0"/>
      <w:divBdr>
        <w:top w:val="none" w:sz="0" w:space="0" w:color="auto"/>
        <w:left w:val="none" w:sz="0" w:space="0" w:color="auto"/>
        <w:bottom w:val="none" w:sz="0" w:space="0" w:color="auto"/>
        <w:right w:val="none" w:sz="0" w:space="0" w:color="auto"/>
      </w:divBdr>
    </w:div>
    <w:div w:id="1163279139">
      <w:bodyDiv w:val="1"/>
      <w:marLeft w:val="0"/>
      <w:marRight w:val="0"/>
      <w:marTop w:val="0"/>
      <w:marBottom w:val="0"/>
      <w:divBdr>
        <w:top w:val="none" w:sz="0" w:space="0" w:color="auto"/>
        <w:left w:val="none" w:sz="0" w:space="0" w:color="auto"/>
        <w:bottom w:val="none" w:sz="0" w:space="0" w:color="auto"/>
        <w:right w:val="none" w:sz="0" w:space="0" w:color="auto"/>
      </w:divBdr>
    </w:div>
    <w:div w:id="1179738104">
      <w:bodyDiv w:val="1"/>
      <w:marLeft w:val="0"/>
      <w:marRight w:val="0"/>
      <w:marTop w:val="0"/>
      <w:marBottom w:val="0"/>
      <w:divBdr>
        <w:top w:val="none" w:sz="0" w:space="0" w:color="auto"/>
        <w:left w:val="none" w:sz="0" w:space="0" w:color="auto"/>
        <w:bottom w:val="none" w:sz="0" w:space="0" w:color="auto"/>
        <w:right w:val="none" w:sz="0" w:space="0" w:color="auto"/>
      </w:divBdr>
    </w:div>
    <w:div w:id="1182549562">
      <w:bodyDiv w:val="1"/>
      <w:marLeft w:val="0"/>
      <w:marRight w:val="0"/>
      <w:marTop w:val="0"/>
      <w:marBottom w:val="0"/>
      <w:divBdr>
        <w:top w:val="none" w:sz="0" w:space="0" w:color="auto"/>
        <w:left w:val="none" w:sz="0" w:space="0" w:color="auto"/>
        <w:bottom w:val="none" w:sz="0" w:space="0" w:color="auto"/>
        <w:right w:val="none" w:sz="0" w:space="0" w:color="auto"/>
      </w:divBdr>
    </w:div>
    <w:div w:id="1230581047">
      <w:bodyDiv w:val="1"/>
      <w:marLeft w:val="0"/>
      <w:marRight w:val="0"/>
      <w:marTop w:val="0"/>
      <w:marBottom w:val="0"/>
      <w:divBdr>
        <w:top w:val="none" w:sz="0" w:space="0" w:color="auto"/>
        <w:left w:val="none" w:sz="0" w:space="0" w:color="auto"/>
        <w:bottom w:val="none" w:sz="0" w:space="0" w:color="auto"/>
        <w:right w:val="none" w:sz="0" w:space="0" w:color="auto"/>
      </w:divBdr>
    </w:div>
    <w:div w:id="1254699809">
      <w:bodyDiv w:val="1"/>
      <w:marLeft w:val="0"/>
      <w:marRight w:val="0"/>
      <w:marTop w:val="0"/>
      <w:marBottom w:val="0"/>
      <w:divBdr>
        <w:top w:val="none" w:sz="0" w:space="0" w:color="auto"/>
        <w:left w:val="none" w:sz="0" w:space="0" w:color="auto"/>
        <w:bottom w:val="none" w:sz="0" w:space="0" w:color="auto"/>
        <w:right w:val="none" w:sz="0" w:space="0" w:color="auto"/>
      </w:divBdr>
    </w:div>
    <w:div w:id="1258519544">
      <w:bodyDiv w:val="1"/>
      <w:marLeft w:val="0"/>
      <w:marRight w:val="0"/>
      <w:marTop w:val="0"/>
      <w:marBottom w:val="0"/>
      <w:divBdr>
        <w:top w:val="none" w:sz="0" w:space="0" w:color="auto"/>
        <w:left w:val="none" w:sz="0" w:space="0" w:color="auto"/>
        <w:bottom w:val="none" w:sz="0" w:space="0" w:color="auto"/>
        <w:right w:val="none" w:sz="0" w:space="0" w:color="auto"/>
      </w:divBdr>
    </w:div>
    <w:div w:id="1262255053">
      <w:bodyDiv w:val="1"/>
      <w:marLeft w:val="0"/>
      <w:marRight w:val="0"/>
      <w:marTop w:val="0"/>
      <w:marBottom w:val="0"/>
      <w:divBdr>
        <w:top w:val="none" w:sz="0" w:space="0" w:color="auto"/>
        <w:left w:val="none" w:sz="0" w:space="0" w:color="auto"/>
        <w:bottom w:val="none" w:sz="0" w:space="0" w:color="auto"/>
        <w:right w:val="none" w:sz="0" w:space="0" w:color="auto"/>
      </w:divBdr>
    </w:div>
    <w:div w:id="1263104533">
      <w:bodyDiv w:val="1"/>
      <w:marLeft w:val="0"/>
      <w:marRight w:val="0"/>
      <w:marTop w:val="0"/>
      <w:marBottom w:val="0"/>
      <w:divBdr>
        <w:top w:val="none" w:sz="0" w:space="0" w:color="auto"/>
        <w:left w:val="none" w:sz="0" w:space="0" w:color="auto"/>
        <w:bottom w:val="none" w:sz="0" w:space="0" w:color="auto"/>
        <w:right w:val="none" w:sz="0" w:space="0" w:color="auto"/>
      </w:divBdr>
    </w:div>
    <w:div w:id="1271863912">
      <w:bodyDiv w:val="1"/>
      <w:marLeft w:val="0"/>
      <w:marRight w:val="0"/>
      <w:marTop w:val="0"/>
      <w:marBottom w:val="0"/>
      <w:divBdr>
        <w:top w:val="none" w:sz="0" w:space="0" w:color="auto"/>
        <w:left w:val="none" w:sz="0" w:space="0" w:color="auto"/>
        <w:bottom w:val="none" w:sz="0" w:space="0" w:color="auto"/>
        <w:right w:val="none" w:sz="0" w:space="0" w:color="auto"/>
      </w:divBdr>
    </w:div>
    <w:div w:id="1289243550">
      <w:bodyDiv w:val="1"/>
      <w:marLeft w:val="0"/>
      <w:marRight w:val="0"/>
      <w:marTop w:val="0"/>
      <w:marBottom w:val="0"/>
      <w:divBdr>
        <w:top w:val="none" w:sz="0" w:space="0" w:color="auto"/>
        <w:left w:val="none" w:sz="0" w:space="0" w:color="auto"/>
        <w:bottom w:val="none" w:sz="0" w:space="0" w:color="auto"/>
        <w:right w:val="none" w:sz="0" w:space="0" w:color="auto"/>
      </w:divBdr>
    </w:div>
    <w:div w:id="1309869298">
      <w:bodyDiv w:val="1"/>
      <w:marLeft w:val="0"/>
      <w:marRight w:val="0"/>
      <w:marTop w:val="0"/>
      <w:marBottom w:val="0"/>
      <w:divBdr>
        <w:top w:val="none" w:sz="0" w:space="0" w:color="auto"/>
        <w:left w:val="none" w:sz="0" w:space="0" w:color="auto"/>
        <w:bottom w:val="none" w:sz="0" w:space="0" w:color="auto"/>
        <w:right w:val="none" w:sz="0" w:space="0" w:color="auto"/>
      </w:divBdr>
    </w:div>
    <w:div w:id="1320420046">
      <w:bodyDiv w:val="1"/>
      <w:marLeft w:val="0"/>
      <w:marRight w:val="0"/>
      <w:marTop w:val="0"/>
      <w:marBottom w:val="0"/>
      <w:divBdr>
        <w:top w:val="none" w:sz="0" w:space="0" w:color="auto"/>
        <w:left w:val="none" w:sz="0" w:space="0" w:color="auto"/>
        <w:bottom w:val="none" w:sz="0" w:space="0" w:color="auto"/>
        <w:right w:val="none" w:sz="0" w:space="0" w:color="auto"/>
      </w:divBdr>
      <w:divsChild>
        <w:div w:id="865020236">
          <w:marLeft w:val="0"/>
          <w:marRight w:val="0"/>
          <w:marTop w:val="0"/>
          <w:marBottom w:val="0"/>
          <w:divBdr>
            <w:top w:val="none" w:sz="0" w:space="0" w:color="auto"/>
            <w:left w:val="none" w:sz="0" w:space="0" w:color="auto"/>
            <w:bottom w:val="none" w:sz="0" w:space="0" w:color="auto"/>
            <w:right w:val="none" w:sz="0" w:space="0" w:color="auto"/>
          </w:divBdr>
        </w:div>
      </w:divsChild>
    </w:div>
    <w:div w:id="1326783882">
      <w:bodyDiv w:val="1"/>
      <w:marLeft w:val="0"/>
      <w:marRight w:val="0"/>
      <w:marTop w:val="0"/>
      <w:marBottom w:val="0"/>
      <w:divBdr>
        <w:top w:val="none" w:sz="0" w:space="0" w:color="auto"/>
        <w:left w:val="none" w:sz="0" w:space="0" w:color="auto"/>
        <w:bottom w:val="none" w:sz="0" w:space="0" w:color="auto"/>
        <w:right w:val="none" w:sz="0" w:space="0" w:color="auto"/>
      </w:divBdr>
      <w:divsChild>
        <w:div w:id="1962416889">
          <w:marLeft w:val="0"/>
          <w:marRight w:val="0"/>
          <w:marTop w:val="0"/>
          <w:marBottom w:val="0"/>
          <w:divBdr>
            <w:top w:val="none" w:sz="0" w:space="0" w:color="auto"/>
            <w:left w:val="none" w:sz="0" w:space="0" w:color="auto"/>
            <w:bottom w:val="none" w:sz="0" w:space="0" w:color="auto"/>
            <w:right w:val="none" w:sz="0" w:space="0" w:color="auto"/>
          </w:divBdr>
        </w:div>
      </w:divsChild>
    </w:div>
    <w:div w:id="1342466251">
      <w:bodyDiv w:val="1"/>
      <w:marLeft w:val="0"/>
      <w:marRight w:val="0"/>
      <w:marTop w:val="0"/>
      <w:marBottom w:val="0"/>
      <w:divBdr>
        <w:top w:val="none" w:sz="0" w:space="0" w:color="auto"/>
        <w:left w:val="none" w:sz="0" w:space="0" w:color="auto"/>
        <w:bottom w:val="none" w:sz="0" w:space="0" w:color="auto"/>
        <w:right w:val="none" w:sz="0" w:space="0" w:color="auto"/>
      </w:divBdr>
      <w:divsChild>
        <w:div w:id="1854146422">
          <w:marLeft w:val="0"/>
          <w:marRight w:val="0"/>
          <w:marTop w:val="0"/>
          <w:marBottom w:val="0"/>
          <w:divBdr>
            <w:top w:val="none" w:sz="0" w:space="0" w:color="auto"/>
            <w:left w:val="none" w:sz="0" w:space="0" w:color="auto"/>
            <w:bottom w:val="none" w:sz="0" w:space="0" w:color="auto"/>
            <w:right w:val="none" w:sz="0" w:space="0" w:color="auto"/>
          </w:divBdr>
        </w:div>
      </w:divsChild>
    </w:div>
    <w:div w:id="1346128734">
      <w:bodyDiv w:val="1"/>
      <w:marLeft w:val="0"/>
      <w:marRight w:val="0"/>
      <w:marTop w:val="0"/>
      <w:marBottom w:val="0"/>
      <w:divBdr>
        <w:top w:val="none" w:sz="0" w:space="0" w:color="auto"/>
        <w:left w:val="none" w:sz="0" w:space="0" w:color="auto"/>
        <w:bottom w:val="none" w:sz="0" w:space="0" w:color="auto"/>
        <w:right w:val="none" w:sz="0" w:space="0" w:color="auto"/>
      </w:divBdr>
    </w:div>
    <w:div w:id="1367096909">
      <w:bodyDiv w:val="1"/>
      <w:marLeft w:val="0"/>
      <w:marRight w:val="0"/>
      <w:marTop w:val="0"/>
      <w:marBottom w:val="0"/>
      <w:divBdr>
        <w:top w:val="none" w:sz="0" w:space="0" w:color="auto"/>
        <w:left w:val="none" w:sz="0" w:space="0" w:color="auto"/>
        <w:bottom w:val="none" w:sz="0" w:space="0" w:color="auto"/>
        <w:right w:val="none" w:sz="0" w:space="0" w:color="auto"/>
      </w:divBdr>
    </w:div>
    <w:div w:id="1369572064">
      <w:bodyDiv w:val="1"/>
      <w:marLeft w:val="0"/>
      <w:marRight w:val="0"/>
      <w:marTop w:val="0"/>
      <w:marBottom w:val="0"/>
      <w:divBdr>
        <w:top w:val="none" w:sz="0" w:space="0" w:color="auto"/>
        <w:left w:val="none" w:sz="0" w:space="0" w:color="auto"/>
        <w:bottom w:val="none" w:sz="0" w:space="0" w:color="auto"/>
        <w:right w:val="none" w:sz="0" w:space="0" w:color="auto"/>
      </w:divBdr>
    </w:div>
    <w:div w:id="1371032355">
      <w:bodyDiv w:val="1"/>
      <w:marLeft w:val="0"/>
      <w:marRight w:val="0"/>
      <w:marTop w:val="0"/>
      <w:marBottom w:val="0"/>
      <w:divBdr>
        <w:top w:val="none" w:sz="0" w:space="0" w:color="auto"/>
        <w:left w:val="none" w:sz="0" w:space="0" w:color="auto"/>
        <w:bottom w:val="none" w:sz="0" w:space="0" w:color="auto"/>
        <w:right w:val="none" w:sz="0" w:space="0" w:color="auto"/>
      </w:divBdr>
    </w:div>
    <w:div w:id="1384477634">
      <w:bodyDiv w:val="1"/>
      <w:marLeft w:val="0"/>
      <w:marRight w:val="0"/>
      <w:marTop w:val="0"/>
      <w:marBottom w:val="0"/>
      <w:divBdr>
        <w:top w:val="none" w:sz="0" w:space="0" w:color="auto"/>
        <w:left w:val="none" w:sz="0" w:space="0" w:color="auto"/>
        <w:bottom w:val="none" w:sz="0" w:space="0" w:color="auto"/>
        <w:right w:val="none" w:sz="0" w:space="0" w:color="auto"/>
      </w:divBdr>
    </w:div>
    <w:div w:id="1388644944">
      <w:bodyDiv w:val="1"/>
      <w:marLeft w:val="0"/>
      <w:marRight w:val="0"/>
      <w:marTop w:val="0"/>
      <w:marBottom w:val="0"/>
      <w:divBdr>
        <w:top w:val="none" w:sz="0" w:space="0" w:color="auto"/>
        <w:left w:val="none" w:sz="0" w:space="0" w:color="auto"/>
        <w:bottom w:val="none" w:sz="0" w:space="0" w:color="auto"/>
        <w:right w:val="none" w:sz="0" w:space="0" w:color="auto"/>
      </w:divBdr>
    </w:div>
    <w:div w:id="1397169234">
      <w:bodyDiv w:val="1"/>
      <w:marLeft w:val="0"/>
      <w:marRight w:val="0"/>
      <w:marTop w:val="0"/>
      <w:marBottom w:val="0"/>
      <w:divBdr>
        <w:top w:val="none" w:sz="0" w:space="0" w:color="auto"/>
        <w:left w:val="none" w:sz="0" w:space="0" w:color="auto"/>
        <w:bottom w:val="none" w:sz="0" w:space="0" w:color="auto"/>
        <w:right w:val="none" w:sz="0" w:space="0" w:color="auto"/>
      </w:divBdr>
    </w:div>
    <w:div w:id="1402024694">
      <w:bodyDiv w:val="1"/>
      <w:marLeft w:val="0"/>
      <w:marRight w:val="0"/>
      <w:marTop w:val="0"/>
      <w:marBottom w:val="0"/>
      <w:divBdr>
        <w:top w:val="none" w:sz="0" w:space="0" w:color="auto"/>
        <w:left w:val="none" w:sz="0" w:space="0" w:color="auto"/>
        <w:bottom w:val="none" w:sz="0" w:space="0" w:color="auto"/>
        <w:right w:val="none" w:sz="0" w:space="0" w:color="auto"/>
      </w:divBdr>
    </w:div>
    <w:div w:id="1405373356">
      <w:bodyDiv w:val="1"/>
      <w:marLeft w:val="0"/>
      <w:marRight w:val="0"/>
      <w:marTop w:val="0"/>
      <w:marBottom w:val="0"/>
      <w:divBdr>
        <w:top w:val="none" w:sz="0" w:space="0" w:color="auto"/>
        <w:left w:val="none" w:sz="0" w:space="0" w:color="auto"/>
        <w:bottom w:val="none" w:sz="0" w:space="0" w:color="auto"/>
        <w:right w:val="none" w:sz="0" w:space="0" w:color="auto"/>
      </w:divBdr>
    </w:div>
    <w:div w:id="1413090312">
      <w:bodyDiv w:val="1"/>
      <w:marLeft w:val="0"/>
      <w:marRight w:val="0"/>
      <w:marTop w:val="0"/>
      <w:marBottom w:val="0"/>
      <w:divBdr>
        <w:top w:val="none" w:sz="0" w:space="0" w:color="auto"/>
        <w:left w:val="none" w:sz="0" w:space="0" w:color="auto"/>
        <w:bottom w:val="none" w:sz="0" w:space="0" w:color="auto"/>
        <w:right w:val="none" w:sz="0" w:space="0" w:color="auto"/>
      </w:divBdr>
    </w:div>
    <w:div w:id="1439325840">
      <w:bodyDiv w:val="1"/>
      <w:marLeft w:val="0"/>
      <w:marRight w:val="0"/>
      <w:marTop w:val="0"/>
      <w:marBottom w:val="0"/>
      <w:divBdr>
        <w:top w:val="none" w:sz="0" w:space="0" w:color="auto"/>
        <w:left w:val="none" w:sz="0" w:space="0" w:color="auto"/>
        <w:bottom w:val="none" w:sz="0" w:space="0" w:color="auto"/>
        <w:right w:val="none" w:sz="0" w:space="0" w:color="auto"/>
      </w:divBdr>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461878451">
      <w:bodyDiv w:val="1"/>
      <w:marLeft w:val="0"/>
      <w:marRight w:val="0"/>
      <w:marTop w:val="0"/>
      <w:marBottom w:val="0"/>
      <w:divBdr>
        <w:top w:val="none" w:sz="0" w:space="0" w:color="auto"/>
        <w:left w:val="none" w:sz="0" w:space="0" w:color="auto"/>
        <w:bottom w:val="none" w:sz="0" w:space="0" w:color="auto"/>
        <w:right w:val="none" w:sz="0" w:space="0" w:color="auto"/>
      </w:divBdr>
    </w:div>
    <w:div w:id="1497450750">
      <w:bodyDiv w:val="1"/>
      <w:marLeft w:val="0"/>
      <w:marRight w:val="0"/>
      <w:marTop w:val="0"/>
      <w:marBottom w:val="0"/>
      <w:divBdr>
        <w:top w:val="none" w:sz="0" w:space="0" w:color="auto"/>
        <w:left w:val="none" w:sz="0" w:space="0" w:color="auto"/>
        <w:bottom w:val="none" w:sz="0" w:space="0" w:color="auto"/>
        <w:right w:val="none" w:sz="0" w:space="0" w:color="auto"/>
      </w:divBdr>
    </w:div>
    <w:div w:id="1500579556">
      <w:bodyDiv w:val="1"/>
      <w:marLeft w:val="0"/>
      <w:marRight w:val="0"/>
      <w:marTop w:val="0"/>
      <w:marBottom w:val="0"/>
      <w:divBdr>
        <w:top w:val="none" w:sz="0" w:space="0" w:color="auto"/>
        <w:left w:val="none" w:sz="0" w:space="0" w:color="auto"/>
        <w:bottom w:val="none" w:sz="0" w:space="0" w:color="auto"/>
        <w:right w:val="none" w:sz="0" w:space="0" w:color="auto"/>
      </w:divBdr>
    </w:div>
    <w:div w:id="1503427585">
      <w:bodyDiv w:val="1"/>
      <w:marLeft w:val="0"/>
      <w:marRight w:val="0"/>
      <w:marTop w:val="0"/>
      <w:marBottom w:val="0"/>
      <w:divBdr>
        <w:top w:val="none" w:sz="0" w:space="0" w:color="auto"/>
        <w:left w:val="none" w:sz="0" w:space="0" w:color="auto"/>
        <w:bottom w:val="none" w:sz="0" w:space="0" w:color="auto"/>
        <w:right w:val="none" w:sz="0" w:space="0" w:color="auto"/>
      </w:divBdr>
    </w:div>
    <w:div w:id="1507555121">
      <w:bodyDiv w:val="1"/>
      <w:marLeft w:val="0"/>
      <w:marRight w:val="0"/>
      <w:marTop w:val="0"/>
      <w:marBottom w:val="0"/>
      <w:divBdr>
        <w:top w:val="none" w:sz="0" w:space="0" w:color="auto"/>
        <w:left w:val="none" w:sz="0" w:space="0" w:color="auto"/>
        <w:bottom w:val="none" w:sz="0" w:space="0" w:color="auto"/>
        <w:right w:val="none" w:sz="0" w:space="0" w:color="auto"/>
      </w:divBdr>
    </w:div>
    <w:div w:id="1510556535">
      <w:bodyDiv w:val="1"/>
      <w:marLeft w:val="0"/>
      <w:marRight w:val="0"/>
      <w:marTop w:val="0"/>
      <w:marBottom w:val="0"/>
      <w:divBdr>
        <w:top w:val="none" w:sz="0" w:space="0" w:color="auto"/>
        <w:left w:val="none" w:sz="0" w:space="0" w:color="auto"/>
        <w:bottom w:val="none" w:sz="0" w:space="0" w:color="auto"/>
        <w:right w:val="none" w:sz="0" w:space="0" w:color="auto"/>
      </w:divBdr>
    </w:div>
    <w:div w:id="1560826705">
      <w:bodyDiv w:val="1"/>
      <w:marLeft w:val="0"/>
      <w:marRight w:val="0"/>
      <w:marTop w:val="0"/>
      <w:marBottom w:val="0"/>
      <w:divBdr>
        <w:top w:val="none" w:sz="0" w:space="0" w:color="auto"/>
        <w:left w:val="none" w:sz="0" w:space="0" w:color="auto"/>
        <w:bottom w:val="none" w:sz="0" w:space="0" w:color="auto"/>
        <w:right w:val="none" w:sz="0" w:space="0" w:color="auto"/>
      </w:divBdr>
    </w:div>
    <w:div w:id="1563712365">
      <w:bodyDiv w:val="1"/>
      <w:marLeft w:val="0"/>
      <w:marRight w:val="0"/>
      <w:marTop w:val="0"/>
      <w:marBottom w:val="0"/>
      <w:divBdr>
        <w:top w:val="none" w:sz="0" w:space="0" w:color="auto"/>
        <w:left w:val="none" w:sz="0" w:space="0" w:color="auto"/>
        <w:bottom w:val="none" w:sz="0" w:space="0" w:color="auto"/>
        <w:right w:val="none" w:sz="0" w:space="0" w:color="auto"/>
      </w:divBdr>
    </w:div>
    <w:div w:id="1570386003">
      <w:bodyDiv w:val="1"/>
      <w:marLeft w:val="0"/>
      <w:marRight w:val="0"/>
      <w:marTop w:val="0"/>
      <w:marBottom w:val="0"/>
      <w:divBdr>
        <w:top w:val="none" w:sz="0" w:space="0" w:color="auto"/>
        <w:left w:val="none" w:sz="0" w:space="0" w:color="auto"/>
        <w:bottom w:val="none" w:sz="0" w:space="0" w:color="auto"/>
        <w:right w:val="none" w:sz="0" w:space="0" w:color="auto"/>
      </w:divBdr>
      <w:divsChild>
        <w:div w:id="1346321067">
          <w:marLeft w:val="0"/>
          <w:marRight w:val="0"/>
          <w:marTop w:val="0"/>
          <w:marBottom w:val="0"/>
          <w:divBdr>
            <w:top w:val="none" w:sz="0" w:space="0" w:color="auto"/>
            <w:left w:val="none" w:sz="0" w:space="0" w:color="auto"/>
            <w:bottom w:val="none" w:sz="0" w:space="0" w:color="auto"/>
            <w:right w:val="none" w:sz="0" w:space="0" w:color="auto"/>
          </w:divBdr>
        </w:div>
      </w:divsChild>
    </w:div>
    <w:div w:id="1583025555">
      <w:bodyDiv w:val="1"/>
      <w:marLeft w:val="0"/>
      <w:marRight w:val="0"/>
      <w:marTop w:val="0"/>
      <w:marBottom w:val="0"/>
      <w:divBdr>
        <w:top w:val="none" w:sz="0" w:space="0" w:color="auto"/>
        <w:left w:val="none" w:sz="0" w:space="0" w:color="auto"/>
        <w:bottom w:val="none" w:sz="0" w:space="0" w:color="auto"/>
        <w:right w:val="none" w:sz="0" w:space="0" w:color="auto"/>
      </w:divBdr>
    </w:div>
    <w:div w:id="1606621577">
      <w:bodyDiv w:val="1"/>
      <w:marLeft w:val="0"/>
      <w:marRight w:val="0"/>
      <w:marTop w:val="0"/>
      <w:marBottom w:val="0"/>
      <w:divBdr>
        <w:top w:val="none" w:sz="0" w:space="0" w:color="auto"/>
        <w:left w:val="none" w:sz="0" w:space="0" w:color="auto"/>
        <w:bottom w:val="none" w:sz="0" w:space="0" w:color="auto"/>
        <w:right w:val="none" w:sz="0" w:space="0" w:color="auto"/>
      </w:divBdr>
    </w:div>
    <w:div w:id="1617982278">
      <w:bodyDiv w:val="1"/>
      <w:marLeft w:val="0"/>
      <w:marRight w:val="0"/>
      <w:marTop w:val="0"/>
      <w:marBottom w:val="0"/>
      <w:divBdr>
        <w:top w:val="none" w:sz="0" w:space="0" w:color="auto"/>
        <w:left w:val="none" w:sz="0" w:space="0" w:color="auto"/>
        <w:bottom w:val="none" w:sz="0" w:space="0" w:color="auto"/>
        <w:right w:val="none" w:sz="0" w:space="0" w:color="auto"/>
      </w:divBdr>
    </w:div>
    <w:div w:id="1626034697">
      <w:bodyDiv w:val="1"/>
      <w:marLeft w:val="0"/>
      <w:marRight w:val="0"/>
      <w:marTop w:val="0"/>
      <w:marBottom w:val="0"/>
      <w:divBdr>
        <w:top w:val="none" w:sz="0" w:space="0" w:color="auto"/>
        <w:left w:val="none" w:sz="0" w:space="0" w:color="auto"/>
        <w:bottom w:val="none" w:sz="0" w:space="0" w:color="auto"/>
        <w:right w:val="none" w:sz="0" w:space="0" w:color="auto"/>
      </w:divBdr>
    </w:div>
    <w:div w:id="1627275512">
      <w:bodyDiv w:val="1"/>
      <w:marLeft w:val="0"/>
      <w:marRight w:val="0"/>
      <w:marTop w:val="0"/>
      <w:marBottom w:val="0"/>
      <w:divBdr>
        <w:top w:val="none" w:sz="0" w:space="0" w:color="auto"/>
        <w:left w:val="none" w:sz="0" w:space="0" w:color="auto"/>
        <w:bottom w:val="none" w:sz="0" w:space="0" w:color="auto"/>
        <w:right w:val="none" w:sz="0" w:space="0" w:color="auto"/>
      </w:divBdr>
    </w:div>
    <w:div w:id="1627808995">
      <w:bodyDiv w:val="1"/>
      <w:marLeft w:val="0"/>
      <w:marRight w:val="0"/>
      <w:marTop w:val="0"/>
      <w:marBottom w:val="0"/>
      <w:divBdr>
        <w:top w:val="none" w:sz="0" w:space="0" w:color="auto"/>
        <w:left w:val="none" w:sz="0" w:space="0" w:color="auto"/>
        <w:bottom w:val="none" w:sz="0" w:space="0" w:color="auto"/>
        <w:right w:val="none" w:sz="0" w:space="0" w:color="auto"/>
      </w:divBdr>
    </w:div>
    <w:div w:id="1646086626">
      <w:bodyDiv w:val="1"/>
      <w:marLeft w:val="0"/>
      <w:marRight w:val="0"/>
      <w:marTop w:val="0"/>
      <w:marBottom w:val="0"/>
      <w:divBdr>
        <w:top w:val="none" w:sz="0" w:space="0" w:color="auto"/>
        <w:left w:val="none" w:sz="0" w:space="0" w:color="auto"/>
        <w:bottom w:val="none" w:sz="0" w:space="0" w:color="auto"/>
        <w:right w:val="none" w:sz="0" w:space="0" w:color="auto"/>
      </w:divBdr>
    </w:div>
    <w:div w:id="1655328487">
      <w:bodyDiv w:val="1"/>
      <w:marLeft w:val="0"/>
      <w:marRight w:val="0"/>
      <w:marTop w:val="0"/>
      <w:marBottom w:val="0"/>
      <w:divBdr>
        <w:top w:val="none" w:sz="0" w:space="0" w:color="auto"/>
        <w:left w:val="none" w:sz="0" w:space="0" w:color="auto"/>
        <w:bottom w:val="none" w:sz="0" w:space="0" w:color="auto"/>
        <w:right w:val="none" w:sz="0" w:space="0" w:color="auto"/>
      </w:divBdr>
      <w:divsChild>
        <w:div w:id="1595937539">
          <w:marLeft w:val="274"/>
          <w:marRight w:val="0"/>
          <w:marTop w:val="0"/>
          <w:marBottom w:val="120"/>
          <w:divBdr>
            <w:top w:val="none" w:sz="0" w:space="0" w:color="auto"/>
            <w:left w:val="none" w:sz="0" w:space="0" w:color="auto"/>
            <w:bottom w:val="none" w:sz="0" w:space="0" w:color="auto"/>
            <w:right w:val="none" w:sz="0" w:space="0" w:color="auto"/>
          </w:divBdr>
        </w:div>
      </w:divsChild>
    </w:div>
    <w:div w:id="1671517470">
      <w:bodyDiv w:val="1"/>
      <w:marLeft w:val="0"/>
      <w:marRight w:val="0"/>
      <w:marTop w:val="0"/>
      <w:marBottom w:val="0"/>
      <w:divBdr>
        <w:top w:val="none" w:sz="0" w:space="0" w:color="auto"/>
        <w:left w:val="none" w:sz="0" w:space="0" w:color="auto"/>
        <w:bottom w:val="none" w:sz="0" w:space="0" w:color="auto"/>
        <w:right w:val="none" w:sz="0" w:space="0" w:color="auto"/>
      </w:divBdr>
      <w:divsChild>
        <w:div w:id="543181198">
          <w:marLeft w:val="446"/>
          <w:marRight w:val="0"/>
          <w:marTop w:val="0"/>
          <w:marBottom w:val="120"/>
          <w:divBdr>
            <w:top w:val="none" w:sz="0" w:space="0" w:color="auto"/>
            <w:left w:val="none" w:sz="0" w:space="0" w:color="auto"/>
            <w:bottom w:val="none" w:sz="0" w:space="0" w:color="auto"/>
            <w:right w:val="none" w:sz="0" w:space="0" w:color="auto"/>
          </w:divBdr>
        </w:div>
        <w:div w:id="917786989">
          <w:marLeft w:val="446"/>
          <w:marRight w:val="0"/>
          <w:marTop w:val="0"/>
          <w:marBottom w:val="120"/>
          <w:divBdr>
            <w:top w:val="none" w:sz="0" w:space="0" w:color="auto"/>
            <w:left w:val="none" w:sz="0" w:space="0" w:color="auto"/>
            <w:bottom w:val="none" w:sz="0" w:space="0" w:color="auto"/>
            <w:right w:val="none" w:sz="0" w:space="0" w:color="auto"/>
          </w:divBdr>
        </w:div>
        <w:div w:id="1529491450">
          <w:marLeft w:val="446"/>
          <w:marRight w:val="0"/>
          <w:marTop w:val="0"/>
          <w:marBottom w:val="120"/>
          <w:divBdr>
            <w:top w:val="none" w:sz="0" w:space="0" w:color="auto"/>
            <w:left w:val="none" w:sz="0" w:space="0" w:color="auto"/>
            <w:bottom w:val="none" w:sz="0" w:space="0" w:color="auto"/>
            <w:right w:val="none" w:sz="0" w:space="0" w:color="auto"/>
          </w:divBdr>
        </w:div>
        <w:div w:id="1818380662">
          <w:marLeft w:val="446"/>
          <w:marRight w:val="0"/>
          <w:marTop w:val="0"/>
          <w:marBottom w:val="120"/>
          <w:divBdr>
            <w:top w:val="none" w:sz="0" w:space="0" w:color="auto"/>
            <w:left w:val="none" w:sz="0" w:space="0" w:color="auto"/>
            <w:bottom w:val="none" w:sz="0" w:space="0" w:color="auto"/>
            <w:right w:val="none" w:sz="0" w:space="0" w:color="auto"/>
          </w:divBdr>
        </w:div>
      </w:divsChild>
    </w:div>
    <w:div w:id="1689672657">
      <w:bodyDiv w:val="1"/>
      <w:marLeft w:val="0"/>
      <w:marRight w:val="0"/>
      <w:marTop w:val="0"/>
      <w:marBottom w:val="0"/>
      <w:divBdr>
        <w:top w:val="none" w:sz="0" w:space="0" w:color="auto"/>
        <w:left w:val="none" w:sz="0" w:space="0" w:color="auto"/>
        <w:bottom w:val="none" w:sz="0" w:space="0" w:color="auto"/>
        <w:right w:val="none" w:sz="0" w:space="0" w:color="auto"/>
      </w:divBdr>
    </w:div>
    <w:div w:id="1698696215">
      <w:bodyDiv w:val="1"/>
      <w:marLeft w:val="0"/>
      <w:marRight w:val="0"/>
      <w:marTop w:val="0"/>
      <w:marBottom w:val="0"/>
      <w:divBdr>
        <w:top w:val="none" w:sz="0" w:space="0" w:color="auto"/>
        <w:left w:val="none" w:sz="0" w:space="0" w:color="auto"/>
        <w:bottom w:val="none" w:sz="0" w:space="0" w:color="auto"/>
        <w:right w:val="none" w:sz="0" w:space="0" w:color="auto"/>
      </w:divBdr>
      <w:divsChild>
        <w:div w:id="270550963">
          <w:marLeft w:val="144"/>
          <w:marRight w:val="144"/>
          <w:marTop w:val="0"/>
          <w:marBottom w:val="115"/>
          <w:divBdr>
            <w:top w:val="none" w:sz="0" w:space="0" w:color="auto"/>
            <w:left w:val="none" w:sz="0" w:space="0" w:color="auto"/>
            <w:bottom w:val="none" w:sz="0" w:space="0" w:color="auto"/>
            <w:right w:val="none" w:sz="0" w:space="0" w:color="auto"/>
          </w:divBdr>
        </w:div>
        <w:div w:id="757403224">
          <w:marLeft w:val="144"/>
          <w:marRight w:val="144"/>
          <w:marTop w:val="0"/>
          <w:marBottom w:val="216"/>
          <w:divBdr>
            <w:top w:val="none" w:sz="0" w:space="0" w:color="auto"/>
            <w:left w:val="none" w:sz="0" w:space="0" w:color="auto"/>
            <w:bottom w:val="none" w:sz="0" w:space="0" w:color="auto"/>
            <w:right w:val="none" w:sz="0" w:space="0" w:color="auto"/>
          </w:divBdr>
        </w:div>
      </w:divsChild>
    </w:div>
    <w:div w:id="1705907799">
      <w:bodyDiv w:val="1"/>
      <w:marLeft w:val="0"/>
      <w:marRight w:val="0"/>
      <w:marTop w:val="0"/>
      <w:marBottom w:val="0"/>
      <w:divBdr>
        <w:top w:val="none" w:sz="0" w:space="0" w:color="auto"/>
        <w:left w:val="none" w:sz="0" w:space="0" w:color="auto"/>
        <w:bottom w:val="none" w:sz="0" w:space="0" w:color="auto"/>
        <w:right w:val="none" w:sz="0" w:space="0" w:color="auto"/>
      </w:divBdr>
    </w:div>
    <w:div w:id="1782534188">
      <w:bodyDiv w:val="1"/>
      <w:marLeft w:val="0"/>
      <w:marRight w:val="0"/>
      <w:marTop w:val="0"/>
      <w:marBottom w:val="0"/>
      <w:divBdr>
        <w:top w:val="none" w:sz="0" w:space="0" w:color="auto"/>
        <w:left w:val="none" w:sz="0" w:space="0" w:color="auto"/>
        <w:bottom w:val="none" w:sz="0" w:space="0" w:color="auto"/>
        <w:right w:val="none" w:sz="0" w:space="0" w:color="auto"/>
      </w:divBdr>
    </w:div>
    <w:div w:id="1789858148">
      <w:bodyDiv w:val="1"/>
      <w:marLeft w:val="0"/>
      <w:marRight w:val="0"/>
      <w:marTop w:val="0"/>
      <w:marBottom w:val="0"/>
      <w:divBdr>
        <w:top w:val="none" w:sz="0" w:space="0" w:color="auto"/>
        <w:left w:val="none" w:sz="0" w:space="0" w:color="auto"/>
        <w:bottom w:val="none" w:sz="0" w:space="0" w:color="auto"/>
        <w:right w:val="none" w:sz="0" w:space="0" w:color="auto"/>
      </w:divBdr>
    </w:div>
    <w:div w:id="1794640216">
      <w:bodyDiv w:val="1"/>
      <w:marLeft w:val="0"/>
      <w:marRight w:val="0"/>
      <w:marTop w:val="0"/>
      <w:marBottom w:val="0"/>
      <w:divBdr>
        <w:top w:val="none" w:sz="0" w:space="0" w:color="auto"/>
        <w:left w:val="none" w:sz="0" w:space="0" w:color="auto"/>
        <w:bottom w:val="none" w:sz="0" w:space="0" w:color="auto"/>
        <w:right w:val="none" w:sz="0" w:space="0" w:color="auto"/>
      </w:divBdr>
    </w:div>
    <w:div w:id="1809663587">
      <w:bodyDiv w:val="1"/>
      <w:marLeft w:val="0"/>
      <w:marRight w:val="0"/>
      <w:marTop w:val="0"/>
      <w:marBottom w:val="0"/>
      <w:divBdr>
        <w:top w:val="none" w:sz="0" w:space="0" w:color="auto"/>
        <w:left w:val="none" w:sz="0" w:space="0" w:color="auto"/>
        <w:bottom w:val="none" w:sz="0" w:space="0" w:color="auto"/>
        <w:right w:val="none" w:sz="0" w:space="0" w:color="auto"/>
      </w:divBdr>
    </w:div>
    <w:div w:id="1844084637">
      <w:bodyDiv w:val="1"/>
      <w:marLeft w:val="0"/>
      <w:marRight w:val="0"/>
      <w:marTop w:val="0"/>
      <w:marBottom w:val="0"/>
      <w:divBdr>
        <w:top w:val="none" w:sz="0" w:space="0" w:color="auto"/>
        <w:left w:val="none" w:sz="0" w:space="0" w:color="auto"/>
        <w:bottom w:val="none" w:sz="0" w:space="0" w:color="auto"/>
        <w:right w:val="none" w:sz="0" w:space="0" w:color="auto"/>
      </w:divBdr>
      <w:divsChild>
        <w:div w:id="386219562">
          <w:marLeft w:val="0"/>
          <w:marRight w:val="0"/>
          <w:marTop w:val="0"/>
          <w:marBottom w:val="0"/>
          <w:divBdr>
            <w:top w:val="none" w:sz="0" w:space="0" w:color="auto"/>
            <w:left w:val="none" w:sz="0" w:space="0" w:color="auto"/>
            <w:bottom w:val="none" w:sz="0" w:space="0" w:color="auto"/>
            <w:right w:val="none" w:sz="0" w:space="0" w:color="auto"/>
          </w:divBdr>
          <w:divsChild>
            <w:div w:id="175069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97656">
      <w:bodyDiv w:val="1"/>
      <w:marLeft w:val="0"/>
      <w:marRight w:val="0"/>
      <w:marTop w:val="0"/>
      <w:marBottom w:val="0"/>
      <w:divBdr>
        <w:top w:val="none" w:sz="0" w:space="0" w:color="auto"/>
        <w:left w:val="none" w:sz="0" w:space="0" w:color="auto"/>
        <w:bottom w:val="none" w:sz="0" w:space="0" w:color="auto"/>
        <w:right w:val="none" w:sz="0" w:space="0" w:color="auto"/>
      </w:divBdr>
    </w:div>
    <w:div w:id="1866552633">
      <w:bodyDiv w:val="1"/>
      <w:marLeft w:val="0"/>
      <w:marRight w:val="0"/>
      <w:marTop w:val="0"/>
      <w:marBottom w:val="0"/>
      <w:divBdr>
        <w:top w:val="none" w:sz="0" w:space="0" w:color="auto"/>
        <w:left w:val="none" w:sz="0" w:space="0" w:color="auto"/>
        <w:bottom w:val="none" w:sz="0" w:space="0" w:color="auto"/>
        <w:right w:val="none" w:sz="0" w:space="0" w:color="auto"/>
      </w:divBdr>
      <w:divsChild>
        <w:div w:id="1232347888">
          <w:marLeft w:val="0"/>
          <w:marRight w:val="144"/>
          <w:marTop w:val="0"/>
          <w:marBottom w:val="0"/>
          <w:divBdr>
            <w:top w:val="single" w:sz="6" w:space="6" w:color="40993F"/>
            <w:left w:val="single" w:sz="6" w:space="4" w:color="40993F"/>
            <w:bottom w:val="single" w:sz="6" w:space="6" w:color="40993F"/>
            <w:right w:val="single" w:sz="6" w:space="10" w:color="40993F"/>
          </w:divBdr>
        </w:div>
        <w:div w:id="1733384130">
          <w:marLeft w:val="0"/>
          <w:marRight w:val="144"/>
          <w:marTop w:val="0"/>
          <w:marBottom w:val="0"/>
          <w:divBdr>
            <w:top w:val="none" w:sz="0" w:space="0" w:color="auto"/>
            <w:left w:val="none" w:sz="0" w:space="0" w:color="auto"/>
            <w:bottom w:val="none" w:sz="0" w:space="0" w:color="auto"/>
            <w:right w:val="none" w:sz="0" w:space="0" w:color="auto"/>
          </w:divBdr>
        </w:div>
      </w:divsChild>
    </w:div>
    <w:div w:id="1885216838">
      <w:bodyDiv w:val="1"/>
      <w:marLeft w:val="0"/>
      <w:marRight w:val="0"/>
      <w:marTop w:val="0"/>
      <w:marBottom w:val="0"/>
      <w:divBdr>
        <w:top w:val="none" w:sz="0" w:space="0" w:color="auto"/>
        <w:left w:val="none" w:sz="0" w:space="0" w:color="auto"/>
        <w:bottom w:val="none" w:sz="0" w:space="0" w:color="auto"/>
        <w:right w:val="none" w:sz="0" w:space="0" w:color="auto"/>
      </w:divBdr>
    </w:div>
    <w:div w:id="1892374722">
      <w:bodyDiv w:val="1"/>
      <w:marLeft w:val="0"/>
      <w:marRight w:val="0"/>
      <w:marTop w:val="0"/>
      <w:marBottom w:val="0"/>
      <w:divBdr>
        <w:top w:val="none" w:sz="0" w:space="0" w:color="auto"/>
        <w:left w:val="none" w:sz="0" w:space="0" w:color="auto"/>
        <w:bottom w:val="none" w:sz="0" w:space="0" w:color="auto"/>
        <w:right w:val="none" w:sz="0" w:space="0" w:color="auto"/>
      </w:divBdr>
    </w:div>
    <w:div w:id="1894585491">
      <w:bodyDiv w:val="1"/>
      <w:marLeft w:val="0"/>
      <w:marRight w:val="0"/>
      <w:marTop w:val="0"/>
      <w:marBottom w:val="0"/>
      <w:divBdr>
        <w:top w:val="none" w:sz="0" w:space="0" w:color="auto"/>
        <w:left w:val="none" w:sz="0" w:space="0" w:color="auto"/>
        <w:bottom w:val="none" w:sz="0" w:space="0" w:color="auto"/>
        <w:right w:val="none" w:sz="0" w:space="0" w:color="auto"/>
      </w:divBdr>
    </w:div>
    <w:div w:id="1898852397">
      <w:bodyDiv w:val="1"/>
      <w:marLeft w:val="0"/>
      <w:marRight w:val="0"/>
      <w:marTop w:val="0"/>
      <w:marBottom w:val="0"/>
      <w:divBdr>
        <w:top w:val="none" w:sz="0" w:space="0" w:color="auto"/>
        <w:left w:val="none" w:sz="0" w:space="0" w:color="auto"/>
        <w:bottom w:val="none" w:sz="0" w:space="0" w:color="auto"/>
        <w:right w:val="none" w:sz="0" w:space="0" w:color="auto"/>
      </w:divBdr>
    </w:div>
    <w:div w:id="1932540579">
      <w:bodyDiv w:val="1"/>
      <w:marLeft w:val="0"/>
      <w:marRight w:val="0"/>
      <w:marTop w:val="0"/>
      <w:marBottom w:val="0"/>
      <w:divBdr>
        <w:top w:val="none" w:sz="0" w:space="0" w:color="auto"/>
        <w:left w:val="none" w:sz="0" w:space="0" w:color="auto"/>
        <w:bottom w:val="none" w:sz="0" w:space="0" w:color="auto"/>
        <w:right w:val="none" w:sz="0" w:space="0" w:color="auto"/>
      </w:divBdr>
    </w:div>
    <w:div w:id="1981381083">
      <w:bodyDiv w:val="1"/>
      <w:marLeft w:val="0"/>
      <w:marRight w:val="0"/>
      <w:marTop w:val="0"/>
      <w:marBottom w:val="0"/>
      <w:divBdr>
        <w:top w:val="none" w:sz="0" w:space="0" w:color="auto"/>
        <w:left w:val="none" w:sz="0" w:space="0" w:color="auto"/>
        <w:bottom w:val="none" w:sz="0" w:space="0" w:color="auto"/>
        <w:right w:val="none" w:sz="0" w:space="0" w:color="auto"/>
      </w:divBdr>
    </w:div>
    <w:div w:id="2017346592">
      <w:bodyDiv w:val="1"/>
      <w:marLeft w:val="0"/>
      <w:marRight w:val="0"/>
      <w:marTop w:val="0"/>
      <w:marBottom w:val="0"/>
      <w:divBdr>
        <w:top w:val="none" w:sz="0" w:space="0" w:color="auto"/>
        <w:left w:val="none" w:sz="0" w:space="0" w:color="auto"/>
        <w:bottom w:val="none" w:sz="0" w:space="0" w:color="auto"/>
        <w:right w:val="none" w:sz="0" w:space="0" w:color="auto"/>
      </w:divBdr>
      <w:divsChild>
        <w:div w:id="203642841">
          <w:marLeft w:val="274"/>
          <w:marRight w:val="0"/>
          <w:marTop w:val="0"/>
          <w:marBottom w:val="120"/>
          <w:divBdr>
            <w:top w:val="none" w:sz="0" w:space="0" w:color="auto"/>
            <w:left w:val="none" w:sz="0" w:space="0" w:color="auto"/>
            <w:bottom w:val="none" w:sz="0" w:space="0" w:color="auto"/>
            <w:right w:val="none" w:sz="0" w:space="0" w:color="auto"/>
          </w:divBdr>
        </w:div>
        <w:div w:id="1086616317">
          <w:marLeft w:val="274"/>
          <w:marRight w:val="0"/>
          <w:marTop w:val="0"/>
          <w:marBottom w:val="0"/>
          <w:divBdr>
            <w:top w:val="none" w:sz="0" w:space="0" w:color="auto"/>
            <w:left w:val="none" w:sz="0" w:space="0" w:color="auto"/>
            <w:bottom w:val="none" w:sz="0" w:space="0" w:color="auto"/>
            <w:right w:val="none" w:sz="0" w:space="0" w:color="auto"/>
          </w:divBdr>
        </w:div>
        <w:div w:id="1462726790">
          <w:marLeft w:val="274"/>
          <w:marRight w:val="0"/>
          <w:marTop w:val="0"/>
          <w:marBottom w:val="120"/>
          <w:divBdr>
            <w:top w:val="none" w:sz="0" w:space="0" w:color="auto"/>
            <w:left w:val="none" w:sz="0" w:space="0" w:color="auto"/>
            <w:bottom w:val="none" w:sz="0" w:space="0" w:color="auto"/>
            <w:right w:val="none" w:sz="0" w:space="0" w:color="auto"/>
          </w:divBdr>
        </w:div>
      </w:divsChild>
    </w:div>
    <w:div w:id="2028359402">
      <w:bodyDiv w:val="1"/>
      <w:marLeft w:val="0"/>
      <w:marRight w:val="0"/>
      <w:marTop w:val="0"/>
      <w:marBottom w:val="0"/>
      <w:divBdr>
        <w:top w:val="none" w:sz="0" w:space="0" w:color="auto"/>
        <w:left w:val="none" w:sz="0" w:space="0" w:color="auto"/>
        <w:bottom w:val="none" w:sz="0" w:space="0" w:color="auto"/>
        <w:right w:val="none" w:sz="0" w:space="0" w:color="auto"/>
      </w:divBdr>
    </w:div>
    <w:div w:id="2030830084">
      <w:bodyDiv w:val="1"/>
      <w:marLeft w:val="0"/>
      <w:marRight w:val="0"/>
      <w:marTop w:val="0"/>
      <w:marBottom w:val="0"/>
      <w:divBdr>
        <w:top w:val="none" w:sz="0" w:space="0" w:color="auto"/>
        <w:left w:val="none" w:sz="0" w:space="0" w:color="auto"/>
        <w:bottom w:val="none" w:sz="0" w:space="0" w:color="auto"/>
        <w:right w:val="none" w:sz="0" w:space="0" w:color="auto"/>
      </w:divBdr>
    </w:div>
    <w:div w:id="2082174263">
      <w:bodyDiv w:val="1"/>
      <w:marLeft w:val="0"/>
      <w:marRight w:val="0"/>
      <w:marTop w:val="0"/>
      <w:marBottom w:val="0"/>
      <w:divBdr>
        <w:top w:val="none" w:sz="0" w:space="0" w:color="auto"/>
        <w:left w:val="none" w:sz="0" w:space="0" w:color="auto"/>
        <w:bottom w:val="none" w:sz="0" w:space="0" w:color="auto"/>
        <w:right w:val="none" w:sz="0" w:space="0" w:color="auto"/>
      </w:divBdr>
    </w:div>
    <w:div w:id="2084403712">
      <w:bodyDiv w:val="1"/>
      <w:marLeft w:val="0"/>
      <w:marRight w:val="0"/>
      <w:marTop w:val="0"/>
      <w:marBottom w:val="0"/>
      <w:divBdr>
        <w:top w:val="none" w:sz="0" w:space="0" w:color="auto"/>
        <w:left w:val="none" w:sz="0" w:space="0" w:color="auto"/>
        <w:bottom w:val="none" w:sz="0" w:space="0" w:color="auto"/>
        <w:right w:val="none" w:sz="0" w:space="0" w:color="auto"/>
      </w:divBdr>
    </w:div>
    <w:div w:id="2102681857">
      <w:bodyDiv w:val="1"/>
      <w:marLeft w:val="0"/>
      <w:marRight w:val="0"/>
      <w:marTop w:val="0"/>
      <w:marBottom w:val="0"/>
      <w:divBdr>
        <w:top w:val="none" w:sz="0" w:space="0" w:color="auto"/>
        <w:left w:val="none" w:sz="0" w:space="0" w:color="auto"/>
        <w:bottom w:val="none" w:sz="0" w:space="0" w:color="auto"/>
        <w:right w:val="none" w:sz="0" w:space="0" w:color="auto"/>
      </w:divBdr>
    </w:div>
    <w:div w:id="214238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hyperlink" Target="https://ris.pmc.gov.au/sites/default/files/posts/2012/06/05-Decision-RIS-Gas-Appliance-CO2-safety-strategy.pdf" TargetMode="External"/><Relationship Id="rId21" Type="http://schemas.openxmlformats.org/officeDocument/2006/relationships/footer" Target="footer2.xml"/><Relationship Id="rId34" Type="http://schemas.openxmlformats.org/officeDocument/2006/relationships/image" Target="media/image7.jpeg"/><Relationship Id="rId42" Type="http://schemas.openxmlformats.org/officeDocument/2006/relationships/hyperlink" Target="http://www.austin.org.au/poisons" TargetMode="External"/><Relationship Id="rId47" Type="http://schemas.openxmlformats.org/officeDocument/2006/relationships/hyperlink" Target="https://www.coronerscourt.vic.gov.au/sites/default/files/2018-12/soniasofianopoulos_356617.pdf" TargetMode="External"/><Relationship Id="rId50" Type="http://schemas.openxmlformats.org/officeDocument/2006/relationships/hyperlink" Target="https://ris.pmc.gov.au/2012/06/22/gas-appliance-carbon-monoxide-safety-strategy-%E2%80%93-coag-decision-regulation-impact-statement" TargetMode="External"/><Relationship Id="rId55" Type="http://schemas.openxmlformats.org/officeDocument/2006/relationships/hyperlink" Target="https://esv.vic.gov.au/wp-content/uploads/2018/05/Gas-Safety-Gas-Installation-Regulations-2018-Discussion-paper-update-May2018.pdf" TargetMode="External"/><Relationship Id="rId63" Type="http://schemas.openxmlformats.org/officeDocument/2006/relationships/hyperlink" Target="http://www.ocpc.vic.gov.au/CA2572B3001B894B/WebObj/sla26Guidlines20110818/$File/sla26Guidlines20110818.pdf" TargetMode="External"/><Relationship Id="rId68" Type="http://schemas.openxmlformats.org/officeDocument/2006/relationships/hyperlink" Target="https://www.gov.scot/publications/fire-and-smoke-alarms-in-scottish-homes/" TargetMode="External"/><Relationship Id="rId76" Type="http://schemas.openxmlformats.org/officeDocument/2006/relationships/hyperlink" Target="https://www.energy.vic.gov.au/__data/assets/pdf_file/0026/395162/Victorian-Government-Response-to-Coroners-Court-Open-Flue-Gas-Heaters-October-2018.pdf" TargetMode="External"/><Relationship Id="rId84" Type="http://schemas.openxmlformats.org/officeDocument/2006/relationships/image" Target="media/image14.png"/><Relationship Id="rId89" Type="http://schemas.openxmlformats.org/officeDocument/2006/relationships/footer" Target="footer6.xml"/><Relationship Id="rId7" Type="http://schemas.openxmlformats.org/officeDocument/2006/relationships/numbering" Target="numbering.xml"/><Relationship Id="rId71" Type="http://schemas.openxmlformats.org/officeDocument/2006/relationships/hyperlink" Target="https://www.sustainability.vic.gov.au/You-and-your-home/Save-energy/Heating/Heating-running-costs" TargetMode="External"/><Relationship Id="rId92"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header" Target="header8.xml"/><Relationship Id="rId11" Type="http://schemas.openxmlformats.org/officeDocument/2006/relationships/footnotes" Target="footnotes.xml"/><Relationship Id="rId24" Type="http://schemas.openxmlformats.org/officeDocument/2006/relationships/header" Target="header4.xml"/><Relationship Id="rId32" Type="http://schemas.openxmlformats.org/officeDocument/2006/relationships/hyperlink" Target="mailto:gas.safety@delwp.vic.gov.au" TargetMode="External"/><Relationship Id="rId37" Type="http://schemas.openxmlformats.org/officeDocument/2006/relationships/image" Target="media/image8.emf"/><Relationship Id="rId40" Type="http://schemas.openxmlformats.org/officeDocument/2006/relationships/hyperlink" Target="https://www.amazon.com.au/First-Alert-Wireless-Interconnected-Photoelectric/dp/B0064S9IQ4" TargetMode="External"/><Relationship Id="rId45" Type="http://schemas.openxmlformats.org/officeDocument/2006/relationships/hyperlink" Target="https://www.consumer.vic.gov.au/housing/renting/during-a-lease-or-residency/safety-advice-for-tenants-and-residents/gas-appliances" TargetMode="External"/><Relationship Id="rId53" Type="http://schemas.openxmlformats.org/officeDocument/2006/relationships/hyperlink" Target="https://esv.vic.gov.au/news/be-sure-co-launch/" TargetMode="External"/><Relationship Id="rId58" Type="http://schemas.openxmlformats.org/officeDocument/2006/relationships/hyperlink" Target="https://www.hse.gov.uk/pUbns/priced/l56.pdf" TargetMode="External"/><Relationship Id="rId66" Type="http://schemas.openxmlformats.org/officeDocument/2006/relationships/hyperlink" Target="https://www.premier.vic.gov.au/3-billion-in-power-bill-savings-for-victorians/" TargetMode="External"/><Relationship Id="rId74" Type="http://schemas.openxmlformats.org/officeDocument/2006/relationships/hyperlink" Target="https://www.sustainability.vic.gov.au/Grants-and-funding/Victorian-Healthy-Homes-Program" TargetMode="External"/><Relationship Id="rId79" Type="http://schemas.openxmlformats.org/officeDocument/2006/relationships/hyperlink" Target="http://classic.austlii.edu.au/au/legis/vic/consol_act/gsa1997115/s3.html" TargetMode="External"/><Relationship Id="rId87" Type="http://schemas.openxmlformats.org/officeDocument/2006/relationships/hyperlink" Target="http://www.deloitte.com/au/deloitte-access-economics" TargetMode="External"/><Relationship Id="rId5" Type="http://schemas.openxmlformats.org/officeDocument/2006/relationships/customXml" Target="../customXml/item5.xml"/><Relationship Id="rId61" Type="http://schemas.openxmlformats.org/officeDocument/2006/relationships/hyperlink" Target="https://www.legislation.gov.uk/ukdsi/2015/9780111133439/contents" TargetMode="External"/><Relationship Id="rId82" Type="http://schemas.openxmlformats.org/officeDocument/2006/relationships/image" Target="media/image12.png"/><Relationship Id="rId90" Type="http://schemas.openxmlformats.org/officeDocument/2006/relationships/footer" Target="footer7.xml"/><Relationship Id="rId1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footer" Target="footer5.xml"/><Relationship Id="rId35" Type="http://schemas.openxmlformats.org/officeDocument/2006/relationships/hyperlink" Target="https://esv.vic.gov.au/safety-education/heating-your-home-with-gas/open-flued-heaters-faqs/" TargetMode="External"/><Relationship Id="rId43" Type="http://schemas.openxmlformats.org/officeDocument/2006/relationships/hyperlink" Target="https://www.brooks.com.au/home-smoke-alarms/battery-powered/carbon-monoxide-10-year-lithium-battery-ei208w/" TargetMode="External"/><Relationship Id="rId48" Type="http://schemas.openxmlformats.org/officeDocument/2006/relationships/hyperlink" Target="https://www.victorianenergysaver.vic.gov.au/save-energy-and-money/discount-energy-saving-products/save-with-these-energy-efficient-products/weather-sealing" TargetMode="External"/><Relationship Id="rId56" Type="http://schemas.openxmlformats.org/officeDocument/2006/relationships/hyperlink" Target="https://esv.vic.gov.au/news/be-sure-co-launch/" TargetMode="External"/><Relationship Id="rId64" Type="http://schemas.openxmlformats.org/officeDocument/2006/relationships/hyperlink" Target="https://www.mcscs.jus.gov.on.ca/english/FireMarshal/CarbonMonoxideAlarms/QuestionsandAnswers/OFM_COAlarms_QandA.html" TargetMode="External"/><Relationship Id="rId69" Type="http://schemas.openxmlformats.org/officeDocument/2006/relationships/hyperlink" Target="https://www.gov.scot/publications/carbon-monoxide-alarms-in-private-rented-properties-guidance/" TargetMode="External"/><Relationship Id="rId77" Type="http://schemas.openxmlformats.org/officeDocument/2006/relationships/hyperlink" Target="https://engage.vic.gov.au" TargetMode="External"/><Relationship Id="rId8" Type="http://schemas.openxmlformats.org/officeDocument/2006/relationships/styles" Target="styles.xml"/><Relationship Id="rId51" Type="http://schemas.openxmlformats.org/officeDocument/2006/relationships/hyperlink" Target="https://esv.vic.gov.au/safety-education/heating-your-home-with-gas/open-flued-heaters-faqs/" TargetMode="External"/><Relationship Id="rId72" Type="http://schemas.openxmlformats.org/officeDocument/2006/relationships/hyperlink" Target="https://www.sustainability.vic.gov.au/About-Us/Publications/Retrofit-Trial-Energy-Efficiency-Upgrade-Potential" TargetMode="External"/><Relationship Id="rId80" Type="http://schemas.openxmlformats.org/officeDocument/2006/relationships/image" Target="media/image10.png"/><Relationship Id="rId85" Type="http://schemas.openxmlformats.org/officeDocument/2006/relationships/image" Target="media/image15.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header" Target="header5.xml"/><Relationship Id="rId33" Type="http://schemas.openxmlformats.org/officeDocument/2006/relationships/image" Target="media/image6.emf"/><Relationship Id="rId38" Type="http://schemas.openxmlformats.org/officeDocument/2006/relationships/image" Target="media/image9.png"/><Relationship Id="rId46" Type="http://schemas.openxmlformats.org/officeDocument/2006/relationships/hyperlink" Target="https://www.consumer.vic.gov.au/library/publications/housing-and-accommodation/renting/renting-a-home-a-guide-for-tenants.pdf" TargetMode="External"/><Relationship Id="rId59" Type="http://schemas.openxmlformats.org/officeDocument/2006/relationships/hyperlink" Target="http://www.hse.gov.uk/research/rrpdf/rr847.pdf" TargetMode="External"/><Relationship Id="rId67" Type="http://schemas.openxmlformats.org/officeDocument/2006/relationships/hyperlink" Target="https://quell.com.au/product/carbon-monoxide-digital-display-alarm/" TargetMode="External"/><Relationship Id="rId20" Type="http://schemas.openxmlformats.org/officeDocument/2006/relationships/footer" Target="footer1.xml"/><Relationship Id="rId41" Type="http://schemas.openxmlformats.org/officeDocument/2006/relationships/hyperlink" Target="https://www.amazon.com/Kidde-Resistant-Monoxide-Detector-KNCOB-DP2/dp/B00M48BH30" TargetMode="External"/><Relationship Id="rId54" Type="http://schemas.openxmlformats.org/officeDocument/2006/relationships/hyperlink" Target="https://esv.vic.gov.au/wp-content/uploads/2018/06/Gas_information_sheet_36.pdf" TargetMode="External"/><Relationship Id="rId62" Type="http://schemas.openxmlformats.org/officeDocument/2006/relationships/hyperlink" Target="http://www.nathers.gov.au/owners-and-builders/home-energy-star-ratings" TargetMode="External"/><Relationship Id="rId70" Type="http://schemas.openxmlformats.org/officeDocument/2006/relationships/hyperlink" Target="https://www.standards.org.au/standards-development/developing-standards/process" TargetMode="External"/><Relationship Id="rId75" Type="http://schemas.openxmlformats.org/officeDocument/2006/relationships/hyperlink" Target="https://www.chaseandtyler.org.au/information-for-professsionals/gasfitters-and-plumbers/" TargetMode="External"/><Relationship Id="rId83" Type="http://schemas.openxmlformats.org/officeDocument/2006/relationships/image" Target="media/image13.png"/><Relationship Id="rId88" Type="http://schemas.openxmlformats.org/officeDocument/2006/relationships/header" Target="header10.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header" Target="header7.xml"/><Relationship Id="rId36" Type="http://schemas.openxmlformats.org/officeDocument/2006/relationships/chart" Target="charts/chart1.xml"/><Relationship Id="rId49" Type="http://schemas.openxmlformats.org/officeDocument/2006/relationships/hyperlink" Target="https://www.dhhs.vic.gov.au/victorian-utility-consumption-household-survey" TargetMode="External"/><Relationship Id="rId57" Type="http://schemas.openxmlformats.org/officeDocument/2006/relationships/hyperlink" Target="https://www.firstalert.com/community/legislation/" TargetMode="External"/><Relationship Id="rId10" Type="http://schemas.openxmlformats.org/officeDocument/2006/relationships/webSettings" Target="webSettings.xml"/><Relationship Id="rId31" Type="http://schemas.openxmlformats.org/officeDocument/2006/relationships/header" Target="header9.xml"/><Relationship Id="rId44" Type="http://schemas.openxmlformats.org/officeDocument/2006/relationships/hyperlink" Target="http://www.betterregulation.vic.gov.au/Guidance-and-Resources" TargetMode="External"/><Relationship Id="rId52" Type="http://schemas.openxmlformats.org/officeDocument/2006/relationships/hyperlink" Target="https://esv.vic.gov.au/safety-education/choosing-and-using-a-tradesperson/making-a-complaint-about-a-tradesperson/landlords-and-tenancy/" TargetMode="External"/><Relationship Id="rId60" Type="http://schemas.openxmlformats.org/officeDocument/2006/relationships/hyperlink" Target="https://www.hseni.gov.uk/articles/carbon-monoxide-alarms" TargetMode="External"/><Relationship Id="rId65" Type="http://schemas.openxmlformats.org/officeDocument/2006/relationships/hyperlink" Target="https://www.researchgate.net/publication/275713007_Does_Energy_Efficiency_Reduce_Emissions_and_Peak_Demand_A_Case_Study_of_50_Years_of_Space_Heating_in_Melbourne" TargetMode="External"/><Relationship Id="rId73" Type="http://schemas.openxmlformats.org/officeDocument/2006/relationships/hyperlink" Target="https://www.sustainability.vic.gov.au/You-and-your-home/Building-and-renovating/Planning-and-design/Energy-ratings-construction-codes-and-standards" TargetMode="External"/><Relationship Id="rId78" Type="http://schemas.openxmlformats.org/officeDocument/2006/relationships/hyperlink" Target="http://classic.austlii.edu.au/au/legis/vic/consol_act/gsa1997115/s3.html" TargetMode="External"/><Relationship Id="rId81" Type="http://schemas.openxmlformats.org/officeDocument/2006/relationships/image" Target="media/image11.png"/><Relationship Id="rId86"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mcscs.jus.gov.on.ca/english/FireMarshal/CarbonMonoxideAlarms/QuestionsandAnswers/OFM_COAlarms_QandA.html" TargetMode="External"/><Relationship Id="rId13" Type="http://schemas.openxmlformats.org/officeDocument/2006/relationships/hyperlink" Target="https://www.sustainability.vic.gov.au/You-and-your-home/Building-and-renovating/Planning-and-design/Energy-ratings-construction-codes-and-standards" TargetMode="External"/><Relationship Id="rId18" Type="http://schemas.openxmlformats.org/officeDocument/2006/relationships/hyperlink" Target="https://esv.vic.gov.au/safety-education/choosing-and-using-a-tradesperson/making-a-complaint-about-a-tradesperson/landlords-and-tenancy/" TargetMode="External"/><Relationship Id="rId26" Type="http://schemas.openxmlformats.org/officeDocument/2006/relationships/hyperlink" Target="javascript:;" TargetMode="External"/><Relationship Id="rId3" Type="http://schemas.openxmlformats.org/officeDocument/2006/relationships/hyperlink" Target="https://esv.vic.gov.au/campaigns/carbon-monoxide/" TargetMode="External"/><Relationship Id="rId21" Type="http://schemas.openxmlformats.org/officeDocument/2006/relationships/hyperlink" Target="javascript:;" TargetMode="External"/><Relationship Id="rId7" Type="http://schemas.openxmlformats.org/officeDocument/2006/relationships/hyperlink" Target="https://www.firstalert.com/community/legislation/" TargetMode="External"/><Relationship Id="rId12" Type="http://schemas.openxmlformats.org/officeDocument/2006/relationships/hyperlink" Target="https://www.sustainability.vic.gov.au/You-and-Your-Home/Building-and-renovating/Planning-and-design/Energy-ratings-construction-codes-and-standards" TargetMode="External"/><Relationship Id="rId17" Type="http://schemas.openxmlformats.org/officeDocument/2006/relationships/hyperlink" Target="https://esv.vic.gov.au/safety-education/gas-safety-at-home/heating-your-home-with-gas/open-flued-heaters-faqs/" TargetMode="External"/><Relationship Id="rId25" Type="http://schemas.openxmlformats.org/officeDocument/2006/relationships/hyperlink" Target="javascript:;" TargetMode="External"/><Relationship Id="rId33" Type="http://schemas.openxmlformats.org/officeDocument/2006/relationships/hyperlink" Target="https://esv.vic.gov.au/wp-content/uploads/2018/06/Gas_information_sheet_36.pdf" TargetMode="External"/><Relationship Id="rId2" Type="http://schemas.openxmlformats.org/officeDocument/2006/relationships/hyperlink" Target="http://www.betterregulation.vic.gov.au/Guidance-and-Resources" TargetMode="External"/><Relationship Id="rId16" Type="http://schemas.openxmlformats.org/officeDocument/2006/relationships/hyperlink" Target="https://www.sustainability.vic.gov.au/Grants-and-funding/Victorian-Healthy-Homes-Program" TargetMode="External"/><Relationship Id="rId20" Type="http://schemas.openxmlformats.org/officeDocument/2006/relationships/hyperlink" Target="javascript:;" TargetMode="External"/><Relationship Id="rId29" Type="http://schemas.openxmlformats.org/officeDocument/2006/relationships/hyperlink" Target="https://www.vic.gov.au/sites/default/files/2019-10/Suggested-Value-of-a-Statistical-Life-in-RISs-and-LIAs-2017-Word.docx" TargetMode="External"/><Relationship Id="rId1" Type="http://schemas.openxmlformats.org/officeDocument/2006/relationships/hyperlink" Target="https://www.lilydambrosio.com.au/media-releases/helping-victorians-pay-their-power-bills/" TargetMode="External"/><Relationship Id="rId6" Type="http://schemas.openxmlformats.org/officeDocument/2006/relationships/hyperlink" Target="http://www.hse.gov.uk/research/rrpdf/rr847.pdf" TargetMode="External"/><Relationship Id="rId11" Type="http://schemas.openxmlformats.org/officeDocument/2006/relationships/hyperlink" Target="https://www.researchgate.net/publication/310837870_Neurological_Impacts_from_Carbon_Monoxide_Poisoning" TargetMode="External"/><Relationship Id="rId24" Type="http://schemas.openxmlformats.org/officeDocument/2006/relationships/hyperlink" Target="javascript:;" TargetMode="External"/><Relationship Id="rId32" Type="http://schemas.openxmlformats.org/officeDocument/2006/relationships/hyperlink" Target="http://www.legislation.vic.gov.au/Domino/Web_Notes/LDMS/LTObject_Store/LTObjSt2.nsf/DDE300B846EED9C7CA257616000A3571/8CBF51BFAC2DD3CBCA25776100216E9B/$FILE/97-99a025.pdf" TargetMode="External"/><Relationship Id="rId5" Type="http://schemas.openxmlformats.org/officeDocument/2006/relationships/hyperlink" Target="https://www.gov.scot/publications/fire-and-smoke-alarms-in-scottish-homes/" TargetMode="External"/><Relationship Id="rId15" Type="http://schemas.openxmlformats.org/officeDocument/2006/relationships/hyperlink" Target="https://www.victorianenergysaver.vic.gov.au/__data/assets/pdf_file/0022/428017/VEU-doorknocking-and-telesales-info.pdf" TargetMode="External"/><Relationship Id="rId23" Type="http://schemas.openxmlformats.org/officeDocument/2006/relationships/hyperlink" Target="javascript:;" TargetMode="External"/><Relationship Id="rId28" Type="http://schemas.openxmlformats.org/officeDocument/2006/relationships/hyperlink" Target="https://storage.googleapis.com/nest-public-downloads/press/documents/co-white-paper.pdf" TargetMode="External"/><Relationship Id="rId10" Type="http://schemas.openxmlformats.org/officeDocument/2006/relationships/hyperlink" Target="https://www.consumer.vic.gov.au/housing/renting/renting-guide" TargetMode="External"/><Relationship Id="rId19" Type="http://schemas.openxmlformats.org/officeDocument/2006/relationships/hyperlink" Target="https://www.austin.org.au/poisons" TargetMode="External"/><Relationship Id="rId31" Type="http://schemas.openxmlformats.org/officeDocument/2006/relationships/hyperlink" Target="http://www.betterregulation.vic.gov.au/files/98181269-905c-4893-bff3-%20a6bb009df93c/Victorian-Guide-to-Regulation-PDF-final.pdf" TargetMode="External"/><Relationship Id="rId4" Type="http://schemas.openxmlformats.org/officeDocument/2006/relationships/hyperlink" Target="https://www.hseni.gov.uk/articles/carbon-monoxide-alarms" TargetMode="External"/><Relationship Id="rId9" Type="http://schemas.openxmlformats.org/officeDocument/2006/relationships/hyperlink" Target="https://www.esv.vic.gov.au/safety-alerts/gas-open-flued-gas-heaters/" TargetMode="External"/><Relationship Id="rId14" Type="http://schemas.openxmlformats.org/officeDocument/2006/relationships/hyperlink" Target="https://www.nathers.gov.au/owners-and-builders/home-energy-star-ratings" TargetMode="External"/><Relationship Id="rId22" Type="http://schemas.openxmlformats.org/officeDocument/2006/relationships/hyperlink" Target="javascript:;" TargetMode="External"/><Relationship Id="rId27" Type="http://schemas.openxmlformats.org/officeDocument/2006/relationships/hyperlink" Target="https://www.lilydambrosio.com.au/media-releases/helping-victorians-pay-their-power-bills/" TargetMode="External"/><Relationship Id="rId30" Type="http://schemas.openxmlformats.org/officeDocument/2006/relationships/hyperlink" Target="https://www.who.int/healthinfo/global_burden_disease/daly_disability_weight/e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fa.edreams.au.deloitte.com/W/WBSDEP00658-01/AllDocuments/ENG.5.%20Work%20papers/CBA/Benefi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41363096287016"/>
          <c:y val="9.8124098124098127E-2"/>
          <c:w val="0.79821233845880057"/>
          <c:h val="0.6442812830214405"/>
        </c:manualLayout>
      </c:layout>
      <c:barChart>
        <c:barDir val="col"/>
        <c:grouping val="clustered"/>
        <c:varyColors val="0"/>
        <c:ser>
          <c:idx val="0"/>
          <c:order val="0"/>
          <c:tx>
            <c:strRef>
              <c:f>'Heater stocks w GAMAA'!$A$14</c:f>
              <c:strCache>
                <c:ptCount val="1"/>
                <c:pt idx="0">
                  <c:v> Revised closing heater stock </c:v>
                </c:pt>
              </c:strCache>
            </c:strRef>
          </c:tx>
          <c:spPr>
            <a:solidFill>
              <a:schemeClr val="accent1"/>
            </a:solidFill>
            <a:ln>
              <a:noFill/>
            </a:ln>
            <a:effectLst/>
          </c:spPr>
          <c:invertIfNegative val="0"/>
          <c:cat>
            <c:numRef>
              <c:f>'Heater stocks w GAMAA'!$G$1:$Q$1</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'Heater stocks w GAMAA'!$G$14:$Q$14</c:f>
              <c:numCache>
                <c:formatCode>_-* #,##0_-;\-* #,##0_-;_-* "-"??_-;_-@_-</c:formatCode>
                <c:ptCount val="11"/>
                <c:pt idx="0">
                  <c:v>286925.0674915507</c:v>
                </c:pt>
                <c:pt idx="1">
                  <c:v>269343.47799868067</c:v>
                </c:pt>
                <c:pt idx="2">
                  <c:v>251508.37273467099</c:v>
                </c:pt>
                <c:pt idx="3">
                  <c:v>234299.95805806827</c:v>
                </c:pt>
                <c:pt idx="4">
                  <c:v>217786.16110574643</c:v>
                </c:pt>
                <c:pt idx="5">
                  <c:v>201922.71006947313</c:v>
                </c:pt>
                <c:pt idx="6">
                  <c:v>186726.99069142417</c:v>
                </c:pt>
                <c:pt idx="7">
                  <c:v>172385.69363078874</c:v>
                </c:pt>
                <c:pt idx="8">
                  <c:v>159062.14811236731</c:v>
                </c:pt>
                <c:pt idx="9">
                  <c:v>146686.57524296202</c:v>
                </c:pt>
                <c:pt idx="10">
                  <c:v>135273.86378127371</c:v>
                </c:pt>
              </c:numCache>
            </c:numRef>
          </c:val>
          <c:extLst>
            <c:ext xmlns:c16="http://schemas.microsoft.com/office/drawing/2014/chart" uri="{C3380CC4-5D6E-409C-BE32-E72D297353CC}">
              <c16:uniqueId val="{00000000-8C67-4832-98DC-BA55677CC130}"/>
            </c:ext>
          </c:extLst>
        </c:ser>
        <c:dLbls>
          <c:showLegendKey val="0"/>
          <c:showVal val="0"/>
          <c:showCatName val="0"/>
          <c:showSerName val="0"/>
          <c:showPercent val="0"/>
          <c:showBubbleSize val="0"/>
        </c:dLbls>
        <c:gapWidth val="130"/>
        <c:overlap val="-27"/>
        <c:axId val="1929193471"/>
        <c:axId val="1819903647"/>
      </c:barChart>
      <c:catAx>
        <c:axId val="19291934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a:t>
                </a:r>
              </a:p>
            </c:rich>
          </c:tx>
          <c:layout>
            <c:manualLayout>
              <c:xMode val="edge"/>
              <c:yMode val="edge"/>
              <c:x val="0.54507730074622573"/>
              <c:y val="0.866348979104884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9903647"/>
        <c:crosses val="autoZero"/>
        <c:auto val="1"/>
        <c:lblAlgn val="ctr"/>
        <c:lblOffset val="100"/>
        <c:noMultiLvlLbl val="0"/>
      </c:catAx>
      <c:valAx>
        <c:axId val="1819903647"/>
        <c:scaling>
          <c:orientation val="minMax"/>
          <c:max val="3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OFGSHs</a:t>
                </a:r>
              </a:p>
            </c:rich>
          </c:tx>
          <c:layout>
            <c:manualLayout>
              <c:xMode val="edge"/>
              <c:yMode val="edge"/>
              <c:x val="2.2158209616662972E-2"/>
              <c:y val="5.693756170386957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9193471"/>
        <c:crosses val="autoZero"/>
        <c:crossBetween val="between"/>
        <c:majorUnit val="50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6CBDA9FA7A04372B3E54EB7A3FE2844"/>
        <w:category>
          <w:name w:val="General"/>
          <w:gallery w:val="placeholder"/>
        </w:category>
        <w:types>
          <w:type w:val="bbPlcHdr"/>
        </w:types>
        <w:behaviors>
          <w:behavior w:val="content"/>
        </w:behaviors>
        <w:guid w:val="{33A5C9FA-B573-4125-84C9-87393CB1A430}"/>
      </w:docPartPr>
      <w:docPartBody>
        <w:p w:rsidR="00574FBE" w:rsidRDefault="0031761E">
          <w:pPr>
            <w:pStyle w:val="96CBDA9FA7A04372B3E54EB7A3FE2844"/>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Gotham Bold">
    <w:altName w:val="Calibri"/>
    <w:panose1 w:val="00000000000000000000"/>
    <w:charset w:val="00"/>
    <w:family w:val="modern"/>
    <w:notTrueType/>
    <w:pitch w:val="variable"/>
    <w:sig w:usb0="A10000FF" w:usb1="40000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HelveticaNeueLT Std Thin">
    <w:altName w:val="Arial"/>
    <w:panose1 w:val="00000000000000000000"/>
    <w:charset w:val="00"/>
    <w:family w:val="swiss"/>
    <w:notTrueType/>
    <w:pitch w:val="default"/>
    <w:sig w:usb0="00000003" w:usb1="00000000" w:usb2="00000000" w:usb3="00000000" w:csb0="00000001" w:csb1="00000000"/>
  </w:font>
  <w:font w:name="Frutiger LT 45 Light">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5316"/>
    <w:rsid w:val="00000730"/>
    <w:rsid w:val="000019BC"/>
    <w:rsid w:val="00021172"/>
    <w:rsid w:val="0002423C"/>
    <w:rsid w:val="0002580A"/>
    <w:rsid w:val="00042400"/>
    <w:rsid w:val="00045635"/>
    <w:rsid w:val="00052F1D"/>
    <w:rsid w:val="00064E49"/>
    <w:rsid w:val="000675FC"/>
    <w:rsid w:val="000815E3"/>
    <w:rsid w:val="0008432D"/>
    <w:rsid w:val="00087772"/>
    <w:rsid w:val="00092E7C"/>
    <w:rsid w:val="00093247"/>
    <w:rsid w:val="00095316"/>
    <w:rsid w:val="000A0C69"/>
    <w:rsid w:val="000B1545"/>
    <w:rsid w:val="000B2025"/>
    <w:rsid w:val="000C06D1"/>
    <w:rsid w:val="000C1FD2"/>
    <w:rsid w:val="000C3638"/>
    <w:rsid w:val="000D0A09"/>
    <w:rsid w:val="000D6AD7"/>
    <w:rsid w:val="000D6ADB"/>
    <w:rsid w:val="000F1D4D"/>
    <w:rsid w:val="001023D9"/>
    <w:rsid w:val="00104781"/>
    <w:rsid w:val="0011100D"/>
    <w:rsid w:val="001153F3"/>
    <w:rsid w:val="00121DD3"/>
    <w:rsid w:val="00122175"/>
    <w:rsid w:val="001239DD"/>
    <w:rsid w:val="00125B6D"/>
    <w:rsid w:val="00127D5E"/>
    <w:rsid w:val="00132E75"/>
    <w:rsid w:val="00133465"/>
    <w:rsid w:val="00144155"/>
    <w:rsid w:val="001478DE"/>
    <w:rsid w:val="00150F94"/>
    <w:rsid w:val="00161694"/>
    <w:rsid w:val="00163E6A"/>
    <w:rsid w:val="00170609"/>
    <w:rsid w:val="00171A5C"/>
    <w:rsid w:val="00175A28"/>
    <w:rsid w:val="00176E1B"/>
    <w:rsid w:val="00181B33"/>
    <w:rsid w:val="00182317"/>
    <w:rsid w:val="001835F9"/>
    <w:rsid w:val="00183C82"/>
    <w:rsid w:val="0019500D"/>
    <w:rsid w:val="001A34FC"/>
    <w:rsid w:val="001B537B"/>
    <w:rsid w:val="001C19B4"/>
    <w:rsid w:val="001D5401"/>
    <w:rsid w:val="001E45D7"/>
    <w:rsid w:val="001F7EA7"/>
    <w:rsid w:val="00202EFD"/>
    <w:rsid w:val="00212451"/>
    <w:rsid w:val="002375D7"/>
    <w:rsid w:val="002477CC"/>
    <w:rsid w:val="002546AE"/>
    <w:rsid w:val="002559F9"/>
    <w:rsid w:val="002726BF"/>
    <w:rsid w:val="002744E9"/>
    <w:rsid w:val="002761AC"/>
    <w:rsid w:val="002773B2"/>
    <w:rsid w:val="002830E5"/>
    <w:rsid w:val="00284E28"/>
    <w:rsid w:val="00287A03"/>
    <w:rsid w:val="00292BFA"/>
    <w:rsid w:val="00294F3A"/>
    <w:rsid w:val="002A356B"/>
    <w:rsid w:val="002A3BF6"/>
    <w:rsid w:val="002B3451"/>
    <w:rsid w:val="002B79AA"/>
    <w:rsid w:val="002C1DE7"/>
    <w:rsid w:val="002D158C"/>
    <w:rsid w:val="002D37FA"/>
    <w:rsid w:val="002E1D3D"/>
    <w:rsid w:val="002E2C35"/>
    <w:rsid w:val="002E35F7"/>
    <w:rsid w:val="002E4D15"/>
    <w:rsid w:val="002E5BEF"/>
    <w:rsid w:val="002F04C8"/>
    <w:rsid w:val="003023B4"/>
    <w:rsid w:val="00307C7D"/>
    <w:rsid w:val="0031010A"/>
    <w:rsid w:val="003121C2"/>
    <w:rsid w:val="00316697"/>
    <w:rsid w:val="0031761E"/>
    <w:rsid w:val="0032392E"/>
    <w:rsid w:val="0032477B"/>
    <w:rsid w:val="00325E14"/>
    <w:rsid w:val="003321EB"/>
    <w:rsid w:val="00333DDA"/>
    <w:rsid w:val="00337C69"/>
    <w:rsid w:val="003430E2"/>
    <w:rsid w:val="00343876"/>
    <w:rsid w:val="00344BE7"/>
    <w:rsid w:val="003527EA"/>
    <w:rsid w:val="003538DD"/>
    <w:rsid w:val="00355F47"/>
    <w:rsid w:val="00361108"/>
    <w:rsid w:val="00361C90"/>
    <w:rsid w:val="0037245F"/>
    <w:rsid w:val="00376565"/>
    <w:rsid w:val="003810B5"/>
    <w:rsid w:val="00381D0D"/>
    <w:rsid w:val="00384B36"/>
    <w:rsid w:val="00387B10"/>
    <w:rsid w:val="00387BEC"/>
    <w:rsid w:val="00392943"/>
    <w:rsid w:val="003A2B0C"/>
    <w:rsid w:val="003A3E91"/>
    <w:rsid w:val="003A7A5D"/>
    <w:rsid w:val="003B48CC"/>
    <w:rsid w:val="003C0BBD"/>
    <w:rsid w:val="003C2EBB"/>
    <w:rsid w:val="003C67CE"/>
    <w:rsid w:val="003D2103"/>
    <w:rsid w:val="003D210D"/>
    <w:rsid w:val="003D2D51"/>
    <w:rsid w:val="003D4705"/>
    <w:rsid w:val="003D7CB9"/>
    <w:rsid w:val="003E3771"/>
    <w:rsid w:val="003F09DF"/>
    <w:rsid w:val="003F49E5"/>
    <w:rsid w:val="003F4A9F"/>
    <w:rsid w:val="00417D0F"/>
    <w:rsid w:val="00420F35"/>
    <w:rsid w:val="0042734D"/>
    <w:rsid w:val="00435878"/>
    <w:rsid w:val="00435EB3"/>
    <w:rsid w:val="00441B51"/>
    <w:rsid w:val="00444B29"/>
    <w:rsid w:val="00454487"/>
    <w:rsid w:val="00466E5F"/>
    <w:rsid w:val="004679F0"/>
    <w:rsid w:val="004724C2"/>
    <w:rsid w:val="00473F0E"/>
    <w:rsid w:val="00475149"/>
    <w:rsid w:val="00476961"/>
    <w:rsid w:val="004813A0"/>
    <w:rsid w:val="00482D02"/>
    <w:rsid w:val="004876A6"/>
    <w:rsid w:val="00491EFA"/>
    <w:rsid w:val="00491F04"/>
    <w:rsid w:val="00494486"/>
    <w:rsid w:val="00495067"/>
    <w:rsid w:val="004A04C2"/>
    <w:rsid w:val="004A2BF3"/>
    <w:rsid w:val="004C45EB"/>
    <w:rsid w:val="004C7509"/>
    <w:rsid w:val="004D57A9"/>
    <w:rsid w:val="004D7D34"/>
    <w:rsid w:val="004E7293"/>
    <w:rsid w:val="004F1CDC"/>
    <w:rsid w:val="004F20A0"/>
    <w:rsid w:val="004F3D5A"/>
    <w:rsid w:val="0050038F"/>
    <w:rsid w:val="00500ACA"/>
    <w:rsid w:val="00501885"/>
    <w:rsid w:val="00505E33"/>
    <w:rsid w:val="00507AA8"/>
    <w:rsid w:val="00512432"/>
    <w:rsid w:val="00536BD4"/>
    <w:rsid w:val="00540F95"/>
    <w:rsid w:val="0054313B"/>
    <w:rsid w:val="00551B65"/>
    <w:rsid w:val="0055778D"/>
    <w:rsid w:val="00564CB5"/>
    <w:rsid w:val="00573F6E"/>
    <w:rsid w:val="00574FBE"/>
    <w:rsid w:val="00582B0C"/>
    <w:rsid w:val="00590F47"/>
    <w:rsid w:val="005A701C"/>
    <w:rsid w:val="005B1D01"/>
    <w:rsid w:val="005B2F32"/>
    <w:rsid w:val="005D6FC5"/>
    <w:rsid w:val="005E4D6C"/>
    <w:rsid w:val="005E6350"/>
    <w:rsid w:val="005F6DDB"/>
    <w:rsid w:val="00610D2E"/>
    <w:rsid w:val="00614A11"/>
    <w:rsid w:val="006211C9"/>
    <w:rsid w:val="00630772"/>
    <w:rsid w:val="00637893"/>
    <w:rsid w:val="00640ADC"/>
    <w:rsid w:val="00641D01"/>
    <w:rsid w:val="00645081"/>
    <w:rsid w:val="006470E2"/>
    <w:rsid w:val="006551AE"/>
    <w:rsid w:val="006574A1"/>
    <w:rsid w:val="00662D26"/>
    <w:rsid w:val="006723E3"/>
    <w:rsid w:val="006774B0"/>
    <w:rsid w:val="00681FDC"/>
    <w:rsid w:val="0068210C"/>
    <w:rsid w:val="0068234C"/>
    <w:rsid w:val="00685F14"/>
    <w:rsid w:val="006874B7"/>
    <w:rsid w:val="00693AAE"/>
    <w:rsid w:val="006945FB"/>
    <w:rsid w:val="0069622D"/>
    <w:rsid w:val="006A001B"/>
    <w:rsid w:val="006A25BF"/>
    <w:rsid w:val="006A6B81"/>
    <w:rsid w:val="006B4057"/>
    <w:rsid w:val="006E7B05"/>
    <w:rsid w:val="006F2DFE"/>
    <w:rsid w:val="006F749D"/>
    <w:rsid w:val="006F7539"/>
    <w:rsid w:val="006F7CF7"/>
    <w:rsid w:val="00732A9D"/>
    <w:rsid w:val="00735866"/>
    <w:rsid w:val="0075359D"/>
    <w:rsid w:val="00756155"/>
    <w:rsid w:val="00761AB6"/>
    <w:rsid w:val="00771945"/>
    <w:rsid w:val="00784389"/>
    <w:rsid w:val="007849C3"/>
    <w:rsid w:val="007879F9"/>
    <w:rsid w:val="00794BFA"/>
    <w:rsid w:val="00796DBB"/>
    <w:rsid w:val="00797F80"/>
    <w:rsid w:val="007A5C73"/>
    <w:rsid w:val="007A6550"/>
    <w:rsid w:val="007B44D9"/>
    <w:rsid w:val="007B55A1"/>
    <w:rsid w:val="007C1952"/>
    <w:rsid w:val="007C70BB"/>
    <w:rsid w:val="007D2356"/>
    <w:rsid w:val="007D5DE7"/>
    <w:rsid w:val="007D7CF1"/>
    <w:rsid w:val="007E6CD4"/>
    <w:rsid w:val="007F072E"/>
    <w:rsid w:val="007F5F6F"/>
    <w:rsid w:val="0080402F"/>
    <w:rsid w:val="00804CAE"/>
    <w:rsid w:val="00811FC9"/>
    <w:rsid w:val="0082121B"/>
    <w:rsid w:val="008219EA"/>
    <w:rsid w:val="00824E3C"/>
    <w:rsid w:val="0082714E"/>
    <w:rsid w:val="00831F0D"/>
    <w:rsid w:val="00832EEC"/>
    <w:rsid w:val="0084177B"/>
    <w:rsid w:val="00845B0C"/>
    <w:rsid w:val="00846FD8"/>
    <w:rsid w:val="00854039"/>
    <w:rsid w:val="00865D24"/>
    <w:rsid w:val="008726B6"/>
    <w:rsid w:val="00873681"/>
    <w:rsid w:val="00885177"/>
    <w:rsid w:val="00897987"/>
    <w:rsid w:val="008A2C3D"/>
    <w:rsid w:val="008A7681"/>
    <w:rsid w:val="008D2EB2"/>
    <w:rsid w:val="008D5507"/>
    <w:rsid w:val="008D6FFA"/>
    <w:rsid w:val="008E52DF"/>
    <w:rsid w:val="008F1B71"/>
    <w:rsid w:val="008F3314"/>
    <w:rsid w:val="0090567C"/>
    <w:rsid w:val="00916AED"/>
    <w:rsid w:val="00916F4F"/>
    <w:rsid w:val="009231AC"/>
    <w:rsid w:val="009447C0"/>
    <w:rsid w:val="00957B84"/>
    <w:rsid w:val="00973989"/>
    <w:rsid w:val="0097450F"/>
    <w:rsid w:val="009975A1"/>
    <w:rsid w:val="009A11C3"/>
    <w:rsid w:val="009A6407"/>
    <w:rsid w:val="009B534C"/>
    <w:rsid w:val="009B5FB9"/>
    <w:rsid w:val="009B70DA"/>
    <w:rsid w:val="009C40EF"/>
    <w:rsid w:val="009C79E5"/>
    <w:rsid w:val="009D12B1"/>
    <w:rsid w:val="009E0410"/>
    <w:rsid w:val="009E397B"/>
    <w:rsid w:val="009E672E"/>
    <w:rsid w:val="00A00487"/>
    <w:rsid w:val="00A05F11"/>
    <w:rsid w:val="00A10BB3"/>
    <w:rsid w:val="00A261C4"/>
    <w:rsid w:val="00A26290"/>
    <w:rsid w:val="00A33FE0"/>
    <w:rsid w:val="00A5146E"/>
    <w:rsid w:val="00A54353"/>
    <w:rsid w:val="00A576C7"/>
    <w:rsid w:val="00A63DA7"/>
    <w:rsid w:val="00A65B3B"/>
    <w:rsid w:val="00A73E09"/>
    <w:rsid w:val="00A9053F"/>
    <w:rsid w:val="00A90694"/>
    <w:rsid w:val="00A92438"/>
    <w:rsid w:val="00A96084"/>
    <w:rsid w:val="00AA352D"/>
    <w:rsid w:val="00AB0CE7"/>
    <w:rsid w:val="00AC0C7C"/>
    <w:rsid w:val="00AC637B"/>
    <w:rsid w:val="00AD0C80"/>
    <w:rsid w:val="00AE1918"/>
    <w:rsid w:val="00AE217A"/>
    <w:rsid w:val="00B03AE2"/>
    <w:rsid w:val="00B16FE0"/>
    <w:rsid w:val="00B220DB"/>
    <w:rsid w:val="00B27100"/>
    <w:rsid w:val="00B349F4"/>
    <w:rsid w:val="00B400B4"/>
    <w:rsid w:val="00B40BB7"/>
    <w:rsid w:val="00B47379"/>
    <w:rsid w:val="00B50D1D"/>
    <w:rsid w:val="00B531D2"/>
    <w:rsid w:val="00B531D8"/>
    <w:rsid w:val="00B56DD8"/>
    <w:rsid w:val="00B63B53"/>
    <w:rsid w:val="00B64803"/>
    <w:rsid w:val="00B726A5"/>
    <w:rsid w:val="00B7718F"/>
    <w:rsid w:val="00B807DF"/>
    <w:rsid w:val="00B82FC3"/>
    <w:rsid w:val="00B8455B"/>
    <w:rsid w:val="00B853BA"/>
    <w:rsid w:val="00B90015"/>
    <w:rsid w:val="00B90355"/>
    <w:rsid w:val="00BA0462"/>
    <w:rsid w:val="00BB3144"/>
    <w:rsid w:val="00BD0EE3"/>
    <w:rsid w:val="00BE0AC2"/>
    <w:rsid w:val="00BE1BB2"/>
    <w:rsid w:val="00BE7D16"/>
    <w:rsid w:val="00BF2801"/>
    <w:rsid w:val="00C00AD0"/>
    <w:rsid w:val="00C104F5"/>
    <w:rsid w:val="00C17021"/>
    <w:rsid w:val="00C1771E"/>
    <w:rsid w:val="00C22174"/>
    <w:rsid w:val="00C34B4F"/>
    <w:rsid w:val="00C40A76"/>
    <w:rsid w:val="00C4640C"/>
    <w:rsid w:val="00C57D3E"/>
    <w:rsid w:val="00C65E2E"/>
    <w:rsid w:val="00C730A6"/>
    <w:rsid w:val="00C76ECC"/>
    <w:rsid w:val="00C8048A"/>
    <w:rsid w:val="00C84166"/>
    <w:rsid w:val="00C9219D"/>
    <w:rsid w:val="00C93214"/>
    <w:rsid w:val="00CA4A21"/>
    <w:rsid w:val="00CB0AC4"/>
    <w:rsid w:val="00CB0B95"/>
    <w:rsid w:val="00CB5D53"/>
    <w:rsid w:val="00CC7D95"/>
    <w:rsid w:val="00CD07AB"/>
    <w:rsid w:val="00CE0403"/>
    <w:rsid w:val="00CE15B9"/>
    <w:rsid w:val="00CE7DC2"/>
    <w:rsid w:val="00CF0138"/>
    <w:rsid w:val="00CF23E9"/>
    <w:rsid w:val="00CF2EAC"/>
    <w:rsid w:val="00D0254E"/>
    <w:rsid w:val="00D21846"/>
    <w:rsid w:val="00D2798C"/>
    <w:rsid w:val="00D33C06"/>
    <w:rsid w:val="00D35545"/>
    <w:rsid w:val="00D3663D"/>
    <w:rsid w:val="00D46D0D"/>
    <w:rsid w:val="00D656D3"/>
    <w:rsid w:val="00D67DA0"/>
    <w:rsid w:val="00D77F0E"/>
    <w:rsid w:val="00D93E4A"/>
    <w:rsid w:val="00D96DB3"/>
    <w:rsid w:val="00DA05E2"/>
    <w:rsid w:val="00DB5C96"/>
    <w:rsid w:val="00DB65BC"/>
    <w:rsid w:val="00DC0EAE"/>
    <w:rsid w:val="00DC27AE"/>
    <w:rsid w:val="00DC4735"/>
    <w:rsid w:val="00DD09E2"/>
    <w:rsid w:val="00DE609C"/>
    <w:rsid w:val="00DF3DA3"/>
    <w:rsid w:val="00DF6AC0"/>
    <w:rsid w:val="00E020D9"/>
    <w:rsid w:val="00E12745"/>
    <w:rsid w:val="00E1480F"/>
    <w:rsid w:val="00E1505C"/>
    <w:rsid w:val="00E23AF8"/>
    <w:rsid w:val="00E31326"/>
    <w:rsid w:val="00E32DCB"/>
    <w:rsid w:val="00E41818"/>
    <w:rsid w:val="00E56822"/>
    <w:rsid w:val="00E568B5"/>
    <w:rsid w:val="00E64936"/>
    <w:rsid w:val="00E71EC9"/>
    <w:rsid w:val="00E739D0"/>
    <w:rsid w:val="00E769B3"/>
    <w:rsid w:val="00E80958"/>
    <w:rsid w:val="00E8739A"/>
    <w:rsid w:val="00E87E43"/>
    <w:rsid w:val="00E94EFE"/>
    <w:rsid w:val="00ED285C"/>
    <w:rsid w:val="00ED5491"/>
    <w:rsid w:val="00ED721F"/>
    <w:rsid w:val="00EE007B"/>
    <w:rsid w:val="00EE1B8B"/>
    <w:rsid w:val="00EE1C61"/>
    <w:rsid w:val="00EE37B5"/>
    <w:rsid w:val="00EE78CE"/>
    <w:rsid w:val="00F01A04"/>
    <w:rsid w:val="00F01A19"/>
    <w:rsid w:val="00F157D9"/>
    <w:rsid w:val="00F16D18"/>
    <w:rsid w:val="00F17D6F"/>
    <w:rsid w:val="00F3135B"/>
    <w:rsid w:val="00F31E63"/>
    <w:rsid w:val="00F42A7C"/>
    <w:rsid w:val="00F532CA"/>
    <w:rsid w:val="00F651E8"/>
    <w:rsid w:val="00F67C4E"/>
    <w:rsid w:val="00F74BB0"/>
    <w:rsid w:val="00F75BD1"/>
    <w:rsid w:val="00F81F38"/>
    <w:rsid w:val="00F85549"/>
    <w:rsid w:val="00F91DF0"/>
    <w:rsid w:val="00F945B0"/>
    <w:rsid w:val="00FA2AD8"/>
    <w:rsid w:val="00FB1DAA"/>
    <w:rsid w:val="00FC4A34"/>
    <w:rsid w:val="00FE0C18"/>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31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1FD2"/>
    <w:pPr>
      <w:spacing w:after="0" w:line="240" w:lineRule="auto"/>
    </w:pPr>
    <w:rPr>
      <w:rFonts w:ascii="Verdana" w:eastAsiaTheme="minorHAnsi" w:hAnsi="Verdana"/>
      <w:sz w:val="18"/>
      <w:szCs w:val="18"/>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character" w:styleId="PlaceholderText">
    <w:name w:val="Placeholder Text"/>
    <w:basedOn w:val="DefaultParagraphFont"/>
    <w:uiPriority w:val="99"/>
    <w:semiHidden/>
    <w:rsid w:val="00482D02"/>
    <w:rPr>
      <w:color w:val="808080"/>
      <w:lang w:val="en-GB"/>
    </w:rPr>
  </w:style>
  <w:style w:type="table" w:customStyle="1" w:styleId="Tabel-Gitter1">
    <w:name w:val="Tabel - Gitter1"/>
    <w:basedOn w:val="TableNormal"/>
    <w:next w:val="TableGrid"/>
    <w:uiPriority w:val="59"/>
    <w:rsid w:val="000C1FD2"/>
    <w:pPr>
      <w:spacing w:after="0" w:line="240" w:lineRule="auto"/>
    </w:pPr>
    <w:rPr>
      <w:rFonts w:ascii="Verdana" w:eastAsiaTheme="minorHAnsi" w:hAnsi="Verdana"/>
      <w:sz w:val="18"/>
      <w:szCs w:val="18"/>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96CBDA9FA7A04372B3E54EB7A3FE2844">
    <w:name w:val="96CBDA9FA7A04372B3E54EB7A3FE2844"/>
    <w:pPr>
      <w:spacing w:after="160" w:line="259" w:lineRule="auto"/>
    </w:pPr>
    <w:rPr>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F5512A1CBF294FAE7691CF16804126" ma:contentTypeVersion="22" ma:contentTypeDescription="Create a new document." ma:contentTypeScope="" ma:versionID="9c5dfecbf3ec11bba5e4861b0e304b28">
  <xsd:schema xmlns:xsd="http://www.w3.org/2001/XMLSchema" xmlns:xs="http://www.w3.org/2001/XMLSchema" xmlns:p="http://schemas.microsoft.com/office/2006/metadata/properties" xmlns:ns2="a5f32de4-e402-4188-b034-e71ca7d22e54" xmlns:ns3="0f69af93-896f-4e1b-a070-7c9d6ea750c0" xmlns:ns4="68c84231-13dd-480f-a043-9d4152f1a1f2" targetNamespace="http://schemas.microsoft.com/office/2006/metadata/properties" ma:root="true" ma:fieldsID="c21711ddf223f90727031428d117623e" ns2:_="" ns3:_="" ns4:_="">
    <xsd:import namespace="a5f32de4-e402-4188-b034-e71ca7d22e54"/>
    <xsd:import namespace="0f69af93-896f-4e1b-a070-7c9d6ea750c0"/>
    <xsd:import namespace="68c84231-13dd-480f-a043-9d4152f1a1f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Cabinet_x002d_in_x002d_Confidence" minOccurs="0"/>
                <xsd:element ref="ns3:Year"/>
                <xsd:element ref="ns4:SharedWithUsers" minOccurs="0"/>
                <xsd:element ref="ns4:SharedWithDetails" minOccurs="0"/>
                <xsd:element ref="ns3:MediaServiceAutoKeyPoints" minOccurs="0"/>
                <xsd:element ref="ns3:MediaServiceKeyPoints"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f69af93-896f-4e1b-a070-7c9d6ea750c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Cabinet_x002d_in_x002d_Confidence" ma:index="14" nillable="true" ma:displayName="Cabinet-in-Confidence" ma:default="1" ma:internalName="Cabinet_x002d_in_x002d_Confidence">
      <xsd:simpleType>
        <xsd:restriction base="dms:Boolean"/>
      </xsd:simpleType>
    </xsd:element>
    <xsd:element name="Year" ma:index="15" ma:displayName="Year" ma:default="2019" ma:internalName="Year">
      <xsd:simpleType>
        <xsd:restriction base="dms:Text">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c84231-13dd-480f-a043-9d4152f1a1f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68c84231-13dd-480f-a043-9d4152f1a1f2">
      <UserInfo>
        <DisplayName>Kirsten Brownstein (DELWP)</DisplayName>
        <AccountId>6</AccountId>
        <AccountType/>
      </UserInfo>
      <UserInfo>
        <DisplayName>Beth J Seamer (DELWP)</DisplayName>
        <AccountId>14</AccountId>
        <AccountType/>
      </UserInfo>
      <UserInfo>
        <DisplayName>Kay L Charman (DELWP)</DisplayName>
        <AccountId>13</AccountId>
        <AccountType/>
      </UserInfo>
      <UserInfo>
        <DisplayName>Shauna K McDonald (DELWP)</DisplayName>
        <AccountId>12</AccountId>
        <AccountType/>
      </UserInfo>
      <UserInfo>
        <DisplayName>Terissa Small (DELWP)</DisplayName>
        <AccountId>135</AccountId>
        <AccountType/>
      </UserInfo>
      <UserInfo>
        <DisplayName>Luke Stephan (DELWP)</DisplayName>
        <AccountId>121</AccountId>
        <AccountType/>
      </UserInfo>
      <UserInfo>
        <DisplayName>Aishah Ehsan (DELWP)</DisplayName>
        <AccountId>153</AccountId>
        <AccountType/>
      </UserInfo>
    </SharedWithUsers>
    <Year xmlns="0f69af93-896f-4e1b-a070-7c9d6ea750c0">2019</Year>
    <Cabinet_x002d_in_x002d_Confidence xmlns="0f69af93-896f-4e1b-a070-7c9d6ea750c0">true</Cabinet_x002d_in_x002d_Confidence>
  </documentManagement>
</p:properties>
</file>

<file path=customXml/item4.xml><?xml version="1.0" encoding="utf-8"?>
<?mso-contentType ?>
<spe:Receivers xmlns:spe="http://schemas.microsoft.com/sharepoint/events"/>
</file>

<file path=customXml/item5.xml><?xml version="1.0" encoding="utf-8"?>
<?mso-contentType ?>
<SharedContentType xmlns="Microsoft.SharePoint.Taxonomy.ContentTypeSync" SourceId="797aeec6-0273-40f2-ab3e-beee73212332" ContentTypeId="0x0101"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E90DA-865E-412C-AC14-62B58FF26724}">
  <ds:schemaRefs>
    <ds:schemaRef ds:uri="http://schemas.microsoft.com/sharepoint/v3/contenttype/forms"/>
  </ds:schemaRefs>
</ds:datastoreItem>
</file>

<file path=customXml/itemProps2.xml><?xml version="1.0" encoding="utf-8"?>
<ds:datastoreItem xmlns:ds="http://schemas.openxmlformats.org/officeDocument/2006/customXml" ds:itemID="{BCA98C7C-1786-4F21-98AC-C7B545820C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0f69af93-896f-4e1b-a070-7c9d6ea750c0"/>
    <ds:schemaRef ds:uri="68c84231-13dd-480f-a043-9d4152f1a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8A2696-4D1F-41AF-A6F5-00801A49C7E3}">
  <ds:schemaRefs>
    <ds:schemaRef ds:uri="http://schemas.microsoft.com/office/2006/metadata/properties"/>
    <ds:schemaRef ds:uri="http://schemas.microsoft.com/office/infopath/2007/PartnerControls"/>
    <ds:schemaRef ds:uri="68c84231-13dd-480f-a043-9d4152f1a1f2"/>
    <ds:schemaRef ds:uri="0f69af93-896f-4e1b-a070-7c9d6ea750c0"/>
  </ds:schemaRefs>
</ds:datastoreItem>
</file>

<file path=customXml/itemProps4.xml><?xml version="1.0" encoding="utf-8"?>
<ds:datastoreItem xmlns:ds="http://schemas.openxmlformats.org/officeDocument/2006/customXml" ds:itemID="{4047922F-2CF3-4643-B0B8-7360CA7AC6E7}">
  <ds:schemaRefs>
    <ds:schemaRef ds:uri="http://schemas.microsoft.com/sharepoint/events"/>
  </ds:schemaRefs>
</ds:datastoreItem>
</file>

<file path=customXml/itemProps5.xml><?xml version="1.0" encoding="utf-8"?>
<ds:datastoreItem xmlns:ds="http://schemas.openxmlformats.org/officeDocument/2006/customXml" ds:itemID="{D4BD384C-6A97-4C37-9F7B-7DE2224F5E21}">
  <ds:schemaRefs>
    <ds:schemaRef ds:uri="Microsoft.SharePoint.Taxonomy.ContentTypeSync"/>
  </ds:schemaRefs>
</ds:datastoreItem>
</file>

<file path=customXml/itemProps6.xml><?xml version="1.0" encoding="utf-8"?>
<ds:datastoreItem xmlns:ds="http://schemas.openxmlformats.org/officeDocument/2006/customXml" ds:itemID="{A757BA7A-F70B-4DA6-A2DD-AFFF7EBAB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1035</TotalTime>
  <Pages>101</Pages>
  <Words>38182</Words>
  <Characters>217642</Characters>
  <Application>Microsoft Office Word</Application>
  <DocSecurity>0</DocSecurity>
  <Lines>1813</Lines>
  <Paragraphs>510</Paragraphs>
  <ScaleCrop>false</ScaleCrop>
  <HeadingPairs>
    <vt:vector size="6" baseType="variant">
      <vt:variant>
        <vt:lpstr>Title</vt:lpstr>
      </vt:variant>
      <vt:variant>
        <vt:i4>1</vt:i4>
      </vt:variant>
      <vt:variant>
        <vt:lpstr>Titel</vt:lpstr>
      </vt:variant>
      <vt:variant>
        <vt:i4>1</vt:i4>
      </vt:variant>
      <vt:variant>
        <vt:lpstr>Overskrifter</vt:lpstr>
      </vt:variant>
      <vt:variant>
        <vt:i4>2</vt:i4>
      </vt:variant>
    </vt:vector>
  </HeadingPairs>
  <TitlesOfParts>
    <vt:vector size="4" baseType="lpstr">
      <vt:lpstr>Regulatory Impact Statement: Open Flued Gas Space Heaters</vt:lpstr>
      <vt:lpstr>Document title</vt:lpstr>
      <vt:lpstr/>
      <vt:lpstr>    </vt:lpstr>
    </vt:vector>
  </TitlesOfParts>
  <Company>Energy Safe Victoria</Company>
  <LinksUpToDate>false</LinksUpToDate>
  <CharactersWithSpaces>255314</CharactersWithSpaces>
  <SharedDoc>false</SharedDoc>
  <HLinks>
    <vt:vector size="570" baseType="variant">
      <vt:variant>
        <vt:i4>1507407</vt:i4>
      </vt:variant>
      <vt:variant>
        <vt:i4>372</vt:i4>
      </vt:variant>
      <vt:variant>
        <vt:i4>0</vt:i4>
      </vt:variant>
      <vt:variant>
        <vt:i4>5</vt:i4>
      </vt:variant>
      <vt:variant>
        <vt:lpwstr>http://www.deloitte.com/au/deloitte-access-economics</vt:lpwstr>
      </vt:variant>
      <vt:variant>
        <vt:lpwstr/>
      </vt:variant>
      <vt:variant>
        <vt:i4>131177</vt:i4>
      </vt:variant>
      <vt:variant>
        <vt:i4>369</vt:i4>
      </vt:variant>
      <vt:variant>
        <vt:i4>0</vt:i4>
      </vt:variant>
      <vt:variant>
        <vt:i4>5</vt:i4>
      </vt:variant>
      <vt:variant>
        <vt:lpwstr>http://classic.austlii.edu.au/au/legis/vic/consol_act/gsa1997115/s3.html</vt:lpwstr>
      </vt:variant>
      <vt:variant>
        <vt:lpwstr>energy_safe_victoria</vt:lpwstr>
      </vt:variant>
      <vt:variant>
        <vt:i4>131177</vt:i4>
      </vt:variant>
      <vt:variant>
        <vt:i4>366</vt:i4>
      </vt:variant>
      <vt:variant>
        <vt:i4>0</vt:i4>
      </vt:variant>
      <vt:variant>
        <vt:i4>5</vt:i4>
      </vt:variant>
      <vt:variant>
        <vt:lpwstr>http://classic.austlii.edu.au/au/legis/vic/consol_act/gsa1997115/s3.html</vt:lpwstr>
      </vt:variant>
      <vt:variant>
        <vt:lpwstr>energy_safe_victoria</vt:lpwstr>
      </vt:variant>
      <vt:variant>
        <vt:i4>3211384</vt:i4>
      </vt:variant>
      <vt:variant>
        <vt:i4>363</vt:i4>
      </vt:variant>
      <vt:variant>
        <vt:i4>0</vt:i4>
      </vt:variant>
      <vt:variant>
        <vt:i4>5</vt:i4>
      </vt:variant>
      <vt:variant>
        <vt:lpwstr>https://engage.vic.gov.au/</vt:lpwstr>
      </vt:variant>
      <vt:variant>
        <vt:lpwstr/>
      </vt:variant>
      <vt:variant>
        <vt:i4>3473490</vt:i4>
      </vt:variant>
      <vt:variant>
        <vt:i4>360</vt:i4>
      </vt:variant>
      <vt:variant>
        <vt:i4>0</vt:i4>
      </vt:variant>
      <vt:variant>
        <vt:i4>5</vt:i4>
      </vt:variant>
      <vt:variant>
        <vt:lpwstr>https://www.energy.vic.gov.au/__data/assets/pdf_file/0026/395162/Victorian-Government-Response-to-Coroners-Court-Open-Flue-Gas-Heaters-October-2018.pdf</vt:lpwstr>
      </vt:variant>
      <vt:variant>
        <vt:lpwstr/>
      </vt:variant>
      <vt:variant>
        <vt:i4>5570582</vt:i4>
      </vt:variant>
      <vt:variant>
        <vt:i4>357</vt:i4>
      </vt:variant>
      <vt:variant>
        <vt:i4>0</vt:i4>
      </vt:variant>
      <vt:variant>
        <vt:i4>5</vt:i4>
      </vt:variant>
      <vt:variant>
        <vt:lpwstr>https://www.chaseandtyler.org.au/information-for-professsionals/gasfitters-and-plumbers/</vt:lpwstr>
      </vt:variant>
      <vt:variant>
        <vt:lpwstr/>
      </vt:variant>
      <vt:variant>
        <vt:i4>1114136</vt:i4>
      </vt:variant>
      <vt:variant>
        <vt:i4>354</vt:i4>
      </vt:variant>
      <vt:variant>
        <vt:i4>0</vt:i4>
      </vt:variant>
      <vt:variant>
        <vt:i4>5</vt:i4>
      </vt:variant>
      <vt:variant>
        <vt:lpwstr>https://www.sustainability.vic.gov.au/Grants-and-funding/Victorian-Healthy-Homes-Program</vt:lpwstr>
      </vt:variant>
      <vt:variant>
        <vt:lpwstr/>
      </vt:variant>
      <vt:variant>
        <vt:i4>6291498</vt:i4>
      </vt:variant>
      <vt:variant>
        <vt:i4>351</vt:i4>
      </vt:variant>
      <vt:variant>
        <vt:i4>0</vt:i4>
      </vt:variant>
      <vt:variant>
        <vt:i4>5</vt:i4>
      </vt:variant>
      <vt:variant>
        <vt:lpwstr>https://www.sustainability.vic.gov.au/You-and-your-home/Building-and-renovating/Planning-and-design/Energy-ratings-construction-codes-and-standards</vt:lpwstr>
      </vt:variant>
      <vt:variant>
        <vt:lpwstr/>
      </vt:variant>
      <vt:variant>
        <vt:i4>4128819</vt:i4>
      </vt:variant>
      <vt:variant>
        <vt:i4>348</vt:i4>
      </vt:variant>
      <vt:variant>
        <vt:i4>0</vt:i4>
      </vt:variant>
      <vt:variant>
        <vt:i4>5</vt:i4>
      </vt:variant>
      <vt:variant>
        <vt:lpwstr>https://www.sustainability.vic.gov.au/About-Us/Publications/Retrofit-Trial-Energy-Efficiency-Upgrade-Potential</vt:lpwstr>
      </vt:variant>
      <vt:variant>
        <vt:lpwstr/>
      </vt:variant>
      <vt:variant>
        <vt:i4>4784133</vt:i4>
      </vt:variant>
      <vt:variant>
        <vt:i4>345</vt:i4>
      </vt:variant>
      <vt:variant>
        <vt:i4>0</vt:i4>
      </vt:variant>
      <vt:variant>
        <vt:i4>5</vt:i4>
      </vt:variant>
      <vt:variant>
        <vt:lpwstr>https://www.sustainability.vic.gov.au/You-and-your-home/Save-energy/Heating/Heating-running-costs</vt:lpwstr>
      </vt:variant>
      <vt:variant>
        <vt:lpwstr/>
      </vt:variant>
      <vt:variant>
        <vt:i4>2556012</vt:i4>
      </vt:variant>
      <vt:variant>
        <vt:i4>342</vt:i4>
      </vt:variant>
      <vt:variant>
        <vt:i4>0</vt:i4>
      </vt:variant>
      <vt:variant>
        <vt:i4>5</vt:i4>
      </vt:variant>
      <vt:variant>
        <vt:lpwstr>https://www.standards.org.au/standards-development/developing-standards/process</vt:lpwstr>
      </vt:variant>
      <vt:variant>
        <vt:lpwstr/>
      </vt:variant>
      <vt:variant>
        <vt:i4>3014702</vt:i4>
      </vt:variant>
      <vt:variant>
        <vt:i4>339</vt:i4>
      </vt:variant>
      <vt:variant>
        <vt:i4>0</vt:i4>
      </vt:variant>
      <vt:variant>
        <vt:i4>5</vt:i4>
      </vt:variant>
      <vt:variant>
        <vt:lpwstr>https://www.gov.scot/publications/carbon-monoxide-alarms-in-private-rented-properties-guidance/</vt:lpwstr>
      </vt:variant>
      <vt:variant>
        <vt:lpwstr/>
      </vt:variant>
      <vt:variant>
        <vt:i4>6357096</vt:i4>
      </vt:variant>
      <vt:variant>
        <vt:i4>336</vt:i4>
      </vt:variant>
      <vt:variant>
        <vt:i4>0</vt:i4>
      </vt:variant>
      <vt:variant>
        <vt:i4>5</vt:i4>
      </vt:variant>
      <vt:variant>
        <vt:lpwstr>https://www.gov.scot/publications/fire-and-smoke-alarms-in-scottish-homes/</vt:lpwstr>
      </vt:variant>
      <vt:variant>
        <vt:lpwstr/>
      </vt:variant>
      <vt:variant>
        <vt:i4>2556026</vt:i4>
      </vt:variant>
      <vt:variant>
        <vt:i4>333</vt:i4>
      </vt:variant>
      <vt:variant>
        <vt:i4>0</vt:i4>
      </vt:variant>
      <vt:variant>
        <vt:i4>5</vt:i4>
      </vt:variant>
      <vt:variant>
        <vt:lpwstr>https://quell.com.au/product/carbon-monoxide-digital-display-alarm/</vt:lpwstr>
      </vt:variant>
      <vt:variant>
        <vt:lpwstr/>
      </vt:variant>
      <vt:variant>
        <vt:i4>7143467</vt:i4>
      </vt:variant>
      <vt:variant>
        <vt:i4>330</vt:i4>
      </vt:variant>
      <vt:variant>
        <vt:i4>0</vt:i4>
      </vt:variant>
      <vt:variant>
        <vt:i4>5</vt:i4>
      </vt:variant>
      <vt:variant>
        <vt:lpwstr>https://www.premier.vic.gov.au/3-billion-in-power-bill-savings-for-victorians/</vt:lpwstr>
      </vt:variant>
      <vt:variant>
        <vt:lpwstr/>
      </vt:variant>
      <vt:variant>
        <vt:i4>4587641</vt:i4>
      </vt:variant>
      <vt:variant>
        <vt:i4>327</vt:i4>
      </vt:variant>
      <vt:variant>
        <vt:i4>0</vt:i4>
      </vt:variant>
      <vt:variant>
        <vt:i4>5</vt:i4>
      </vt:variant>
      <vt:variant>
        <vt:lpwstr>https://www.researchgate.net/publication/275713007_Does_Energy_Efficiency_Reduce_Emissions_and_Peak_Demand_A_Case_Study_of_50_Years_of_Space_Heating_in_Melbourne</vt:lpwstr>
      </vt:variant>
      <vt:variant>
        <vt:lpwstr/>
      </vt:variant>
      <vt:variant>
        <vt:i4>4784230</vt:i4>
      </vt:variant>
      <vt:variant>
        <vt:i4>324</vt:i4>
      </vt:variant>
      <vt:variant>
        <vt:i4>0</vt:i4>
      </vt:variant>
      <vt:variant>
        <vt:i4>5</vt:i4>
      </vt:variant>
      <vt:variant>
        <vt:lpwstr>https://www.mcscs.jus.gov.on.ca/english/FireMarshal/CarbonMonoxideAlarms/QuestionsandAnswers/OFM_COAlarms_QandA.html</vt:lpwstr>
      </vt:variant>
      <vt:variant>
        <vt:lpwstr>P59_4811</vt:lpwstr>
      </vt:variant>
      <vt:variant>
        <vt:i4>2621543</vt:i4>
      </vt:variant>
      <vt:variant>
        <vt:i4>321</vt:i4>
      </vt:variant>
      <vt:variant>
        <vt:i4>0</vt:i4>
      </vt:variant>
      <vt:variant>
        <vt:i4>5</vt:i4>
      </vt:variant>
      <vt:variant>
        <vt:lpwstr>http://www.ocpc.vic.gov.au/CA2572B3001B894B/WebObj/sla26Guidlines20110818/$File/sla26Guidlines20110818.pdf</vt:lpwstr>
      </vt:variant>
      <vt:variant>
        <vt:lpwstr/>
      </vt:variant>
      <vt:variant>
        <vt:i4>7536702</vt:i4>
      </vt:variant>
      <vt:variant>
        <vt:i4>318</vt:i4>
      </vt:variant>
      <vt:variant>
        <vt:i4>0</vt:i4>
      </vt:variant>
      <vt:variant>
        <vt:i4>5</vt:i4>
      </vt:variant>
      <vt:variant>
        <vt:lpwstr>http://www.nathers.gov.au/owners-and-builders/home-energy-star-ratings</vt:lpwstr>
      </vt:variant>
      <vt:variant>
        <vt:lpwstr/>
      </vt:variant>
      <vt:variant>
        <vt:i4>5046276</vt:i4>
      </vt:variant>
      <vt:variant>
        <vt:i4>315</vt:i4>
      </vt:variant>
      <vt:variant>
        <vt:i4>0</vt:i4>
      </vt:variant>
      <vt:variant>
        <vt:i4>5</vt:i4>
      </vt:variant>
      <vt:variant>
        <vt:lpwstr>https://www.legislation.gov.uk/ukdsi/2015/9780111133439/contents</vt:lpwstr>
      </vt:variant>
      <vt:variant>
        <vt:lpwstr/>
      </vt:variant>
      <vt:variant>
        <vt:i4>6226009</vt:i4>
      </vt:variant>
      <vt:variant>
        <vt:i4>312</vt:i4>
      </vt:variant>
      <vt:variant>
        <vt:i4>0</vt:i4>
      </vt:variant>
      <vt:variant>
        <vt:i4>5</vt:i4>
      </vt:variant>
      <vt:variant>
        <vt:lpwstr>https://www.hseni.gov.uk/articles/carbon-monoxide-alarms</vt:lpwstr>
      </vt:variant>
      <vt:variant>
        <vt:lpwstr/>
      </vt:variant>
      <vt:variant>
        <vt:i4>7864382</vt:i4>
      </vt:variant>
      <vt:variant>
        <vt:i4>309</vt:i4>
      </vt:variant>
      <vt:variant>
        <vt:i4>0</vt:i4>
      </vt:variant>
      <vt:variant>
        <vt:i4>5</vt:i4>
      </vt:variant>
      <vt:variant>
        <vt:lpwstr>http://www.hse.gov.uk/research/rrpdf/rr847.pdf</vt:lpwstr>
      </vt:variant>
      <vt:variant>
        <vt:lpwstr/>
      </vt:variant>
      <vt:variant>
        <vt:i4>7471213</vt:i4>
      </vt:variant>
      <vt:variant>
        <vt:i4>306</vt:i4>
      </vt:variant>
      <vt:variant>
        <vt:i4>0</vt:i4>
      </vt:variant>
      <vt:variant>
        <vt:i4>5</vt:i4>
      </vt:variant>
      <vt:variant>
        <vt:lpwstr>https://www.hse.gov.uk/pUbns/priced/l56.pdf</vt:lpwstr>
      </vt:variant>
      <vt:variant>
        <vt:lpwstr/>
      </vt:variant>
      <vt:variant>
        <vt:i4>5832732</vt:i4>
      </vt:variant>
      <vt:variant>
        <vt:i4>303</vt:i4>
      </vt:variant>
      <vt:variant>
        <vt:i4>0</vt:i4>
      </vt:variant>
      <vt:variant>
        <vt:i4>5</vt:i4>
      </vt:variant>
      <vt:variant>
        <vt:lpwstr>https://www.firstalert.com/community/legislation/</vt:lpwstr>
      </vt:variant>
      <vt:variant>
        <vt:lpwstr/>
      </vt:variant>
      <vt:variant>
        <vt:i4>7995513</vt:i4>
      </vt:variant>
      <vt:variant>
        <vt:i4>300</vt:i4>
      </vt:variant>
      <vt:variant>
        <vt:i4>0</vt:i4>
      </vt:variant>
      <vt:variant>
        <vt:i4>5</vt:i4>
      </vt:variant>
      <vt:variant>
        <vt:lpwstr>https://esv.vic.gov.au/news/be-sure-co-launch/</vt:lpwstr>
      </vt:variant>
      <vt:variant>
        <vt:lpwstr/>
      </vt:variant>
      <vt:variant>
        <vt:i4>3080240</vt:i4>
      </vt:variant>
      <vt:variant>
        <vt:i4>297</vt:i4>
      </vt:variant>
      <vt:variant>
        <vt:i4>0</vt:i4>
      </vt:variant>
      <vt:variant>
        <vt:i4>5</vt:i4>
      </vt:variant>
      <vt:variant>
        <vt:lpwstr>https://esv.vic.gov.au/wp-content/uploads/2018/05/Gas-Safety-Gas-Installation-Regulations-2018-Discussion-paper-update-May2018.pdf</vt:lpwstr>
      </vt:variant>
      <vt:variant>
        <vt:lpwstr/>
      </vt:variant>
      <vt:variant>
        <vt:i4>1572976</vt:i4>
      </vt:variant>
      <vt:variant>
        <vt:i4>294</vt:i4>
      </vt:variant>
      <vt:variant>
        <vt:i4>0</vt:i4>
      </vt:variant>
      <vt:variant>
        <vt:i4>5</vt:i4>
      </vt:variant>
      <vt:variant>
        <vt:lpwstr>https://esv.vic.gov.au/wp-content/uploads/2018/06/Gas_information_sheet_36.pdf</vt:lpwstr>
      </vt:variant>
      <vt:variant>
        <vt:lpwstr/>
      </vt:variant>
      <vt:variant>
        <vt:i4>7995513</vt:i4>
      </vt:variant>
      <vt:variant>
        <vt:i4>291</vt:i4>
      </vt:variant>
      <vt:variant>
        <vt:i4>0</vt:i4>
      </vt:variant>
      <vt:variant>
        <vt:i4>5</vt:i4>
      </vt:variant>
      <vt:variant>
        <vt:lpwstr>https://esv.vic.gov.au/news/be-sure-co-launch/</vt:lpwstr>
      </vt:variant>
      <vt:variant>
        <vt:lpwstr/>
      </vt:variant>
      <vt:variant>
        <vt:i4>1310805</vt:i4>
      </vt:variant>
      <vt:variant>
        <vt:i4>288</vt:i4>
      </vt:variant>
      <vt:variant>
        <vt:i4>0</vt:i4>
      </vt:variant>
      <vt:variant>
        <vt:i4>5</vt:i4>
      </vt:variant>
      <vt:variant>
        <vt:lpwstr>https://esv.vic.gov.au/safety-education/choosing-and-using-a-tradesperson/making-a-complaint-about-a-tradesperson/landlords-and-tenancy/</vt:lpwstr>
      </vt:variant>
      <vt:variant>
        <vt:lpwstr/>
      </vt:variant>
      <vt:variant>
        <vt:i4>7143487</vt:i4>
      </vt:variant>
      <vt:variant>
        <vt:i4>285</vt:i4>
      </vt:variant>
      <vt:variant>
        <vt:i4>0</vt:i4>
      </vt:variant>
      <vt:variant>
        <vt:i4>5</vt:i4>
      </vt:variant>
      <vt:variant>
        <vt:lpwstr>https://esv.vic.gov.au/safety-education/heating-your-home-with-gas/open-flued-heaters-faqs/</vt:lpwstr>
      </vt:variant>
      <vt:variant>
        <vt:lpwstr/>
      </vt:variant>
      <vt:variant>
        <vt:i4>3932263</vt:i4>
      </vt:variant>
      <vt:variant>
        <vt:i4>282</vt:i4>
      </vt:variant>
      <vt:variant>
        <vt:i4>0</vt:i4>
      </vt:variant>
      <vt:variant>
        <vt:i4>5</vt:i4>
      </vt:variant>
      <vt:variant>
        <vt:lpwstr>https://ris.pmc.gov.au/2012/06/22/gas-appliance-carbon-monoxide-safety-strategy-%E2%80%93-coag-decision-regulation-impact-statement</vt:lpwstr>
      </vt:variant>
      <vt:variant>
        <vt:lpwstr/>
      </vt:variant>
      <vt:variant>
        <vt:i4>7536760</vt:i4>
      </vt:variant>
      <vt:variant>
        <vt:i4>279</vt:i4>
      </vt:variant>
      <vt:variant>
        <vt:i4>0</vt:i4>
      </vt:variant>
      <vt:variant>
        <vt:i4>5</vt:i4>
      </vt:variant>
      <vt:variant>
        <vt:lpwstr>https://www.dhhs.vic.gov.au/victorian-utility-consumption-household-survey</vt:lpwstr>
      </vt:variant>
      <vt:variant>
        <vt:lpwstr/>
      </vt:variant>
      <vt:variant>
        <vt:i4>2883694</vt:i4>
      </vt:variant>
      <vt:variant>
        <vt:i4>276</vt:i4>
      </vt:variant>
      <vt:variant>
        <vt:i4>0</vt:i4>
      </vt:variant>
      <vt:variant>
        <vt:i4>5</vt:i4>
      </vt:variant>
      <vt:variant>
        <vt:lpwstr>https://www.victorianenergysaver.vic.gov.au/save-energy-and-money/discount-energy-saving-products/save-with-these-energy-efficient-products/weather-sealing</vt:lpwstr>
      </vt:variant>
      <vt:variant>
        <vt:lpwstr/>
      </vt:variant>
      <vt:variant>
        <vt:i4>983079</vt:i4>
      </vt:variant>
      <vt:variant>
        <vt:i4>273</vt:i4>
      </vt:variant>
      <vt:variant>
        <vt:i4>0</vt:i4>
      </vt:variant>
      <vt:variant>
        <vt:i4>5</vt:i4>
      </vt:variant>
      <vt:variant>
        <vt:lpwstr>https://www.coronerscourt.vic.gov.au/sites/default/files/2018-12/soniasofianopoulos_356617.pdf</vt:lpwstr>
      </vt:variant>
      <vt:variant>
        <vt:lpwstr/>
      </vt:variant>
      <vt:variant>
        <vt:i4>327749</vt:i4>
      </vt:variant>
      <vt:variant>
        <vt:i4>270</vt:i4>
      </vt:variant>
      <vt:variant>
        <vt:i4>0</vt:i4>
      </vt:variant>
      <vt:variant>
        <vt:i4>5</vt:i4>
      </vt:variant>
      <vt:variant>
        <vt:lpwstr>https://www.consumer.vic.gov.au/library/publications/housing-and-accommodation/renting/renting-a-home-a-guide-for-tenants.pdf</vt:lpwstr>
      </vt:variant>
      <vt:variant>
        <vt:lpwstr/>
      </vt:variant>
      <vt:variant>
        <vt:i4>7471215</vt:i4>
      </vt:variant>
      <vt:variant>
        <vt:i4>267</vt:i4>
      </vt:variant>
      <vt:variant>
        <vt:i4>0</vt:i4>
      </vt:variant>
      <vt:variant>
        <vt:i4>5</vt:i4>
      </vt:variant>
      <vt:variant>
        <vt:lpwstr>https://www.consumer.vic.gov.au/housing/renting/during-a-lease-or-residency/safety-advice-for-tenants-and-residents/gas-appliances</vt:lpwstr>
      </vt:variant>
      <vt:variant>
        <vt:lpwstr/>
      </vt:variant>
      <vt:variant>
        <vt:i4>1572871</vt:i4>
      </vt:variant>
      <vt:variant>
        <vt:i4>264</vt:i4>
      </vt:variant>
      <vt:variant>
        <vt:i4>0</vt:i4>
      </vt:variant>
      <vt:variant>
        <vt:i4>5</vt:i4>
      </vt:variant>
      <vt:variant>
        <vt:lpwstr>http://www.betterregulation.vic.gov.au/Guidance-and-Resources</vt:lpwstr>
      </vt:variant>
      <vt:variant>
        <vt:lpwstr/>
      </vt:variant>
      <vt:variant>
        <vt:i4>3801188</vt:i4>
      </vt:variant>
      <vt:variant>
        <vt:i4>261</vt:i4>
      </vt:variant>
      <vt:variant>
        <vt:i4>0</vt:i4>
      </vt:variant>
      <vt:variant>
        <vt:i4>5</vt:i4>
      </vt:variant>
      <vt:variant>
        <vt:lpwstr>https://www.brooks.com.au/home-smoke-alarms/battery-powered/carbon-monoxide-10-year-lithium-battery-ei208w/</vt:lpwstr>
      </vt:variant>
      <vt:variant>
        <vt:lpwstr/>
      </vt:variant>
      <vt:variant>
        <vt:i4>5373963</vt:i4>
      </vt:variant>
      <vt:variant>
        <vt:i4>258</vt:i4>
      </vt:variant>
      <vt:variant>
        <vt:i4>0</vt:i4>
      </vt:variant>
      <vt:variant>
        <vt:i4>5</vt:i4>
      </vt:variant>
      <vt:variant>
        <vt:lpwstr>http://www.austin.org.au/poisons</vt:lpwstr>
      </vt:variant>
      <vt:variant>
        <vt:lpwstr/>
      </vt:variant>
      <vt:variant>
        <vt:i4>4980819</vt:i4>
      </vt:variant>
      <vt:variant>
        <vt:i4>255</vt:i4>
      </vt:variant>
      <vt:variant>
        <vt:i4>0</vt:i4>
      </vt:variant>
      <vt:variant>
        <vt:i4>5</vt:i4>
      </vt:variant>
      <vt:variant>
        <vt:lpwstr>https://www.amazon.com/Kidde-Resistant-Monoxide-Detector-KNCOB-DP2/dp/B00M48BH30</vt:lpwstr>
      </vt:variant>
      <vt:variant>
        <vt:lpwstr/>
      </vt:variant>
      <vt:variant>
        <vt:i4>5898328</vt:i4>
      </vt:variant>
      <vt:variant>
        <vt:i4>252</vt:i4>
      </vt:variant>
      <vt:variant>
        <vt:i4>0</vt:i4>
      </vt:variant>
      <vt:variant>
        <vt:i4>5</vt:i4>
      </vt:variant>
      <vt:variant>
        <vt:lpwstr>https://www.amazon.com.au/First-Alert-Wireless-Interconnected-Photoelectric/dp/B0064S9IQ4</vt:lpwstr>
      </vt:variant>
      <vt:variant>
        <vt:lpwstr/>
      </vt:variant>
      <vt:variant>
        <vt:i4>3604540</vt:i4>
      </vt:variant>
      <vt:variant>
        <vt:i4>249</vt:i4>
      </vt:variant>
      <vt:variant>
        <vt:i4>0</vt:i4>
      </vt:variant>
      <vt:variant>
        <vt:i4>5</vt:i4>
      </vt:variant>
      <vt:variant>
        <vt:lpwstr>https://ris.pmc.gov.au/sites/default/files/posts/2012/06/05-Decision-RIS-Gas-Appliance-CO2-safety-strategy.pdf</vt:lpwstr>
      </vt:variant>
      <vt:variant>
        <vt:lpwstr/>
      </vt:variant>
      <vt:variant>
        <vt:i4>7143487</vt:i4>
      </vt:variant>
      <vt:variant>
        <vt:i4>126</vt:i4>
      </vt:variant>
      <vt:variant>
        <vt:i4>0</vt:i4>
      </vt:variant>
      <vt:variant>
        <vt:i4>5</vt:i4>
      </vt:variant>
      <vt:variant>
        <vt:lpwstr>https://esv.vic.gov.au/safety-education/heating-your-home-with-gas/open-flued-heaters-faqs/</vt:lpwstr>
      </vt:variant>
      <vt:variant>
        <vt:lpwstr/>
      </vt:variant>
      <vt:variant>
        <vt:i4>1572965</vt:i4>
      </vt:variant>
      <vt:variant>
        <vt:i4>111</vt:i4>
      </vt:variant>
      <vt:variant>
        <vt:i4>0</vt:i4>
      </vt:variant>
      <vt:variant>
        <vt:i4>5</vt:i4>
      </vt:variant>
      <vt:variant>
        <vt:lpwstr>mailto:gas.safety@delwp.vic.gov.au</vt:lpwstr>
      </vt:variant>
      <vt:variant>
        <vt:lpwstr/>
      </vt:variant>
      <vt:variant>
        <vt:i4>1376312</vt:i4>
      </vt:variant>
      <vt:variant>
        <vt:i4>104</vt:i4>
      </vt:variant>
      <vt:variant>
        <vt:i4>0</vt:i4>
      </vt:variant>
      <vt:variant>
        <vt:i4>5</vt:i4>
      </vt:variant>
      <vt:variant>
        <vt:lpwstr/>
      </vt:variant>
      <vt:variant>
        <vt:lpwstr>_Toc59612298</vt:lpwstr>
      </vt:variant>
      <vt:variant>
        <vt:i4>1703992</vt:i4>
      </vt:variant>
      <vt:variant>
        <vt:i4>98</vt:i4>
      </vt:variant>
      <vt:variant>
        <vt:i4>0</vt:i4>
      </vt:variant>
      <vt:variant>
        <vt:i4>5</vt:i4>
      </vt:variant>
      <vt:variant>
        <vt:lpwstr/>
      </vt:variant>
      <vt:variant>
        <vt:lpwstr>_Toc59612297</vt:lpwstr>
      </vt:variant>
      <vt:variant>
        <vt:i4>1769528</vt:i4>
      </vt:variant>
      <vt:variant>
        <vt:i4>92</vt:i4>
      </vt:variant>
      <vt:variant>
        <vt:i4>0</vt:i4>
      </vt:variant>
      <vt:variant>
        <vt:i4>5</vt:i4>
      </vt:variant>
      <vt:variant>
        <vt:lpwstr/>
      </vt:variant>
      <vt:variant>
        <vt:lpwstr>_Toc59612296</vt:lpwstr>
      </vt:variant>
      <vt:variant>
        <vt:i4>1572920</vt:i4>
      </vt:variant>
      <vt:variant>
        <vt:i4>86</vt:i4>
      </vt:variant>
      <vt:variant>
        <vt:i4>0</vt:i4>
      </vt:variant>
      <vt:variant>
        <vt:i4>5</vt:i4>
      </vt:variant>
      <vt:variant>
        <vt:lpwstr/>
      </vt:variant>
      <vt:variant>
        <vt:lpwstr>_Toc59612295</vt:lpwstr>
      </vt:variant>
      <vt:variant>
        <vt:i4>1638456</vt:i4>
      </vt:variant>
      <vt:variant>
        <vt:i4>80</vt:i4>
      </vt:variant>
      <vt:variant>
        <vt:i4>0</vt:i4>
      </vt:variant>
      <vt:variant>
        <vt:i4>5</vt:i4>
      </vt:variant>
      <vt:variant>
        <vt:lpwstr/>
      </vt:variant>
      <vt:variant>
        <vt:lpwstr>_Toc59612294</vt:lpwstr>
      </vt:variant>
      <vt:variant>
        <vt:i4>1966136</vt:i4>
      </vt:variant>
      <vt:variant>
        <vt:i4>74</vt:i4>
      </vt:variant>
      <vt:variant>
        <vt:i4>0</vt:i4>
      </vt:variant>
      <vt:variant>
        <vt:i4>5</vt:i4>
      </vt:variant>
      <vt:variant>
        <vt:lpwstr/>
      </vt:variant>
      <vt:variant>
        <vt:lpwstr>_Toc59612293</vt:lpwstr>
      </vt:variant>
      <vt:variant>
        <vt:i4>2031672</vt:i4>
      </vt:variant>
      <vt:variant>
        <vt:i4>68</vt:i4>
      </vt:variant>
      <vt:variant>
        <vt:i4>0</vt:i4>
      </vt:variant>
      <vt:variant>
        <vt:i4>5</vt:i4>
      </vt:variant>
      <vt:variant>
        <vt:lpwstr/>
      </vt:variant>
      <vt:variant>
        <vt:lpwstr>_Toc59612292</vt:lpwstr>
      </vt:variant>
      <vt:variant>
        <vt:i4>1835064</vt:i4>
      </vt:variant>
      <vt:variant>
        <vt:i4>62</vt:i4>
      </vt:variant>
      <vt:variant>
        <vt:i4>0</vt:i4>
      </vt:variant>
      <vt:variant>
        <vt:i4>5</vt:i4>
      </vt:variant>
      <vt:variant>
        <vt:lpwstr/>
      </vt:variant>
      <vt:variant>
        <vt:lpwstr>_Toc59612291</vt:lpwstr>
      </vt:variant>
      <vt:variant>
        <vt:i4>1900600</vt:i4>
      </vt:variant>
      <vt:variant>
        <vt:i4>56</vt:i4>
      </vt:variant>
      <vt:variant>
        <vt:i4>0</vt:i4>
      </vt:variant>
      <vt:variant>
        <vt:i4>5</vt:i4>
      </vt:variant>
      <vt:variant>
        <vt:lpwstr/>
      </vt:variant>
      <vt:variant>
        <vt:lpwstr>_Toc59612290</vt:lpwstr>
      </vt:variant>
      <vt:variant>
        <vt:i4>1310777</vt:i4>
      </vt:variant>
      <vt:variant>
        <vt:i4>50</vt:i4>
      </vt:variant>
      <vt:variant>
        <vt:i4>0</vt:i4>
      </vt:variant>
      <vt:variant>
        <vt:i4>5</vt:i4>
      </vt:variant>
      <vt:variant>
        <vt:lpwstr/>
      </vt:variant>
      <vt:variant>
        <vt:lpwstr>_Toc59612289</vt:lpwstr>
      </vt:variant>
      <vt:variant>
        <vt:i4>1376313</vt:i4>
      </vt:variant>
      <vt:variant>
        <vt:i4>44</vt:i4>
      </vt:variant>
      <vt:variant>
        <vt:i4>0</vt:i4>
      </vt:variant>
      <vt:variant>
        <vt:i4>5</vt:i4>
      </vt:variant>
      <vt:variant>
        <vt:lpwstr/>
      </vt:variant>
      <vt:variant>
        <vt:lpwstr>_Toc59612288</vt:lpwstr>
      </vt:variant>
      <vt:variant>
        <vt:i4>1703993</vt:i4>
      </vt:variant>
      <vt:variant>
        <vt:i4>38</vt:i4>
      </vt:variant>
      <vt:variant>
        <vt:i4>0</vt:i4>
      </vt:variant>
      <vt:variant>
        <vt:i4>5</vt:i4>
      </vt:variant>
      <vt:variant>
        <vt:lpwstr/>
      </vt:variant>
      <vt:variant>
        <vt:lpwstr>_Toc59612287</vt:lpwstr>
      </vt:variant>
      <vt:variant>
        <vt:i4>1769529</vt:i4>
      </vt:variant>
      <vt:variant>
        <vt:i4>32</vt:i4>
      </vt:variant>
      <vt:variant>
        <vt:i4>0</vt:i4>
      </vt:variant>
      <vt:variant>
        <vt:i4>5</vt:i4>
      </vt:variant>
      <vt:variant>
        <vt:lpwstr/>
      </vt:variant>
      <vt:variant>
        <vt:lpwstr>_Toc59612286</vt:lpwstr>
      </vt:variant>
      <vt:variant>
        <vt:i4>1572921</vt:i4>
      </vt:variant>
      <vt:variant>
        <vt:i4>26</vt:i4>
      </vt:variant>
      <vt:variant>
        <vt:i4>0</vt:i4>
      </vt:variant>
      <vt:variant>
        <vt:i4>5</vt:i4>
      </vt:variant>
      <vt:variant>
        <vt:lpwstr/>
      </vt:variant>
      <vt:variant>
        <vt:lpwstr>_Toc59612285</vt:lpwstr>
      </vt:variant>
      <vt:variant>
        <vt:i4>1638457</vt:i4>
      </vt:variant>
      <vt:variant>
        <vt:i4>20</vt:i4>
      </vt:variant>
      <vt:variant>
        <vt:i4>0</vt:i4>
      </vt:variant>
      <vt:variant>
        <vt:i4>5</vt:i4>
      </vt:variant>
      <vt:variant>
        <vt:lpwstr/>
      </vt:variant>
      <vt:variant>
        <vt:lpwstr>_Toc59612284</vt:lpwstr>
      </vt:variant>
      <vt:variant>
        <vt:i4>1966137</vt:i4>
      </vt:variant>
      <vt:variant>
        <vt:i4>14</vt:i4>
      </vt:variant>
      <vt:variant>
        <vt:i4>0</vt:i4>
      </vt:variant>
      <vt:variant>
        <vt:i4>5</vt:i4>
      </vt:variant>
      <vt:variant>
        <vt:lpwstr/>
      </vt:variant>
      <vt:variant>
        <vt:lpwstr>_Toc59612283</vt:lpwstr>
      </vt:variant>
      <vt:variant>
        <vt:i4>2031673</vt:i4>
      </vt:variant>
      <vt:variant>
        <vt:i4>8</vt:i4>
      </vt:variant>
      <vt:variant>
        <vt:i4>0</vt:i4>
      </vt:variant>
      <vt:variant>
        <vt:i4>5</vt:i4>
      </vt:variant>
      <vt:variant>
        <vt:lpwstr/>
      </vt:variant>
      <vt:variant>
        <vt:lpwstr>_Toc59612282</vt:lpwstr>
      </vt:variant>
      <vt:variant>
        <vt:i4>1835065</vt:i4>
      </vt:variant>
      <vt:variant>
        <vt:i4>2</vt:i4>
      </vt:variant>
      <vt:variant>
        <vt:i4>0</vt:i4>
      </vt:variant>
      <vt:variant>
        <vt:i4>5</vt:i4>
      </vt:variant>
      <vt:variant>
        <vt:lpwstr/>
      </vt:variant>
      <vt:variant>
        <vt:lpwstr>_Toc59612281</vt:lpwstr>
      </vt:variant>
      <vt:variant>
        <vt:i4>1572976</vt:i4>
      </vt:variant>
      <vt:variant>
        <vt:i4>99</vt:i4>
      </vt:variant>
      <vt:variant>
        <vt:i4>0</vt:i4>
      </vt:variant>
      <vt:variant>
        <vt:i4>5</vt:i4>
      </vt:variant>
      <vt:variant>
        <vt:lpwstr>https://esv.vic.gov.au/wp-content/uploads/2018/06/Gas_information_sheet_36.pdf</vt:lpwstr>
      </vt:variant>
      <vt:variant>
        <vt:lpwstr/>
      </vt:variant>
      <vt:variant>
        <vt:i4>5177420</vt:i4>
      </vt:variant>
      <vt:variant>
        <vt:i4>96</vt:i4>
      </vt:variant>
      <vt:variant>
        <vt:i4>0</vt:i4>
      </vt:variant>
      <vt:variant>
        <vt:i4>5</vt:i4>
      </vt:variant>
      <vt:variant>
        <vt:lpwstr>http://www.legislation.vic.gov.au/Domino/Web_Notes/LDMS/LTObject_Store/LTObjSt2.nsf/DDE300B846EED9C7CA257616000A3571/8CBF51BFAC2DD3CBCA25776100216E9B/$FILE/97-99a025.pdf</vt:lpwstr>
      </vt:variant>
      <vt:variant>
        <vt:lpwstr/>
      </vt:variant>
      <vt:variant>
        <vt:i4>3997792</vt:i4>
      </vt:variant>
      <vt:variant>
        <vt:i4>93</vt:i4>
      </vt:variant>
      <vt:variant>
        <vt:i4>0</vt:i4>
      </vt:variant>
      <vt:variant>
        <vt:i4>5</vt:i4>
      </vt:variant>
      <vt:variant>
        <vt:lpwstr>http://www.betterregulation.vic.gov.au/files/98181269-905c-4893-bff3- a6bb009df93c/Victorian-Guide-to-Regulation-PDF-final.pdf</vt:lpwstr>
      </vt:variant>
      <vt:variant>
        <vt:lpwstr/>
      </vt:variant>
      <vt:variant>
        <vt:i4>6553657</vt:i4>
      </vt:variant>
      <vt:variant>
        <vt:i4>90</vt:i4>
      </vt:variant>
      <vt:variant>
        <vt:i4>0</vt:i4>
      </vt:variant>
      <vt:variant>
        <vt:i4>5</vt:i4>
      </vt:variant>
      <vt:variant>
        <vt:lpwstr>https://www.who.int/healthinfo/global_burden_disease/daly_disability_weight/en/</vt:lpwstr>
      </vt:variant>
      <vt:variant>
        <vt:lpwstr/>
      </vt:variant>
      <vt:variant>
        <vt:i4>4194387</vt:i4>
      </vt:variant>
      <vt:variant>
        <vt:i4>87</vt:i4>
      </vt:variant>
      <vt:variant>
        <vt:i4>0</vt:i4>
      </vt:variant>
      <vt:variant>
        <vt:i4>5</vt:i4>
      </vt:variant>
      <vt:variant>
        <vt:lpwstr>https://www.vic.gov.au/sites/default/files/2019-10/Suggested-Value-of-a-Statistical-Life-in-RISs-and-LIAs-2017-Word.docx</vt:lpwstr>
      </vt:variant>
      <vt:variant>
        <vt:lpwstr/>
      </vt:variant>
      <vt:variant>
        <vt:i4>3735588</vt:i4>
      </vt:variant>
      <vt:variant>
        <vt:i4>84</vt:i4>
      </vt:variant>
      <vt:variant>
        <vt:i4>0</vt:i4>
      </vt:variant>
      <vt:variant>
        <vt:i4>5</vt:i4>
      </vt:variant>
      <vt:variant>
        <vt:lpwstr>https://storage.googleapis.com/nest-public-downloads/press/documents/co-white-paper.pdf</vt:lpwstr>
      </vt:variant>
      <vt:variant>
        <vt:lpwstr/>
      </vt:variant>
      <vt:variant>
        <vt:i4>5439582</vt:i4>
      </vt:variant>
      <vt:variant>
        <vt:i4>81</vt:i4>
      </vt:variant>
      <vt:variant>
        <vt:i4>0</vt:i4>
      </vt:variant>
      <vt:variant>
        <vt:i4>5</vt:i4>
      </vt:variant>
      <vt:variant>
        <vt:lpwstr>https://www.lilydambrosio.com.au/media-releases/helping-victorians-pay-their-power-bills/</vt:lpwstr>
      </vt:variant>
      <vt:variant>
        <vt:lpwstr/>
      </vt:variant>
      <vt:variant>
        <vt:i4>4522071</vt:i4>
      </vt:variant>
      <vt:variant>
        <vt:i4>78</vt:i4>
      </vt:variant>
      <vt:variant>
        <vt:i4>0</vt:i4>
      </vt:variant>
      <vt:variant>
        <vt:i4>5</vt:i4>
      </vt:variant>
      <vt:variant>
        <vt:lpwstr>javascript:;</vt:lpwstr>
      </vt:variant>
      <vt:variant>
        <vt:lpwstr/>
      </vt:variant>
      <vt:variant>
        <vt:i4>4522071</vt:i4>
      </vt:variant>
      <vt:variant>
        <vt:i4>75</vt:i4>
      </vt:variant>
      <vt:variant>
        <vt:i4>0</vt:i4>
      </vt:variant>
      <vt:variant>
        <vt:i4>5</vt:i4>
      </vt:variant>
      <vt:variant>
        <vt:lpwstr>javascript:;</vt:lpwstr>
      </vt:variant>
      <vt:variant>
        <vt:lpwstr/>
      </vt:variant>
      <vt:variant>
        <vt:i4>4522071</vt:i4>
      </vt:variant>
      <vt:variant>
        <vt:i4>72</vt:i4>
      </vt:variant>
      <vt:variant>
        <vt:i4>0</vt:i4>
      </vt:variant>
      <vt:variant>
        <vt:i4>5</vt:i4>
      </vt:variant>
      <vt:variant>
        <vt:lpwstr>javascript:;</vt:lpwstr>
      </vt:variant>
      <vt:variant>
        <vt:lpwstr/>
      </vt:variant>
      <vt:variant>
        <vt:i4>4522071</vt:i4>
      </vt:variant>
      <vt:variant>
        <vt:i4>69</vt:i4>
      </vt:variant>
      <vt:variant>
        <vt:i4>0</vt:i4>
      </vt:variant>
      <vt:variant>
        <vt:i4>5</vt:i4>
      </vt:variant>
      <vt:variant>
        <vt:lpwstr>javascript:;</vt:lpwstr>
      </vt:variant>
      <vt:variant>
        <vt:lpwstr/>
      </vt:variant>
      <vt:variant>
        <vt:i4>4522071</vt:i4>
      </vt:variant>
      <vt:variant>
        <vt:i4>66</vt:i4>
      </vt:variant>
      <vt:variant>
        <vt:i4>0</vt:i4>
      </vt:variant>
      <vt:variant>
        <vt:i4>5</vt:i4>
      </vt:variant>
      <vt:variant>
        <vt:lpwstr>javascript:;</vt:lpwstr>
      </vt:variant>
      <vt:variant>
        <vt:lpwstr/>
      </vt:variant>
      <vt:variant>
        <vt:i4>4522071</vt:i4>
      </vt:variant>
      <vt:variant>
        <vt:i4>63</vt:i4>
      </vt:variant>
      <vt:variant>
        <vt:i4>0</vt:i4>
      </vt:variant>
      <vt:variant>
        <vt:i4>5</vt:i4>
      </vt:variant>
      <vt:variant>
        <vt:lpwstr>javascript:;</vt:lpwstr>
      </vt:variant>
      <vt:variant>
        <vt:lpwstr/>
      </vt:variant>
      <vt:variant>
        <vt:i4>4522071</vt:i4>
      </vt:variant>
      <vt:variant>
        <vt:i4>60</vt:i4>
      </vt:variant>
      <vt:variant>
        <vt:i4>0</vt:i4>
      </vt:variant>
      <vt:variant>
        <vt:i4>5</vt:i4>
      </vt:variant>
      <vt:variant>
        <vt:lpwstr>javascript:;</vt:lpwstr>
      </vt:variant>
      <vt:variant>
        <vt:lpwstr/>
      </vt:variant>
      <vt:variant>
        <vt:i4>1245258</vt:i4>
      </vt:variant>
      <vt:variant>
        <vt:i4>57</vt:i4>
      </vt:variant>
      <vt:variant>
        <vt:i4>0</vt:i4>
      </vt:variant>
      <vt:variant>
        <vt:i4>5</vt:i4>
      </vt:variant>
      <vt:variant>
        <vt:lpwstr>https://www.austin.org.au/poisons</vt:lpwstr>
      </vt:variant>
      <vt:variant>
        <vt:lpwstr/>
      </vt:variant>
      <vt:variant>
        <vt:i4>1310805</vt:i4>
      </vt:variant>
      <vt:variant>
        <vt:i4>54</vt:i4>
      </vt:variant>
      <vt:variant>
        <vt:i4>0</vt:i4>
      </vt:variant>
      <vt:variant>
        <vt:i4>5</vt:i4>
      </vt:variant>
      <vt:variant>
        <vt:lpwstr>https://esv.vic.gov.au/safety-education/choosing-and-using-a-tradesperson/making-a-complaint-about-a-tradesperson/landlords-and-tenancy/</vt:lpwstr>
      </vt:variant>
      <vt:variant>
        <vt:lpwstr/>
      </vt:variant>
      <vt:variant>
        <vt:i4>3473465</vt:i4>
      </vt:variant>
      <vt:variant>
        <vt:i4>51</vt:i4>
      </vt:variant>
      <vt:variant>
        <vt:i4>0</vt:i4>
      </vt:variant>
      <vt:variant>
        <vt:i4>5</vt:i4>
      </vt:variant>
      <vt:variant>
        <vt:lpwstr>https://esv.vic.gov.au/safety-education/gas-safety-at-home/heating-your-home-with-gas/open-flued-heaters-faqs/</vt:lpwstr>
      </vt:variant>
      <vt:variant>
        <vt:lpwstr/>
      </vt:variant>
      <vt:variant>
        <vt:i4>1114136</vt:i4>
      </vt:variant>
      <vt:variant>
        <vt:i4>45</vt:i4>
      </vt:variant>
      <vt:variant>
        <vt:i4>0</vt:i4>
      </vt:variant>
      <vt:variant>
        <vt:i4>5</vt:i4>
      </vt:variant>
      <vt:variant>
        <vt:lpwstr>https://www.sustainability.vic.gov.au/Grants-and-funding/Victorian-Healthy-Homes-Program</vt:lpwstr>
      </vt:variant>
      <vt:variant>
        <vt:lpwstr/>
      </vt:variant>
      <vt:variant>
        <vt:i4>8126533</vt:i4>
      </vt:variant>
      <vt:variant>
        <vt:i4>42</vt:i4>
      </vt:variant>
      <vt:variant>
        <vt:i4>0</vt:i4>
      </vt:variant>
      <vt:variant>
        <vt:i4>5</vt:i4>
      </vt:variant>
      <vt:variant>
        <vt:lpwstr>https://www.victorianenergysaver.vic.gov.au/__data/assets/pdf_file/0022/428017/VEU-doorknocking-and-telesales-info.pdf</vt:lpwstr>
      </vt:variant>
      <vt:variant>
        <vt:lpwstr/>
      </vt:variant>
      <vt:variant>
        <vt:i4>2490475</vt:i4>
      </vt:variant>
      <vt:variant>
        <vt:i4>39</vt:i4>
      </vt:variant>
      <vt:variant>
        <vt:i4>0</vt:i4>
      </vt:variant>
      <vt:variant>
        <vt:i4>5</vt:i4>
      </vt:variant>
      <vt:variant>
        <vt:lpwstr>https://www.nathers.gov.au/owners-and-builders/home-energy-star-ratings</vt:lpwstr>
      </vt:variant>
      <vt:variant>
        <vt:lpwstr/>
      </vt:variant>
      <vt:variant>
        <vt:i4>6291498</vt:i4>
      </vt:variant>
      <vt:variant>
        <vt:i4>36</vt:i4>
      </vt:variant>
      <vt:variant>
        <vt:i4>0</vt:i4>
      </vt:variant>
      <vt:variant>
        <vt:i4>5</vt:i4>
      </vt:variant>
      <vt:variant>
        <vt:lpwstr>https://www.sustainability.vic.gov.au/You-and-your-home/Building-and-renovating/Planning-and-design/Energy-ratings-construction-codes-and-standards</vt:lpwstr>
      </vt:variant>
      <vt:variant>
        <vt:lpwstr/>
      </vt:variant>
      <vt:variant>
        <vt:i4>6291498</vt:i4>
      </vt:variant>
      <vt:variant>
        <vt:i4>33</vt:i4>
      </vt:variant>
      <vt:variant>
        <vt:i4>0</vt:i4>
      </vt:variant>
      <vt:variant>
        <vt:i4>5</vt:i4>
      </vt:variant>
      <vt:variant>
        <vt:lpwstr>https://www.sustainability.vic.gov.au/You-and-Your-Home/Building-and-renovating/Planning-and-design/Energy-ratings-construction-codes-and-standards</vt:lpwstr>
      </vt:variant>
      <vt:variant>
        <vt:lpwstr/>
      </vt:variant>
      <vt:variant>
        <vt:i4>4718673</vt:i4>
      </vt:variant>
      <vt:variant>
        <vt:i4>30</vt:i4>
      </vt:variant>
      <vt:variant>
        <vt:i4>0</vt:i4>
      </vt:variant>
      <vt:variant>
        <vt:i4>5</vt:i4>
      </vt:variant>
      <vt:variant>
        <vt:lpwstr>https://www.researchgate.net/publication/310837870_Neurological_Impacts_from_Carbon_Monoxide_Poisoning</vt:lpwstr>
      </vt:variant>
      <vt:variant>
        <vt:lpwstr/>
      </vt:variant>
      <vt:variant>
        <vt:i4>5177373</vt:i4>
      </vt:variant>
      <vt:variant>
        <vt:i4>27</vt:i4>
      </vt:variant>
      <vt:variant>
        <vt:i4>0</vt:i4>
      </vt:variant>
      <vt:variant>
        <vt:i4>5</vt:i4>
      </vt:variant>
      <vt:variant>
        <vt:lpwstr>https://www.consumer.vic.gov.au/housing/renting/renting-guide</vt:lpwstr>
      </vt:variant>
      <vt:variant>
        <vt:lpwstr/>
      </vt:variant>
      <vt:variant>
        <vt:i4>5242901</vt:i4>
      </vt:variant>
      <vt:variant>
        <vt:i4>24</vt:i4>
      </vt:variant>
      <vt:variant>
        <vt:i4>0</vt:i4>
      </vt:variant>
      <vt:variant>
        <vt:i4>5</vt:i4>
      </vt:variant>
      <vt:variant>
        <vt:lpwstr>https://www.esv.vic.gov.au/safety-alerts/gas-open-flued-gas-heaters/</vt:lpwstr>
      </vt:variant>
      <vt:variant>
        <vt:lpwstr/>
      </vt:variant>
      <vt:variant>
        <vt:i4>4784230</vt:i4>
      </vt:variant>
      <vt:variant>
        <vt:i4>21</vt:i4>
      </vt:variant>
      <vt:variant>
        <vt:i4>0</vt:i4>
      </vt:variant>
      <vt:variant>
        <vt:i4>5</vt:i4>
      </vt:variant>
      <vt:variant>
        <vt:lpwstr>https://www.mcscs.jus.gov.on.ca/english/FireMarshal/CarbonMonoxideAlarms/QuestionsandAnswers/OFM_COAlarms_QandA.html</vt:lpwstr>
      </vt:variant>
      <vt:variant>
        <vt:lpwstr>P59_4811</vt:lpwstr>
      </vt:variant>
      <vt:variant>
        <vt:i4>5832732</vt:i4>
      </vt:variant>
      <vt:variant>
        <vt:i4>18</vt:i4>
      </vt:variant>
      <vt:variant>
        <vt:i4>0</vt:i4>
      </vt:variant>
      <vt:variant>
        <vt:i4>5</vt:i4>
      </vt:variant>
      <vt:variant>
        <vt:lpwstr>https://www.firstalert.com/community/legislation/</vt:lpwstr>
      </vt:variant>
      <vt:variant>
        <vt:lpwstr/>
      </vt:variant>
      <vt:variant>
        <vt:i4>7864382</vt:i4>
      </vt:variant>
      <vt:variant>
        <vt:i4>15</vt:i4>
      </vt:variant>
      <vt:variant>
        <vt:i4>0</vt:i4>
      </vt:variant>
      <vt:variant>
        <vt:i4>5</vt:i4>
      </vt:variant>
      <vt:variant>
        <vt:lpwstr>http://www.hse.gov.uk/research/rrpdf/rr847.pdf</vt:lpwstr>
      </vt:variant>
      <vt:variant>
        <vt:lpwstr/>
      </vt:variant>
      <vt:variant>
        <vt:i4>6357096</vt:i4>
      </vt:variant>
      <vt:variant>
        <vt:i4>12</vt:i4>
      </vt:variant>
      <vt:variant>
        <vt:i4>0</vt:i4>
      </vt:variant>
      <vt:variant>
        <vt:i4>5</vt:i4>
      </vt:variant>
      <vt:variant>
        <vt:lpwstr>https://www.gov.scot/publications/fire-and-smoke-alarms-in-scottish-homes/</vt:lpwstr>
      </vt:variant>
      <vt:variant>
        <vt:lpwstr/>
      </vt:variant>
      <vt:variant>
        <vt:i4>6226009</vt:i4>
      </vt:variant>
      <vt:variant>
        <vt:i4>9</vt:i4>
      </vt:variant>
      <vt:variant>
        <vt:i4>0</vt:i4>
      </vt:variant>
      <vt:variant>
        <vt:i4>5</vt:i4>
      </vt:variant>
      <vt:variant>
        <vt:lpwstr>https://www.hseni.gov.uk/articles/carbon-monoxide-alarms</vt:lpwstr>
      </vt:variant>
      <vt:variant>
        <vt:lpwstr/>
      </vt:variant>
      <vt:variant>
        <vt:i4>1769554</vt:i4>
      </vt:variant>
      <vt:variant>
        <vt:i4>6</vt:i4>
      </vt:variant>
      <vt:variant>
        <vt:i4>0</vt:i4>
      </vt:variant>
      <vt:variant>
        <vt:i4>5</vt:i4>
      </vt:variant>
      <vt:variant>
        <vt:lpwstr>https://esv.vic.gov.au/campaigns/carbon-monoxide/</vt:lpwstr>
      </vt:variant>
      <vt:variant>
        <vt:lpwstr/>
      </vt:variant>
      <vt:variant>
        <vt:i4>1572871</vt:i4>
      </vt:variant>
      <vt:variant>
        <vt:i4>3</vt:i4>
      </vt:variant>
      <vt:variant>
        <vt:i4>0</vt:i4>
      </vt:variant>
      <vt:variant>
        <vt:i4>5</vt:i4>
      </vt:variant>
      <vt:variant>
        <vt:lpwstr>http://www.betterregulation.vic.gov.au/Guidance-and-Resources</vt:lpwstr>
      </vt:variant>
      <vt:variant>
        <vt:lpwstr/>
      </vt:variant>
      <vt:variant>
        <vt:i4>5439582</vt:i4>
      </vt:variant>
      <vt:variant>
        <vt:i4>0</vt:i4>
      </vt:variant>
      <vt:variant>
        <vt:i4>0</vt:i4>
      </vt:variant>
      <vt:variant>
        <vt:i4>5</vt:i4>
      </vt:variant>
      <vt:variant>
        <vt:lpwstr>https://www.lilydambrosio.com.au/media-releases/helping-victorians-pay-their-power-bills/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Regulatory Impact Statement: Open Flued Gas Space Heaters</dc:title>
  <dc:subject/>
  <dc:creator>Hall, Michelle (AU - Melbourne)</dc:creator>
  <cp:keywords/>
  <dc:description/>
  <cp:lastModifiedBy>Terissa</cp:lastModifiedBy>
  <cp:revision>76</cp:revision>
  <cp:lastPrinted>2020-12-28T21:40:00Z</cp:lastPrinted>
  <dcterms:created xsi:type="dcterms:W3CDTF">2020-12-21T12:43:00Z</dcterms:created>
  <dcterms:modified xsi:type="dcterms:W3CDTF">2020-12-28T21:41:00Z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E_Templates">
    <vt:lpwstr>True</vt:lpwstr>
  </property>
  <property fmtid="{D5CDD505-2E9C-101B-9397-08002B2CF9AE}" pid="3" name="FrontpageColorChange">
    <vt:lpwstr>True</vt:lpwstr>
  </property>
  <property fmtid="{D5CDD505-2E9C-101B-9397-08002B2CF9AE}" pid="4" name="TemplafyTimeStamp">
    <vt:lpwstr>2019-01-18T15:11:06.3577793Z</vt:lpwstr>
  </property>
  <property fmtid="{D5CDD505-2E9C-101B-9397-08002B2CF9AE}" pid="5" name="CustomerId">
    <vt:lpwstr>deloitteaus</vt:lpwstr>
  </property>
  <property fmtid="{D5CDD505-2E9C-101B-9397-08002B2CF9AE}" pid="6" name="TemplateId">
    <vt:lpwstr>636915989739845782</vt:lpwstr>
  </property>
  <property fmtid="{D5CDD505-2E9C-101B-9397-08002B2CF9AE}" pid="7" name="UserProfileId">
    <vt:lpwstr>636463214536389588</vt:lpwstr>
  </property>
  <property fmtid="{D5CDD505-2E9C-101B-9397-08002B2CF9AE}" pid="8" name="ContentTypeId">
    <vt:lpwstr>0x010100E4F5512A1CBF294FAE7691CF16804126</vt:lpwstr>
  </property>
  <property fmtid="{D5CDD505-2E9C-101B-9397-08002B2CF9AE}" pid="9" name="MSIP_Label_7158ebbd-6c5e-441f-bfc9-4eb8c11e3978_Enabled">
    <vt:lpwstr>True</vt:lpwstr>
  </property>
  <property fmtid="{D5CDD505-2E9C-101B-9397-08002B2CF9AE}" pid="10" name="MSIP_Label_7158ebbd-6c5e-441f-bfc9-4eb8c11e3978_SiteId">
    <vt:lpwstr>722ea0be-3e1c-4b11-ad6f-9401d6856e24</vt:lpwstr>
  </property>
  <property fmtid="{D5CDD505-2E9C-101B-9397-08002B2CF9AE}" pid="11" name="MSIP_Label_7158ebbd-6c5e-441f-bfc9-4eb8c11e3978_Owner">
    <vt:lpwstr>dominic.crowley@betterreg.vic.gov.au</vt:lpwstr>
  </property>
  <property fmtid="{D5CDD505-2E9C-101B-9397-08002B2CF9AE}" pid="12" name="MSIP_Label_7158ebbd-6c5e-441f-bfc9-4eb8c11e3978_SetDate">
    <vt:lpwstr>2019-06-13T06:05:30.6286214Z</vt:lpwstr>
  </property>
  <property fmtid="{D5CDD505-2E9C-101B-9397-08002B2CF9AE}" pid="13" name="MSIP_Label_7158ebbd-6c5e-441f-bfc9-4eb8c11e3978_Name">
    <vt:lpwstr>OFFICIAL</vt:lpwstr>
  </property>
  <property fmtid="{D5CDD505-2E9C-101B-9397-08002B2CF9AE}" pid="14" name="MSIP_Label_7158ebbd-6c5e-441f-bfc9-4eb8c11e3978_Application">
    <vt:lpwstr>Microsoft Azure Information Protection</vt:lpwstr>
  </property>
  <property fmtid="{D5CDD505-2E9C-101B-9397-08002B2CF9AE}" pid="15" name="MSIP_Label_7158ebbd-6c5e-441f-bfc9-4eb8c11e3978_Extended_MSFT_Method">
    <vt:lpwstr>Manual</vt:lpwstr>
  </property>
  <property fmtid="{D5CDD505-2E9C-101B-9397-08002B2CF9AE}" pid="16" name="MSIP_Label_ea60d57e-af5b-4752-ac57-3e4f28ca11dc_Enabled">
    <vt:lpwstr>true</vt:lpwstr>
  </property>
  <property fmtid="{D5CDD505-2E9C-101B-9397-08002B2CF9AE}" pid="17" name="MSIP_Label_ea60d57e-af5b-4752-ac57-3e4f28ca11dc_SetDate">
    <vt:lpwstr>2020-09-02T15:01:36Z</vt:lpwstr>
  </property>
  <property fmtid="{D5CDD505-2E9C-101B-9397-08002B2CF9AE}" pid="18" name="MSIP_Label_ea60d57e-af5b-4752-ac57-3e4f28ca11dc_Method">
    <vt:lpwstr>Standard</vt:lpwstr>
  </property>
  <property fmtid="{D5CDD505-2E9C-101B-9397-08002B2CF9AE}" pid="19" name="MSIP_Label_ea60d57e-af5b-4752-ac57-3e4f28ca11dc_Name">
    <vt:lpwstr>ea60d57e-af5b-4752-ac57-3e4f28ca11dc</vt:lpwstr>
  </property>
  <property fmtid="{D5CDD505-2E9C-101B-9397-08002B2CF9AE}" pid="20" name="MSIP_Label_ea60d57e-af5b-4752-ac57-3e4f28ca11dc_SiteId">
    <vt:lpwstr>36da45f1-dd2c-4d1f-af13-5abe46b99921</vt:lpwstr>
  </property>
  <property fmtid="{D5CDD505-2E9C-101B-9397-08002B2CF9AE}" pid="21" name="MSIP_Label_ea60d57e-af5b-4752-ac57-3e4f28ca11dc_ActionId">
    <vt:lpwstr>9b51afc5-5f21-43f7-8778-2b0818d9ff7e</vt:lpwstr>
  </property>
  <property fmtid="{D5CDD505-2E9C-101B-9397-08002B2CF9AE}" pid="22" name="MSIP_Label_ea60d57e-af5b-4752-ac57-3e4f28ca11dc_ContentBits">
    <vt:lpwstr>0</vt:lpwstr>
  </property>
  <property fmtid="{D5CDD505-2E9C-101B-9397-08002B2CF9AE}" pid="23" name="MSIP_Label_f6c7d016-c0e8-4bc1-9071-158a5ecbe94b_Enabled">
    <vt:lpwstr>True</vt:lpwstr>
  </property>
  <property fmtid="{D5CDD505-2E9C-101B-9397-08002B2CF9AE}" pid="24" name="MSIP_Label_f6c7d016-c0e8-4bc1-9071-158a5ecbe94b_SiteId">
    <vt:lpwstr>c0e0601f-0fac-449c-9c88-a104c4eb9f28</vt:lpwstr>
  </property>
  <property fmtid="{D5CDD505-2E9C-101B-9397-08002B2CF9AE}" pid="25" name="MSIP_Label_f6c7d016-c0e8-4bc1-9071-158a5ecbe94b_Owner">
    <vt:lpwstr>Vikki.Lynch@dhhs.vic.gov.au</vt:lpwstr>
  </property>
  <property fmtid="{D5CDD505-2E9C-101B-9397-08002B2CF9AE}" pid="26" name="MSIP_Label_f6c7d016-c0e8-4bc1-9071-158a5ecbe94b_SetDate">
    <vt:lpwstr>2020-11-22T08:58:05.5541859Z</vt:lpwstr>
  </property>
  <property fmtid="{D5CDD505-2E9C-101B-9397-08002B2CF9AE}" pid="27" name="MSIP_Label_f6c7d016-c0e8-4bc1-9071-158a5ecbe94b_Name">
    <vt:lpwstr>OFFICIAL - Sensitive</vt:lpwstr>
  </property>
  <property fmtid="{D5CDD505-2E9C-101B-9397-08002B2CF9AE}" pid="28" name="MSIP_Label_f6c7d016-c0e8-4bc1-9071-158a5ecbe94b_Application">
    <vt:lpwstr>Microsoft Azure Information Protection</vt:lpwstr>
  </property>
  <property fmtid="{D5CDD505-2E9C-101B-9397-08002B2CF9AE}" pid="29" name="MSIP_Label_f6c7d016-c0e8-4bc1-9071-158a5ecbe94b_ActionId">
    <vt:lpwstr>de622849-797e-4b1a-87f4-3b650bb62595</vt:lpwstr>
  </property>
  <property fmtid="{D5CDD505-2E9C-101B-9397-08002B2CF9AE}" pid="30" name="MSIP_Label_f6c7d016-c0e8-4bc1-9071-158a5ecbe94b_Extended_MSFT_Method">
    <vt:lpwstr>Manual</vt:lpwstr>
  </property>
  <property fmtid="{D5CDD505-2E9C-101B-9397-08002B2CF9AE}" pid="31" name="MSIP_Label_ea60d57e-af5b-4752-ac57-3e4f28ca11dc_Extended_MSFT_Method">
    <vt:lpwstr>Automatic</vt:lpwstr>
  </property>
  <property fmtid="{D5CDD505-2E9C-101B-9397-08002B2CF9AE}" pid="32" name="Section">
    <vt:lpwstr>28;#All|8270565e-a836-42c0-aa61-1ac7b0ff14aa</vt:lpwstr>
  </property>
  <property fmtid="{D5CDD505-2E9C-101B-9397-08002B2CF9AE}" pid="33" name="Agency">
    <vt:lpwstr>1;#Department of Environment, Land, Water and Planning|607a3f87-1228-4cd9-82a5-076aa8776274</vt:lpwstr>
  </property>
  <property fmtid="{D5CDD505-2E9C-101B-9397-08002B2CF9AE}" pid="34" name="Branch">
    <vt:lpwstr>60;#Legislation|48abefaa-0f71-499c-be30-ea89dea389f8</vt:lpwstr>
  </property>
  <property fmtid="{D5CDD505-2E9C-101B-9397-08002B2CF9AE}" pid="35" name="_dlc_DocIdItemGuid">
    <vt:lpwstr>5d2cf677-c5ee-46fb-9990-b43b89398ae4</vt:lpwstr>
  </property>
  <property fmtid="{D5CDD505-2E9C-101B-9397-08002B2CF9AE}" pid="36" name="Division">
    <vt:lpwstr>5;#Legal and Governance|2a2f70da-7efa-4af9-8e32-72af9ec94e35</vt:lpwstr>
  </property>
  <property fmtid="{D5CDD505-2E9C-101B-9397-08002B2CF9AE}" pid="37" name="Group1">
    <vt:lpwstr>6;#Corporate Services|583021de-5b88-4fc0-9d26-f0e13a42b826</vt:lpwstr>
  </property>
  <property fmtid="{D5CDD505-2E9C-101B-9397-08002B2CF9AE}" pid="38" name="Dissemination Limiting Marker">
    <vt:lpwstr>2;#FOUO|955eb6fc-b35a-4808-8aa5-31e514fa3f26</vt:lpwstr>
  </property>
  <property fmtid="{D5CDD505-2E9C-101B-9397-08002B2CF9AE}" pid="39" name="Security Classification">
    <vt:lpwstr>3;#Unclassified|7fa379f4-4aba-4692-ab80-7d39d3a23cf4</vt:lpwstr>
  </property>
  <property fmtid="{D5CDD505-2E9C-101B-9397-08002B2CF9AE}" pid="40" name="Order">
    <vt:r8>769800</vt:r8>
  </property>
  <property fmtid="{D5CDD505-2E9C-101B-9397-08002B2CF9AE}" pid="41" name="Customer Division">
    <vt:lpwstr/>
  </property>
  <property fmtid="{D5CDD505-2E9C-101B-9397-08002B2CF9AE}" pid="42" name="Sub-Section">
    <vt:lpwstr/>
  </property>
  <property fmtid="{D5CDD505-2E9C-101B-9397-08002B2CF9AE}" pid="43" name="o85941e134754762b9719660a258a6e6">
    <vt:lpwstr/>
  </property>
  <property fmtid="{D5CDD505-2E9C-101B-9397-08002B2CF9AE}" pid="44" name="Reference_x0020_Type">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Copyright_x0020_License_x0020_Type">
    <vt:lpwstr/>
  </property>
  <property fmtid="{D5CDD505-2E9C-101B-9397-08002B2CF9AE}" pid="48" name="ld508a88e6264ce89693af80a72862cb">
    <vt:lpwstr/>
  </property>
  <property fmtid="{D5CDD505-2E9C-101B-9397-08002B2CF9AE}" pid="49" name="Copyright Licence Name">
    <vt:lpwstr/>
  </property>
  <property fmtid="{D5CDD505-2E9C-101B-9397-08002B2CF9AE}" pid="50" name="Reference Type">
    <vt:lpwstr/>
  </property>
  <property fmtid="{D5CDD505-2E9C-101B-9397-08002B2CF9AE}" pid="51" name="Copyright License Type">
    <vt:lpwstr/>
  </property>
  <property fmtid="{D5CDD505-2E9C-101B-9397-08002B2CF9AE}" pid="52" name="SharedWithUsers">
    <vt:lpwstr>6;#Team Site Visitors;#14;#Philip D Jones (DELWP);#13;#Svc-AvePoint-Mig01;#12;#Christian R Maul (DELWP);#135;#Ian A Robertson (DELWP);#121;#Sharon Beardsell (DELWP);#297;#Alec J Bombell (DELWP)</vt:lpwstr>
  </property>
  <property fmtid="{D5CDD505-2E9C-101B-9397-08002B2CF9AE}" pid="53" name="MSIP_Label_5a19367b-7a73-403d-b732-ebe2e73fbf56_Enabled">
    <vt:lpwstr>true</vt:lpwstr>
  </property>
  <property fmtid="{D5CDD505-2E9C-101B-9397-08002B2CF9AE}" pid="54" name="MSIP_Label_5a19367b-7a73-403d-b732-ebe2e73fbf56_SetDate">
    <vt:lpwstr>2020-12-17T04:29:19Z</vt:lpwstr>
  </property>
  <property fmtid="{D5CDD505-2E9C-101B-9397-08002B2CF9AE}" pid="55" name="MSIP_Label_5a19367b-7a73-403d-b732-ebe2e73fbf56_Method">
    <vt:lpwstr>Privileged</vt:lpwstr>
  </property>
  <property fmtid="{D5CDD505-2E9C-101B-9397-08002B2CF9AE}" pid="56" name="MSIP_Label_5a19367b-7a73-403d-b732-ebe2e73fbf56_Name">
    <vt:lpwstr>OFFICIAL-Sensitive</vt:lpwstr>
  </property>
  <property fmtid="{D5CDD505-2E9C-101B-9397-08002B2CF9AE}" pid="57" name="MSIP_Label_5a19367b-7a73-403d-b732-ebe2e73fbf56_SiteId">
    <vt:lpwstr>e8bdd6f7-fc18-4e48-a554-7f547927223b</vt:lpwstr>
  </property>
  <property fmtid="{D5CDD505-2E9C-101B-9397-08002B2CF9AE}" pid="58" name="MSIP_Label_5a19367b-7a73-403d-b732-ebe2e73fbf56_ActionId">
    <vt:lpwstr>86ed5a48-12ad-442c-9260-aded4bcbcc93</vt:lpwstr>
  </property>
  <property fmtid="{D5CDD505-2E9C-101B-9397-08002B2CF9AE}" pid="59" name="MSIP_Label_5a19367b-7a73-403d-b732-ebe2e73fbf56_ContentBits">
    <vt:lpwstr>2</vt:lpwstr>
  </property>
</Properties>
</file>